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26" w:rsidRPr="00376726" w:rsidRDefault="00376726" w:rsidP="00376726">
      <w:pPr>
        <w:spacing w:after="0" w:line="300" w:lineRule="atLeast"/>
        <w:rPr>
          <w:rFonts w:ascii="Arial" w:eastAsia="Times New Roman" w:hAnsi="Arial" w:cs="Arial"/>
          <w:color w:val="575757"/>
          <w:sz w:val="20"/>
          <w:szCs w:val="20"/>
          <w:bdr w:val="none" w:sz="0" w:space="0" w:color="auto" w:frame="1"/>
          <w:lang w:val="uk-UA" w:eastAsia="ru-RU"/>
        </w:rPr>
      </w:pPr>
      <w:r>
        <w:rPr>
          <w:rFonts w:ascii="Arial" w:eastAsia="Times New Roman" w:hAnsi="Arial" w:cs="Arial"/>
          <w:color w:val="575757"/>
          <w:sz w:val="20"/>
          <w:szCs w:val="20"/>
          <w:bdr w:val="none" w:sz="0" w:space="0" w:color="auto" w:frame="1"/>
          <w:lang w:val="uk-UA" w:eastAsia="ru-RU"/>
        </w:rPr>
        <w:t>1.</w:t>
      </w:r>
      <w:r>
        <w:rPr>
          <w:rFonts w:ascii="Arial" w:eastAsia="Times New Roman" w:hAnsi="Arial" w:cs="Arial"/>
          <w:color w:val="575757"/>
          <w:sz w:val="20"/>
          <w:szCs w:val="20"/>
          <w:bdr w:val="none" w:sz="0" w:space="0" w:color="auto" w:frame="1"/>
          <w:lang w:eastAsia="ru-RU"/>
        </w:rPr>
        <w:t xml:space="preserve">Наука на </w:t>
      </w:r>
      <w:r>
        <w:rPr>
          <w:rFonts w:ascii="Arial" w:eastAsia="Times New Roman" w:hAnsi="Arial" w:cs="Arial"/>
          <w:color w:val="575757"/>
          <w:sz w:val="20"/>
          <w:szCs w:val="20"/>
          <w:bdr w:val="none" w:sz="0" w:space="0" w:color="auto" w:frame="1"/>
          <w:lang w:val="uk-UA" w:eastAsia="ru-RU"/>
        </w:rPr>
        <w:t>українських землях у ХІХ</w:t>
      </w:r>
    </w:p>
    <w:p w:rsidR="00376726" w:rsidRPr="00376726" w:rsidRDefault="00376726" w:rsidP="00376726">
      <w:pPr>
        <w:shd w:val="clear" w:color="auto" w:fill="FFFFCC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37672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Наука</w:t>
      </w:r>
    </w:p>
    <w:p w:rsidR="00376726" w:rsidRPr="00376726" w:rsidRDefault="00376726" w:rsidP="00376726">
      <w:pPr>
        <w:shd w:val="clear" w:color="auto" w:fill="FFFFCC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Центрами освіти і науки в Україні були університети. На східноукраїнських землях перші з них виникли у Харкові (1805) та Києві (1834). Харківський університет, заснований з ініціативи В.Каразіна, спочатку мав чотири факультети. У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ік відкриття університету в ньому навчалося 65 студентів, у 1855 р. — 492. Київський університет, відкритий у 1834 p., спочатку мав один факультет — філософський, що складався з відділів історико-філологічного та фізико-математичного; у 1835 р. почав працювати юридичний, а в 1841 р. — медичний факультет. У 1834 р. в університеті навчалися 62 студенти, а в 1855 р. — 808. , Протягом дореформеного часу 56 вихованців Харківського університету стали професорами і працювали як у Харківському, так і в Київському, Московському, Казанському університетах. Найвідомішими з них були математик М.Петроградський, славіст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І.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Срсзневський, філолог О.Потебня, історик М.Костомаров.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перш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ій пол. XIX ст. в Україні було видано низку важливих праць з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ізних галузей знань, зокрема 4 томи опису губерній Правобережжя і Лівобережжя, тритомні «Записки о Полтавской губернии» М.Арандаренка, тритомне «Статистическое описание Киевской губернии», яке підготував Д.Шуравський.</w:t>
      </w:r>
      <w:r w:rsidR="0018751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="0018751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Значний крок вперед </w:t>
      </w:r>
      <w:proofErr w:type="gramStart"/>
      <w:r w:rsidR="0018751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</w:t>
      </w:r>
      <w:proofErr w:type="gramEnd"/>
      <w:r w:rsidR="0018751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першій 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ол. XIX ст. зробила в Україні історична наука. Велику роботу було проведено зі збирання, систематизації і публікації історичних джерел — актового,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арх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івного матеріалу, літописів та інших творів, пам'яток народної творчості. Багато історичних джерел, зокрема архівних матеріалів, зібрали й опублікували співробітники Київського тимчасового комітету для розгляду давніх актів, відкритого в Києві в 1843 р.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В історіографії кін. XVIII — поч. XIX ст. в Україні особливе місце займає «Історія русів», яку опублікував О.Бодянський у 1846 р.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Багато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арх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івних матеріалів про запорізьке козацтво і т. зв, Новоросійський край зібрав А.Скальковський. Найбільш значною з його публікацій є «История Новой Сечи или последнего коша Запорожского» (1841).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Значним є внесок у розвиток історичної думки в Україні М.Максимовича. Він виступив проти норманської теорії походження Русі, став першим істориком Коліївщини — великого народного повстання на Правобережжі 1768 р.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У 20 —30-х роках XIX ст. у Львівському університеті тривали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досл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ідження в галузі краєзнавства і гуманітарних наук. І.Могильницький написав першу в Галичині граматику української мови. Передмова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до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неї — це важлива наукова праця «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ідомість о руськім язиці» (1829), яка вміщувала змістовний нарис історії України, визначала українську мову як одну з самостійних східнослов'янських мов. Над граматикою української мови працював також професор Львівського університету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І.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Лаврінський. Він уклав 6-томний українсько-польсько-німецький словник, на якому позначився вплив народної мови, переклав польською мовою «Повість временних літ».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1784 р. діяла бібліотека Львівського університету, що налічувала близько 50 тис. томів літератури з різних галузей знань.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Російський царат, Габсбурзька монархія, російські, німецькі, польські, угорські шовіністи ігнорували українську мову, не дозволяли користуватися нею ні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>школі, ні в державних установах. Але не могли добитися денаціоналізації українського народу, спинити розвиток його мови.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Українська інтелігенція, зокрема письменники, громадські і культурні діячі, відстоювали право українського народу мати національну мову,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іклувалися про її розвиток і вивчення.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У 1818 р. в Петербурзі було опубліковано першу граматику української мови, яку уклав російський філолог О.Павловський. Відомі вчені І.Срезневський і М.Максимович у своїх працях науково спростували безпідставні твердження російських і польських великодержавників про те, що українська мова — не окрема мова, а діалект російської або польської, довели, що це багата за лексичним складом,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живописна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, поетична, музикальна мова.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Прогресивні вчені і письменники (П.Білецький-Носенко, М.Маркевич, О.Афанасьєв-Чужбинський, П.Куліш, Я.Головацький) розробляли проблеми української лексикографії, збирали матеріали і готували до друку словники української мови.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1848 р. у Львові відбувся з'їзд інтелігенції — «Собор руських учених». На ньому Я.Головацький прочитав науковий реферат про окремішність української мови, було обговорено низку наукових і літературних проблем, у т. ч. питання народної мови у школі. Тоді ж у Львівському університеті відкрили кафедру української мови та літератури.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П.Куліш у виданні «Кобзаря» Т.Шевченка 1860 р. та в інших книгах застосовував розроблений ним український правопис — кулішівку. Цей правопис Грунтувався на фонетичному принципі, що був покладений в основу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ізнішого українського правопису.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Значне пожвавлення в усіх галузях наукової творчості, особливо в природознавстві, припало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другу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пол. XIX ст. Великих здобутків досягли відомі вчені О.Ляпунов (1857—1918), М.Ващенко-Захарченко (1825-1912), М.Умов (1840-1915), М.Бекетов (1827-1911), І.Мечников (1845-1916), І.Сеченов (1829-1905), М.Гамалія (1859-1949).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На західноукраїнських землях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пл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ідно працювали математики В.Левицький, М.Зарицький, хіміки Б.Радзішевський, Е.Ліннеман, геологи Ф.Ціркєль, Ю.Токарський та інші вчені. У галузі політекономії і статистики відзначались професор Київського університету М.Бунге, доцент цього ж вузу М.Зібер, професор Харківського університету Г.Цехановський та ін. Тривала діяльність видатного українського історика М.Костомарова. У своїх працях він обстоював самобутність українського народу, його право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вільний економічний розвиток. Чільне місце в українській історіографії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пос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ідають твори визначних істориків О.Лазаревського, В.Антоновича, О.Єфименко, Д.Багалія, О.Левицького, Д.Яворницького. Низку цікавих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досл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іджень опублікували галицькі історики О.Барвінський, А.Петрушевич, В.Площанський, ІО.Целевич, І.Шараневич та ін.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У важких умовах жорстокого національного гноб-лення вчені О.Потебня, П.Житецький, К.Михальчук створили цінні праці з проблем українського мовознавства. В галузі фольклористики та етнографії творчо й наполегливо працювали М.Сумцов, П.Чубинський, М.Драгоманов, Б.Грінченко.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>Вагомий внесок у розвиток вітчизняного літературознавства в Галичині зробили В.Щурат, К.Студинський, О.Маковей та ін. Багатими здобутками увінчалася робота фольклористів та етнографів Ф.Вовка, В.Гнатюка, О.Роздольського, В.Шухевича, Ф.Колесси. І.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Св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єнціцький, І.Франко та ін. працювали над вивченням української мови та літератури.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Важливим осередком української науки був Південно-Західний відділ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Р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осійського Географічного Товариства. Тут напівлегально було опубліковано «Історичні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існі українського народу» В.Антоновича і М.Драгоманова, великий збірник етнографічних матеріалів П.Чубинського, вийшли твори П.Мирного, І.Нечуя-Левицького, М.Старицького, М.Лисенка. Багаті етнографічні, економічні і статистичні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матеріали по Україні зібрали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співробітники Комісій з опису губерній Київського навчального округу (1851 — 1864), а також земські статистики. Київська тимчасова комі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я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з розгляду давніх актів продовжувала збирання й публікацію історичних документів, видання багатотомного «Архива Юго-Западной России», присвяченого минулому Правобережної і Західної України. Велику цінність для вивчення історії українського народу становлять опублі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кован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 в Петербурзі протягом 1863 — 1892 pp. 15-томні «Акты Южной и Западной Руси».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Пожвавленню історичних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досл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іджень сприяв журнал «Киевская старина», який, починаючи з 1882 p., протягом чверті століття виходив у Києві. Він вміщував художні твори, історичні документи й матеріали, спогади, пам'ятки народної творчості, етнографічні нариси.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Низку періодичних органів не лише для вчених, а іі для широких кіл громадськості видавало Наукове товариство ім. Т.Шевченка у Львові. Найплідніше працювали тут М.Грушевський, який редагував «Записки НТШ», І.Франко '— постійний автор і редактор, В.Гнатюк — багатолітній науковий секретар цієї установи, голова Етнографічної комісії. Ця комісія видавала «Етнографічний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збірник» і «Матеріали до української етнології», двадцятитомник «Українсько-руський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арх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ів» і 11 томів «Джерел до історії України-Руси». Найвагомішими були досягнення Товариства в галузі суспільних наук, зокрема історії (праці М.Грушевського, його учнів Т.Джиджори, С.Томашівського, І.Кревецького, М.Кордуби, І.Крип'якевича), філології та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ітератури (роботи О.Огоновського, І.Франка, О.Кониського, К.Студинського, М.Возняка, В.Щурата).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 Львовом пов'язане ім'я вченого-винахідника І.Лукасевича, який виділив у 1852 р. гас із нафти і сконструював гасову лампу. Значний слід у розвитку науки залишили математик Ю.Пузина, мовознавець ІО.Курилович, філолог Р.Ганшинець. Широко відомими стали наукові праці з філософії П.Лодія, зі статичної фізики — М.Смолуховського.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 xml:space="preserve">У цей час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пл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ідно працювали вчені із світовими іменами, які через свою активну позицію в обстоюванні української державності були замовчувані як царською, так і більшовицькою владою. Це І.Верхрадський — видатний дослідник флори і фауни, ентомолог, який зробив величезний внесок у створення української наукової термінології; І.Горбачевський — видатний біохімік, який синтезував сечову кислоту, професор Українського університету у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ідні, згодом ректор Празького університету. Серед відомих українських вчених того часу — ботанік і географ О.Волощук, хімік Й.Гекер, природодослідник та суспільствознавець С.Подолинський, знаний у всій Європі економі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ст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М.Туган-Барановський, геолог Ю.Медвецький, хімік Р.Залозецький.</w:t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br/>
        <w:t xml:space="preserve">Наукові досягнення кожного з них здобули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св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ітове визнання. Так, Роман Залозецький був професором Торговельної академії у Львові, радником австро-угорського уряду, заступником консула Великобританії, послом до австро-угорського парламенту, головою товариства «Сільський господар», директором Торгової школи товариства «Просвіта» у Львові. Уродженець Тернопілля, видатний фізик І.Пулюй, першовідкривач катодних променів, попередник німецького вченого В.Рентгена, був доктором філософії, 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техн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ічним директором електротехнічного бюро у Відні, професором Вищої технічної школи в Празі, одним із авторів перекладу українською мовою</w:t>
      </w:r>
      <w:proofErr w:type="gramStart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376726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іблії, фундатором товариства «Просвіта» у Львові, дійсним членом НТШ.</w:t>
      </w:r>
    </w:p>
    <w:p w:rsidR="008600E5" w:rsidRDefault="008600E5" w:rsidP="00376726">
      <w:pPr>
        <w:spacing w:after="0" w:line="300" w:lineRule="atLeast"/>
        <w:rPr>
          <w:lang w:val="uk-UA"/>
        </w:rPr>
      </w:pPr>
      <w:r>
        <w:rPr>
          <w:lang w:val="uk-UA"/>
        </w:rPr>
        <w:t xml:space="preserve"> </w:t>
      </w:r>
    </w:p>
    <w:p w:rsidR="008505FF" w:rsidRDefault="008600E5" w:rsidP="00376726">
      <w:pPr>
        <w:spacing w:after="0" w:line="300" w:lineRule="atLeast"/>
        <w:rPr>
          <w:lang w:val="uk-UA"/>
        </w:rPr>
      </w:pPr>
      <w:r>
        <w:rPr>
          <w:lang w:val="uk-UA"/>
        </w:rPr>
        <w:t>2) Освітні реформи</w:t>
      </w:r>
    </w:p>
    <w:p w:rsidR="008600E5" w:rsidRDefault="008600E5" w:rsidP="008600E5">
      <w:pPr>
        <w:pStyle w:val="a6"/>
        <w:shd w:val="clear" w:color="auto" w:fill="FFFFFF"/>
        <w:spacing w:before="120" w:beforeAutospacing="0" w:after="120" w:afterAutospacing="0" w:line="288" w:lineRule="atLeast"/>
        <w:ind w:left="75" w:right="75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Style w:val="a7"/>
          <w:rFonts w:ascii="Arial" w:hAnsi="Arial" w:cs="Arial"/>
          <w:color w:val="666666"/>
          <w:sz w:val="20"/>
          <w:szCs w:val="20"/>
        </w:rPr>
        <w:t xml:space="preserve">Реформа </w:t>
      </w:r>
      <w:proofErr w:type="gramStart"/>
      <w:r>
        <w:rPr>
          <w:rStyle w:val="a7"/>
          <w:rFonts w:ascii="Arial" w:hAnsi="Arial" w:cs="Arial"/>
          <w:color w:val="666666"/>
          <w:sz w:val="20"/>
          <w:szCs w:val="20"/>
        </w:rPr>
        <w:t>в</w:t>
      </w:r>
      <w:proofErr w:type="gramEnd"/>
      <w:r>
        <w:rPr>
          <w:rStyle w:val="a7"/>
          <w:rFonts w:ascii="Arial" w:hAnsi="Arial" w:cs="Arial"/>
          <w:color w:val="666666"/>
          <w:sz w:val="20"/>
          <w:szCs w:val="20"/>
        </w:rPr>
        <w:t xml:space="preserve"> системі освіти.</w:t>
      </w:r>
      <w:r>
        <w:rPr>
          <w:rStyle w:val="apple-converted-space"/>
          <w:rFonts w:ascii="Arial" w:hAnsi="Arial" w:cs="Arial"/>
          <w:i/>
          <w:iCs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Реформи 60-х pp. дали змогу здобувати освіту навіть найнижчим верствам населення в навчальних закладах усіх 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р</w:t>
      </w:r>
      <w:proofErr w:type="gramEnd"/>
      <w:r>
        <w:rPr>
          <w:rFonts w:ascii="Arial" w:hAnsi="Arial" w:cs="Arial"/>
          <w:color w:val="666666"/>
          <w:sz w:val="20"/>
          <w:szCs w:val="20"/>
        </w:rPr>
        <w:t>івнів. Відповідно до «Положення про початкові народні училища», затвердженому 14</w:t>
      </w:r>
      <w:hyperlink r:id="rId5" w:history="1">
        <w:r>
          <w:rPr>
            <w:rStyle w:val="a3"/>
            <w:rFonts w:ascii="Arial" w:hAnsi="Arial" w:cs="Arial"/>
            <w:sz w:val="20"/>
            <w:szCs w:val="20"/>
          </w:rPr>
          <w:t>липня</w:t>
        </w:r>
      </w:hyperlink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1864 р., запроваджувалася єдина система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Style w:val="a8"/>
          <w:rFonts w:ascii="Arial" w:hAnsi="Arial" w:cs="Arial"/>
          <w:color w:val="666666"/>
          <w:sz w:val="20"/>
          <w:szCs w:val="20"/>
        </w:rPr>
        <w:t>початкової освіти.</w:t>
      </w:r>
      <w:r>
        <w:rPr>
          <w:rStyle w:val="apple-converted-space"/>
          <w:rFonts w:ascii="Arial" w:hAnsi="Arial" w:cs="Arial"/>
          <w:i/>
          <w:iCs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Створювати початкові школи дозволялося як державним і громадським установам і відомства, так і приватним особам, але керівництво навчальним процесом покладалося на пові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тов</w:t>
      </w:r>
      <w:proofErr w:type="gramEnd"/>
      <w:r>
        <w:rPr>
          <w:rFonts w:ascii="Arial" w:hAnsi="Arial" w:cs="Arial"/>
          <w:color w:val="666666"/>
          <w:sz w:val="20"/>
          <w:szCs w:val="20"/>
        </w:rPr>
        <w:t>і і губернські шкільні ради, які складалися з царських чиновників, представників земств і духовенства.</w:t>
      </w:r>
    </w:p>
    <w:p w:rsidR="008600E5" w:rsidRDefault="008600E5" w:rsidP="008600E5">
      <w:pPr>
        <w:pStyle w:val="a6"/>
        <w:shd w:val="clear" w:color="auto" w:fill="FFFFFF"/>
        <w:spacing w:before="120" w:beforeAutospacing="0" w:after="120" w:afterAutospacing="0" w:line="288" w:lineRule="atLeast"/>
        <w:ind w:left="75" w:right="75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Середня освіта</w:t>
      </w:r>
      <w:r>
        <w:rPr>
          <w:rStyle w:val="apple-converted-space"/>
          <w:rFonts w:ascii="Arial" w:hAnsi="Arial" w:cs="Arial"/>
          <w:i/>
          <w:iCs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здобувалася в класичних і реальних чолові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чих і ж</w:t>
      </w:r>
      <w:proofErr w:type="gramEnd"/>
      <w:r>
        <w:rPr>
          <w:rFonts w:ascii="Arial" w:hAnsi="Arial" w:cs="Arial"/>
          <w:color w:val="666666"/>
          <w:sz w:val="20"/>
          <w:szCs w:val="20"/>
        </w:rPr>
        <w:t>іночих гімназіях, навчання в яких було платним. Право вступу до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Style w:val="a8"/>
          <w:rFonts w:ascii="Arial" w:hAnsi="Arial" w:cs="Arial"/>
          <w:color w:val="666666"/>
          <w:sz w:val="20"/>
          <w:szCs w:val="20"/>
        </w:rPr>
        <w:t>університетів</w:t>
      </w:r>
      <w:r>
        <w:rPr>
          <w:rStyle w:val="apple-converted-space"/>
          <w:rFonts w:ascii="Arial" w:hAnsi="Arial" w:cs="Arial"/>
          <w:i/>
          <w:iCs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мали лише ті особи, які закінчували класичні гімназії (в цих закладах переважно вивчали мови та гуманітарні предмети). Випускники реальної гімназії чи реального училища (в цих закладах переважно вивчали природничо-матиматичні предмети) мали право вступу до вищої 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техн</w:t>
      </w:r>
      <w:proofErr w:type="gramEnd"/>
      <w:r>
        <w:rPr>
          <w:rFonts w:ascii="Arial" w:hAnsi="Arial" w:cs="Arial"/>
          <w:color w:val="666666"/>
          <w:sz w:val="20"/>
          <w:szCs w:val="20"/>
        </w:rPr>
        <w:t>ічної школи.</w:t>
      </w:r>
    </w:p>
    <w:p w:rsidR="008600E5" w:rsidRDefault="008600E5" w:rsidP="008600E5">
      <w:pPr>
        <w:pStyle w:val="a6"/>
        <w:shd w:val="clear" w:color="auto" w:fill="FFFFFF"/>
        <w:spacing w:before="120" w:beforeAutospacing="0" w:after="120" w:afterAutospacing="0" w:line="288" w:lineRule="atLeast"/>
        <w:ind w:left="75" w:right="75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Освітня реформа вдосконалювала прожрами навчання. її наслідком стало надання більшої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hyperlink r:id="rId6" w:history="1">
        <w:r>
          <w:rPr>
            <w:rStyle w:val="a3"/>
            <w:rFonts w:ascii="Arial" w:hAnsi="Arial" w:cs="Arial"/>
            <w:sz w:val="20"/>
            <w:szCs w:val="20"/>
          </w:rPr>
          <w:t>автономії</w:t>
        </w:r>
      </w:hyperlink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університетам. 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П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ід час реформування системи освіти було зроблено акцент на поширення писемності серед народних мас. Для цього створювалася популярна література, видавалися 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п</w:t>
      </w:r>
      <w:proofErr w:type="gramEnd"/>
      <w:r>
        <w:rPr>
          <w:rFonts w:ascii="Arial" w:hAnsi="Arial" w:cs="Arial"/>
          <w:color w:val="666666"/>
          <w:sz w:val="20"/>
          <w:szCs w:val="20"/>
        </w:rPr>
        <w:t>ідручники, організовувалися недільні школи для дорослого населення.</w:t>
      </w:r>
    </w:p>
    <w:p w:rsidR="008600E5" w:rsidRPr="008600E5" w:rsidRDefault="008600E5" w:rsidP="008600E5">
      <w:pPr>
        <w:spacing w:after="24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A84361" w:rsidRPr="00A84361" w:rsidRDefault="008600E5" w:rsidP="00A84361">
      <w:pPr>
        <w:pStyle w:val="body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>
        <w:rPr>
          <w:lang w:val="uk-UA"/>
        </w:rPr>
        <w:t>3)</w:t>
      </w:r>
      <w:r w:rsidR="00A84361" w:rsidRPr="00A84361">
        <w:rPr>
          <w:rFonts w:ascii="Arial" w:hAnsi="Arial" w:cs="Arial"/>
          <w:color w:val="824E4A"/>
        </w:rPr>
        <w:t xml:space="preserve"> </w:t>
      </w:r>
      <w:r w:rsidR="00A84361" w:rsidRPr="00A84361">
        <w:rPr>
          <w:rFonts w:ascii="Arial" w:hAnsi="Arial" w:cs="Arial"/>
          <w:color w:val="824E4A"/>
          <w:sz w:val="20"/>
          <w:szCs w:val="20"/>
        </w:rPr>
        <w:t xml:space="preserve">На укр. землях, що входили до складу УСРР—УРСР, кампанія лікнепу здійснювалася впродовж 1920—1930-х рр., на укр. землях, що увійшли до складу УРСР </w:t>
      </w:r>
      <w:proofErr w:type="gramStart"/>
      <w:r w:rsidR="00A84361"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="00A84361" w:rsidRPr="00A84361">
        <w:rPr>
          <w:rFonts w:ascii="Arial" w:hAnsi="Arial" w:cs="Arial"/>
          <w:color w:val="824E4A"/>
          <w:sz w:val="20"/>
          <w:szCs w:val="20"/>
        </w:rPr>
        <w:t>ізніше (див.</w:t>
      </w:r>
      <w:r w:rsidR="00A84361"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7" w:history="1">
        <w:proofErr w:type="gramStart"/>
        <w:r w:rsidR="00A84361"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Возз’єднання українських земель в єдиній державі</w:t>
        </w:r>
      </w:hyperlink>
      <w:r w:rsidR="00A84361" w:rsidRPr="00A84361">
        <w:rPr>
          <w:rFonts w:ascii="Arial" w:hAnsi="Arial" w:cs="Arial"/>
          <w:color w:val="824E4A"/>
          <w:sz w:val="20"/>
          <w:szCs w:val="20"/>
        </w:rPr>
        <w:t>), — до 1954.</w:t>
      </w:r>
      <w:proofErr w:type="gramEnd"/>
      <w:r w:rsidR="00A84361"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="00A84361" w:rsidRPr="00A84361">
        <w:rPr>
          <w:rFonts w:ascii="Arial" w:hAnsi="Arial" w:cs="Arial"/>
          <w:color w:val="824E4A"/>
          <w:sz w:val="20"/>
          <w:szCs w:val="20"/>
        </w:rPr>
        <w:t>На поч. 20 ст. неписьменних серед населення укр. земель було 62 %. Лікнеп в УСРР був започаткований постановою РНК УСРР «Про боротьбу з неписьменністю» від 21 травня 1921, що продублювала декрет РНК РСФРР від 26 грудня 1919 «О борьбе с неграмотностью» і тим самим надала йому чинності на території УСРР.</w:t>
      </w:r>
      <w:proofErr w:type="gramEnd"/>
      <w:r w:rsidR="00A84361"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="00A84361" w:rsidRPr="00A84361">
        <w:rPr>
          <w:rFonts w:ascii="Arial" w:hAnsi="Arial" w:cs="Arial"/>
          <w:color w:val="824E4A"/>
          <w:sz w:val="20"/>
          <w:szCs w:val="20"/>
        </w:rPr>
        <w:t>Згідно з декретом РНК РСФРР населення країни у віці від 8 до 50 років, яке не вміло писати та читати, було зобов’язане навчатися грамоті, а писемне — у порядку трудової повинності (з оплатою пед. праці за нормами працівників освіти) — повинно було навчати грамоті неписьменних.</w:t>
      </w:r>
      <w:proofErr w:type="gramEnd"/>
      <w:r w:rsidR="00A84361" w:rsidRPr="00A84361">
        <w:rPr>
          <w:rFonts w:ascii="Arial" w:hAnsi="Arial" w:cs="Arial"/>
          <w:color w:val="824E4A"/>
          <w:sz w:val="20"/>
          <w:szCs w:val="20"/>
        </w:rPr>
        <w:t xml:space="preserve"> Особи, які ухилялися від цієї повинності або перешкоджали неписьменним навчатися, притягалися до кримінальної відповідальності. Неписьменні робітники, які навчалися грамоті, звільнялися на 2 години з роботи для навчання зі збереженням оплати праці.</w:t>
      </w:r>
    </w:p>
    <w:p w:rsidR="00A84361" w:rsidRPr="00A84361" w:rsidRDefault="00A84361" w:rsidP="00A84361">
      <w:pPr>
        <w:pStyle w:val="bodyabz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Для проведення занять з ліквідації неписьменності надавалися приміщення — нар. будинки, клуби, церкви й навіть приватні буді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вл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 та кімнати на пром. підпр-вах і в рад. закладах. Орг-ції, що «мали відношення до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іквідації неписьменності», отримували право на «переважне постачання перед іншими організаціями».</w:t>
      </w:r>
    </w:p>
    <w:p w:rsidR="00A84361" w:rsidRPr="00A84361" w:rsidRDefault="00A84361" w:rsidP="00A84361">
      <w:pPr>
        <w:pStyle w:val="bodyabz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Кер-во лікнепом покладалося на міжвідомчу</w:t>
      </w:r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8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Всеукраїнську надзвичайну комісію з боротьби із неписьменністю</w:t>
        </w:r>
      </w:hyperlink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r w:rsidRPr="00A84361">
        <w:rPr>
          <w:rFonts w:ascii="Arial" w:hAnsi="Arial" w:cs="Arial"/>
          <w:color w:val="824E4A"/>
          <w:sz w:val="20"/>
          <w:szCs w:val="20"/>
        </w:rPr>
        <w:t xml:space="preserve">при Наркомосі УСРР, у її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ідпорядкуванні були відповідні територіальні та місц. комісії при виконкомах рад. У своїй роботі ці комісії спиралися на місц. осередки К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П(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б)У, рад. та госп. органи, кооп. та ін. громад. орг-ції радянської орієнтації. Залучення жінок до кампанії лікнепу покладалося на</w:t>
      </w:r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9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жінвідділи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, а пізніше — жінсектори КП(б)У.</w:t>
      </w:r>
    </w:p>
    <w:p w:rsidR="00A84361" w:rsidRPr="00A84361" w:rsidRDefault="00A84361" w:rsidP="00A84361">
      <w:pPr>
        <w:pStyle w:val="body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lastRenderedPageBreak/>
        <w:t>Спочатку кампанія проводилася за загальнодерж. кошти. 1923, через дефіцит загальнодерж. бюджету, її фінансування було переведено на місц. бюджети та кошти громад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о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рг-цій.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З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цього ж року кампанія здійснювалася в контексті</w:t>
      </w:r>
      <w:hyperlink r:id="rId10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українізації політики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. Тоді ж (1923) було скасо- вано трудову повинність грамотних щодо навчання неписьменних, а також засуджено примусові заходи залучення неписьменних до навчання.</w:t>
      </w:r>
    </w:p>
    <w:p w:rsidR="00A84361" w:rsidRPr="00A84361" w:rsidRDefault="00A84361" w:rsidP="00A84361">
      <w:pPr>
        <w:pStyle w:val="bodyabz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1924 було створено Всеукр. від-ня Всесоюзного добровільного т-ва («Геть неписьменність!»), на яке покладалося завдання сприяння органам нар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о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світи в боротьбі з неписьменністю, а також з малописьменністю. Т-во діяло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ід гаслом «Кожен письменний має навчити одного неписьменного!».</w:t>
      </w:r>
    </w:p>
    <w:p w:rsidR="00A84361" w:rsidRPr="00A84361" w:rsidRDefault="00A84361" w:rsidP="00A84361">
      <w:pPr>
        <w:pStyle w:val="bodyabz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Згідно з планами кампанії першочергово — до 1 травня 1925 — мала завершитися «остаточна ліквідація неписьменності» членів сільрад,</w:t>
      </w:r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11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профспілок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,</w:t>
      </w:r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12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комітетів незаможних селян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, а також допризовної молоді. Для решти працездатного населення термін лікнепу подовжувався до 7 листопада 1927. Зважаючи на потребу залучення жін. праці до пром. вир-ва у зв’язку з політикою</w:t>
      </w:r>
      <w:hyperlink r:id="rId13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індустріалізації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 xml:space="preserve">, у 2-й пол. 1920-х рр. активізувався прийом до шкіл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ікнепу жінок-активісток — членів делегатських зібрань робітниць і селянок.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Первісно заклади лікнепу поділялися на 3 типи установ. Найбільш поширеними були держ.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школи 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ікнепу 2-х ступенів. Вони організовувалися в містах та великих селах. У школах 1-го ступеня навчали читанню та рахівництву (дорослих — упродовж 6 місяців;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ідлітків — 7,5 місяця). У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школах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2-го ступеня малописьменні розширювали свої знання за програмою початкового навчання (термін відвідування складав від 6 до 9 місяців). Паралельно існували пункти лікнепу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р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ізних громад. орг-цій та т-ва «Геть неписьменність!».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Вони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діяли при клубах, хатах-читальнях і «червоних кутках». Треті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м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типом були гуртки, в яких письменні навчали неписьменних. Вони створювалися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у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віддалених селах і хуторах, де не було культурно-освіт. закладів.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Для навчання дорослих залучалися професійні викладачі, вони мали щоденно працювати в школах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ікнепу по 2 години додатково до осн. роботи. Однак фахівців не вистачало і тому були створені спец. курси та проводилися семінари (всеукр., губернські, окружні) з прискореної підготовки вчителів для шкіл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ікнепу. Упродовж 1920-х рр. вдалося розв’язати проблему кадрів майже повністю для рос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і є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в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рейс., а в основному — для укр. і болг. лікнепів. У лікнепах для нац. меншин при відсутності вчителів, які володіли мовами відповідних меншин, навчання проводилося рос. мовою.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Для боротьби з неписьменністю (це була не лише освітня,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а й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політ. кампанія) не вистачало букварів з новим політ. змістом. Швидкому вирішенню цієї проблеми завадила тогочасна паперова криза. У зв’язку з цим навчання здійснювалося за текстами газ. «Геть неписьменність!» Перші нові абетки побачили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св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іт 1923/24 рос. мовою. Невдовзі їх переклали укр., проте тиражувати в належній кількості не змогли. Видання букварів для нац. меншин розпочалося 1926. Читанки для нім., єврейс. і польс. лікнепів до кінця 1920-х рр. в обмеженій кількості закуповували в</w:t>
      </w:r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14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Москві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Розвиток мережі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ікнепу стримувала нестача приміщень для навчання. Водночас у перші роки лікнепу через малу кількість початкових дитячих освітніх закладів лікнепівські школи були переповнені дітьми та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ідлітками, які складали 87 % їхніх учнів.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Від 1921/22 до 1925/26 навч. рр. кількість закладів лікнепу збільшилася з 1,5 тис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д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о 17,5 тис. Кількість учнів лікнепу за період від 1923/24 до 1924/25 навч. рр. зросла з 40 тис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д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о 500 тис. осіб.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Результативність навчання в закладах лікнепу обмежував короткий термін навчання, а також нерегулярні відвідування занять учнями, спричинені низьким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р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івнем їхнього матеріального забезпечення, сезонністю праці та високою плинністю робочої сили в деяких галузях нар. госп-ва. Багатьох учнів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в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ідштовхували від навчання примусові методи, а також заідеологізований та антиреліг. зміст навч. програм.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Щоб заохотити населення до оволодіння писемністю, було запроваджено систему стимулюючих заходів. Причому не лише для робітників, а й для селян (тих із них, які ставали учнями лікнепу, позачергово обслуговували на держ. млинах, страхували їхнє майно на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ільгових умовах та надавали ін. господарські переваги).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До 1927 основами грамоти оволоділо 52,6 % населення УСРР. Серед мешканців мі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ст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рівень письменності сягав 77,2 %, серед сільс. жителів — 52,6 %. На селі неписьменними залишалися ⅓ чоловіків і ⅔ жінок. Частка письменних жінок у цілому, порівняно з 1920, збільшилася з 27 до 38 %. Відповідна частка чоловіків збільшилася з 49,9 до 69,8 %. Особливо великою була неписьменність серед жінок нац. меншин (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кр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ім росіянок, єврейок і німкень). У регіональному розрізі найнижчий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р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івень письменності зберігався в аграрних районах, насамперед у Молдав. АСРР та Вінницькій </w:t>
      </w:r>
      <w:r w:rsidRPr="00A84361">
        <w:rPr>
          <w:rFonts w:ascii="Arial" w:hAnsi="Arial" w:cs="Arial"/>
          <w:color w:val="824E4A"/>
          <w:sz w:val="20"/>
          <w:szCs w:val="20"/>
        </w:rPr>
        <w:lastRenderedPageBreak/>
        <w:t xml:space="preserve">окрузі. Найвищим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р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івень письменності був у Запорізькій, Сталінській, Миколаївській та Дніпропетровській округах.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Найскладнішим було становище з ліквідації неписьменності у греків і нечисельних нац. меншин: татар, вірмен, ассирійців та ін. Зокрема, у татар це було пов’язано з їхньою міграцією (з м. Казань — нині столиця Татарстану, РФ), особливим, традиційним для</w:t>
      </w:r>
      <w:hyperlink r:id="rId15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ісламу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, ставленням до жінки, недостатньою кількістю як абеток татар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м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овою, так і нац. вчительських кадрів (навчання для татар проводилося переважно рос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м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овою). Повільно здійснювалася ліквідація неписьменності серед молдов. населення за межами Молдав. АСРР.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Від 1926, у зв’язку із впровадженням заг. обов’язкового початкового навчання дітей 8—11 років, мережу закладів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ікнепу було скорочено. У 1927/28 навч. р. діяло 8,5 тис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з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акладів лікнепу, їх відвідувало бл. 372 тис. осіб. Гол. увагу стали приділяти ліквідації малописьменності та рецидивів неписьменності. Якщо 1923 було 188 шкіл з ліквідації малописьменності, то 1924 — 875, а 1927 — 1021. Кількість учнів у цих школах перевищувала число 400 тис.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Від 1927 у зв’язку з численними репресіями «старих» досвідчених учителів до шкіл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ікнепу почали масово направляти «культармійців» — письменних висуванців парт., комсомольських, профспілкових, ін. громад. орг-цій та делегатських зібрань жінок-активісток, які пройшли короткотермінову пед. підготовку на курсах та семінарах.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До жовтня 1927 план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ікнепу вдалося виконати на 30 %.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ісля проголошення курсу на форсоване просування до соціалізму (1929; див.</w:t>
      </w:r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16" w:history="1">
        <w:proofErr w:type="gramStart"/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Соц</w:t>
        </w:r>
        <w:proofErr w:type="gramEnd"/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іалізм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) було форсовано і ліквідацію неписьменності. Водночас посилилися ідеологізація лікнепу й адм. контроль за ним.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Фінансове забезпечення лікнепівської роботи було перекладене на громад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о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рг-ції та населення республіки.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Школи 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ікнепу передали на утримання профспілок, кооперативів, т-ва «Геть неписьменність!». Увели спец. податок і штрафи на користь лікнепу. Посилили тиск на громад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.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о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рг-ції. Завдяки цим заходам було отримано 91,1 % коштів на лікнепівську роботу (у т. ч. від громад. орг-цій — майже половину), решта надійшла з держ. бюджету.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Для випускників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ікнепу було встановлено обов’язкову перевірку їхніх знань з видачею спец. посвідчень. Водночас було розширено кількість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ільг для дорослих неписьменних, які регулярно відвідували школу лікнепу та успішно проходили її програму. Їм надавалися 3 % скидки на театральні квитки, а також право на позачергове отримання продуктів та пром. товарів у магазинах кооперації і міськторгу (нарівні з «ударниками виробництва»).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Кр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ім того, для випускників-відмінників призначалися спец. премії — грошові, товарні, у вигляді путівок у санаторії тощо. Надавалися гарантії для шкільної освіти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ідлітків з родин робітників та незаможних селян. За рахунок пром.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ідпр-в, які брали шефство над школами, було створено стипендіальний фонд для дітей низькооплачуваних робітників, організовано професійну підготовку учнів у школах. Допомогу в навчанні дітей робітників безоплатно надавали вчителі.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Від 1929 було поновлено практику залучення грамотних громадян до безоплатної роботи в лікнепі. До такої роботи в обов’язковому порядку, з кримінальною відповідальністю за ухилення (ст. 202 Карного кодексу), могли притягатися всі грамотні громадяни у віці від 16 до 50 років, не позбавлені виборчих прав.</w:t>
      </w:r>
      <w:proofErr w:type="gramEnd"/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Трудова повинність поряд з уведенням податку на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ікнеп викликали широке незадоволення населення. Лише в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м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істах посилення адм. заходів з ліквідації неписьменності привело до певних позитивних зрушень. В цілому ж у 1928/29 навч. р. план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л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іквідації неписьменності населення було виконано на 12 %, у наступному — на 25 %.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1930 було запроваджено заг. початкове обов’язкове навчання дітей.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Подальший поступ лікнепівської справи істотно стримала кампанія</w:t>
      </w:r>
      <w:hyperlink r:id="rId17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колективізації сільського господарства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У серед. 1930-х рр. пункти та школи письменності було замінено єдиними навч. школами для дорослих з 3-ма курсами навчання: на 1-му — ліквідовувалася неписьменність; на 2-му — малописьменність; на 3-му проводилися загальноосвітня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ідготовка в обсязі шкільної програми 1-го ступеня та певна спеціальна підготовка. Однак закінчувати усі 3 курси було не обов’язково. У повному обсязі отримувала знання лише половина тих, хто навчався.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>Новий імпульс кампанії лікнепу надала постанова РНК СРСР і ЦК ВК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П(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б) від 16 січня 1936 про ліквідацію неписьменності до 1938. Від 1937 широкого розвитку набуло 7-річне навчання. </w:t>
      </w:r>
      <w:r w:rsidRPr="00A84361">
        <w:rPr>
          <w:rFonts w:ascii="Arial" w:hAnsi="Arial" w:cs="Arial"/>
          <w:color w:val="824E4A"/>
          <w:sz w:val="20"/>
          <w:szCs w:val="20"/>
        </w:rPr>
        <w:lastRenderedPageBreak/>
        <w:t xml:space="preserve">Наприкінці 1930-х рр. значна частина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молод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і, яка закінчила початкову школу, продовжувала освіту в старших класах.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Згідно з даними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всесоюзного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перепису населення 1937, в УРСР 85,6 % мешканців вважалися грамотними (1926 таких було 52,6 %). За критерій письменності слугували дві вимоги — читати по складах і написати своє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пр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ізвище. Серед молоді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у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віці 20-ти років до категорії «неписьменні» потрапило від 5 до 8,5 %.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Згідно з даними всесоюзного перепису 1939, грамотного населення в СРСР (за дещо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п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ідвищеним порівняно із застосовуваним 1937 критерієм) було 90,4 % серед мешканців міст і 82,2 % — серед мешканців сіл. Як і раніше, більшу частку грамотних складали чоловіки: 97 % — у містах та 93,5 % — у селах. Питома вага письменних жінок була 84,6 % — в містах і 72,2 % —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у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 xml:space="preserve"> селах.</w:t>
      </w:r>
    </w:p>
    <w:p w:rsidR="00A84361" w:rsidRP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</w:rPr>
      </w:pPr>
      <w:r w:rsidRPr="00A84361">
        <w:rPr>
          <w:rFonts w:ascii="Arial" w:hAnsi="Arial" w:cs="Arial"/>
          <w:color w:val="824E4A"/>
          <w:sz w:val="20"/>
          <w:szCs w:val="20"/>
        </w:rPr>
        <w:t xml:space="preserve">Незважаючи на ці </w:t>
      </w: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дан</w:t>
      </w:r>
      <w:proofErr w:type="gramEnd"/>
      <w:r w:rsidRPr="00A84361">
        <w:rPr>
          <w:rFonts w:ascii="Arial" w:hAnsi="Arial" w:cs="Arial"/>
          <w:color w:val="824E4A"/>
          <w:sz w:val="20"/>
          <w:szCs w:val="20"/>
        </w:rPr>
        <w:t>і перепису (вони, однак, не були опубліковані), кер-во країни заявило про «суцільну письменність населення» СРСР й успішне виконання кампанії лікнепу.</w:t>
      </w:r>
    </w:p>
    <w:p w:rsid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  <w:lang w:val="uk-UA"/>
        </w:rPr>
      </w:pPr>
      <w:proofErr w:type="gramStart"/>
      <w:r w:rsidRPr="00A84361">
        <w:rPr>
          <w:rFonts w:ascii="Arial" w:hAnsi="Arial" w:cs="Arial"/>
          <w:color w:val="824E4A"/>
          <w:sz w:val="20"/>
          <w:szCs w:val="20"/>
        </w:rPr>
        <w:t>У повоєнний час (див.</w:t>
      </w:r>
      <w:proofErr w:type="gramEnd"/>
      <w:r w:rsidRPr="00A84361">
        <w:rPr>
          <w:rStyle w:val="apple-converted-space"/>
          <w:rFonts w:ascii="Arial" w:hAnsi="Arial" w:cs="Arial"/>
          <w:color w:val="824E4A"/>
          <w:sz w:val="20"/>
          <w:szCs w:val="20"/>
        </w:rPr>
        <w:t> </w:t>
      </w:r>
      <w:hyperlink r:id="rId18" w:history="1"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 xml:space="preserve">Друга </w:t>
        </w:r>
        <w:proofErr w:type="gramStart"/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св</w:t>
        </w:r>
        <w:proofErr w:type="gramEnd"/>
        <w:r w:rsidRPr="00A84361">
          <w:rPr>
            <w:rStyle w:val="a3"/>
            <w:rFonts w:ascii="Arial" w:hAnsi="Arial" w:cs="Arial"/>
            <w:color w:val="824E4A"/>
            <w:sz w:val="20"/>
            <w:szCs w:val="20"/>
          </w:rPr>
          <w:t>ітова війна</w:t>
        </w:r>
      </w:hyperlink>
      <w:r w:rsidRPr="00A84361">
        <w:rPr>
          <w:rFonts w:ascii="Arial" w:hAnsi="Arial" w:cs="Arial"/>
          <w:color w:val="824E4A"/>
          <w:sz w:val="20"/>
          <w:szCs w:val="20"/>
        </w:rPr>
        <w:t>) на приєднаних до УРСР землях кампанію лікнепу було продовжено (до 1954). Згідно зі стат. даними 1959, грамотне населення в республіці становило 93,5 %.</w:t>
      </w:r>
    </w:p>
    <w:p w:rsidR="00A84361" w:rsidRDefault="00A84361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  <w:lang w:val="uk-UA"/>
        </w:rPr>
      </w:pPr>
      <w:r>
        <w:rPr>
          <w:rFonts w:ascii="Arial" w:hAnsi="Arial" w:cs="Arial"/>
          <w:color w:val="824E4A"/>
          <w:sz w:val="20"/>
          <w:szCs w:val="20"/>
          <w:lang w:val="uk-UA"/>
        </w:rPr>
        <w:t>4)</w:t>
      </w:r>
      <w:r w:rsidR="00B47CE6">
        <w:rPr>
          <w:rFonts w:ascii="Arial" w:hAnsi="Arial" w:cs="Arial"/>
          <w:color w:val="824E4A"/>
          <w:sz w:val="20"/>
          <w:szCs w:val="20"/>
          <w:lang w:val="uk-UA"/>
        </w:rPr>
        <w:t>------------------------</w:t>
      </w:r>
    </w:p>
    <w:p w:rsidR="00B47CE6" w:rsidRDefault="00B47CE6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  <w:lang w:val="uk-UA"/>
        </w:rPr>
      </w:pPr>
      <w:r>
        <w:rPr>
          <w:rFonts w:ascii="Arial" w:hAnsi="Arial" w:cs="Arial"/>
          <w:color w:val="824E4A"/>
          <w:sz w:val="20"/>
          <w:szCs w:val="20"/>
          <w:lang w:val="uk-UA"/>
        </w:rPr>
        <w:t xml:space="preserve"> Семінар 9</w:t>
      </w:r>
    </w:p>
    <w:p w:rsidR="00B47CE6" w:rsidRP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  <w:lang w:val="uk-UA"/>
        </w:rPr>
      </w:pPr>
      <w:r>
        <w:rPr>
          <w:rFonts w:ascii="Arial" w:hAnsi="Arial" w:cs="Arial"/>
          <w:color w:val="824E4A"/>
          <w:sz w:val="20"/>
          <w:szCs w:val="20"/>
          <w:lang w:val="uk-UA"/>
        </w:rPr>
        <w:t>1)</w:t>
      </w:r>
      <w:r w:rsidRPr="00B47CE6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  <w:lang w:val="uk-UA"/>
        </w:rPr>
        <w:t>Наука в Україні ХІХ ст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  <w:lang w:val="uk-UA"/>
        </w:rPr>
        <w:t>Н</w:t>
      </w:r>
      <w:r>
        <w:rPr>
          <w:rFonts w:ascii="Palatino Linotype" w:hAnsi="Palatino Linotype"/>
          <w:color w:val="000000"/>
          <w:sz w:val="20"/>
          <w:szCs w:val="20"/>
        </w:rPr>
        <w:t xml:space="preserve">айсприятливіші умови для наукової творчості створювалися у вищих навчальних закладах, там же існувала можливість апробувати нові ідеї. Саме з освітою пов'язана праця видатних вітчизняних, російських та іноземних науковців. Це сприяло виникненню наукових шкіл,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п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ідготовки нових кадрів науковців і викладачів.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Значні успіхи було досягнуто в історії, історіографії, етнографії, філології, філософії, природничих та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техн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ічних науках, розвиток яких був пов'язаний із соціальними та економічними змінами.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Розвиток історичної науки у XIX ст.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був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п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ідготовлений посиленням ще наприкінці XVIII ст. зацікавленості дворян-інтелігентів Лівобережжя національною історією.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1800 р. Імперська геральдична канцелярія стала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п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іддавати сумніву право нащадків старшини на статус дворян. Українська знать почала збирати історичні документи, писати статті про славетні діяння своїх предків, що збільшило зацікавленість історією. Завдяки цьому виникла потреба у ґрунтовних і докладних історичних розвідках. Першою працею, яка задовольняла цю потребу, була чотиритомна "История Малой России" (1822 р.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)Д</w:t>
      </w:r>
      <w:proofErr w:type="gramEnd"/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Бантиша-Каменського.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Українському дворянству імпонували авторська ідеологічна інтерпретація української історії, його твердження, що українці є "відгалуженням" російського народу, та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п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іднесення ним значущості Переяславської угоди.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Водночас в анонімній "Історії Русів" прославлялася та романтизувалася козацька минувшина, наголошувалося на окремішності українців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в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ід росіян. У цьому творі містився заклик до самоврядування,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п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ідносилися постаті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Б. Хмельницького, П. Полуботка,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доводилося, що Україна, а не Росія, є прямою спадкоємицею Київської Русі.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У 1842-1843 рр. була видана "Історія Малоросії"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М. Маркевича,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яка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містила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величезний документальний матеріал щодо історії та побуту сходу України.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З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1845 р. почалося видання збірки "Пам'ятники" Київської археографічної комісії, керівником якої був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М. Максимович.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Ц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 збірки містили дуже цінні та різноманітні відомості про соціальну і культурну історію Західної України. Ще більш змістовними виявилися праці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Й. Бодянського,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у яких містилася величезна кількість історіографічних відомостей щодо українського суспільства від давніх часів до тогочасної </w:t>
      </w:r>
      <w:r>
        <w:rPr>
          <w:rFonts w:ascii="Palatino Linotype" w:hAnsi="Palatino Linotype"/>
          <w:color w:val="000000"/>
          <w:sz w:val="20"/>
          <w:szCs w:val="20"/>
        </w:rPr>
        <w:lastRenderedPageBreak/>
        <w:t xml:space="preserve">сучасності. За його сприяння було надруковано "Літопис Самовидця", "Хроника Густинского монастыря", документи, мемуари,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арх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іви тощо.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У середині XIX ст. з'явилися історичні розвідки М.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Костомарова, В.</w:t>
      </w:r>
      <w:r>
        <w:rPr>
          <w:rStyle w:val="apple-converted-space"/>
          <w:rFonts w:ascii="Palatino Linotype" w:hAnsi="Palatino Linotype"/>
          <w:b/>
          <w:bCs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Антоновича, П. Куліша,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О. Лазаревського,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у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друг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ій половині XIX ст. - праці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М. Драгоманова, М. Гру шевського, Д. Яворницького, Д. Багалія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та ін.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XIX ст. можна вважати часом виникнення української історичної науки.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Цьому сприяла всебічна зацікавленість історією дворянства та інтелектуальної еліти, а також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широких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верств населення. За умов національного гноблення і переслідування української культури з боку царського самодержавства,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австр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ійської монархії, панівних верств Польщі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вихід у світ історичних творів сприяв активізації національно-визвольного руху на українських землях,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а отже, неабияким чином впливав на подальші історичні події.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В Україні активізація етнографічних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досл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іджень наприкінці XVIII - на початку XIX ст. значною мірою була пов'язана з посиленням національно-визвольної боротьби слов'янських народів, протидією загальній агресивній централізаторській та асиміляторській політиці європейських держав щодо народів, які не мали власної державності. Розгортання народознавчої роботи стало істотним чинником і показником національно-культурного відродження в Україні.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Українська етнографічна наука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була започаткована працями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Г. Калиновського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("Описание свадебных украинских простонародных обрядов", яка вийшла у Петербурзі 1777 р.) та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Я. Маркевича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(перший том енциклопедії українознавства "Записки о Малороссии, ее жителях и производстве", 1798 р.). Розквіт активності щодо збирання скарбів народної культури припав на початок ХІ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Х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ст. І з цього часу збирання і вивчення етнографічного матеріалу стали однією з домінуючих сфер діяльності української інтелігенції.</w:t>
      </w:r>
    </w:p>
    <w:p w:rsidR="00B47CE6" w:rsidRDefault="00B47CE6" w:rsidP="00B47CE6">
      <w:pPr>
        <w:pStyle w:val="a6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Основи української фольклористики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було закладено збіркою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М. Цертелєва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"Опыт собрания старинних малороссийских песен" (1819 p.). Вивчення народної творчості продовжив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М. Максимович,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якому належать змістовні збірки "Малороссийские песни" (1827 p.), "Украинские народные песни" (1834 р.), "Сборник украинских песен" (1849 р.).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Пл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ідно працював у цьому напрямі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7"/>
          <w:rFonts w:ascii="Palatino Linotype" w:hAnsi="Palatino Linotype"/>
          <w:i/>
          <w:iCs/>
          <w:color w:val="000000"/>
          <w:sz w:val="20"/>
          <w:szCs w:val="20"/>
        </w:rPr>
        <w:t>І. Срезневський,</w:t>
      </w:r>
      <w:r>
        <w:rPr>
          <w:rStyle w:val="apple-converted-space"/>
          <w:rFonts w:ascii="Palatino Linotype" w:hAnsi="Palatino Linotype"/>
          <w:b/>
          <w:bCs/>
          <w:i/>
          <w:iCs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який 1831 р. видав збірки народних пісень, а також поезій харківських поетів "Український альманах". їх своєрідним продовженням була збірка "Запорожская старина", шість випусків якої з'явилися протягом 1833-1838 pp. У Львові 1833 р. В. Залеський оприлюднив збірку галицьких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п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>ісень.</w:t>
      </w:r>
    </w:p>
    <w:p w:rsidR="00B47CE6" w:rsidRPr="00A84361" w:rsidRDefault="00B47CE6" w:rsidP="00A84361">
      <w:pPr>
        <w:pStyle w:val="a6"/>
        <w:shd w:val="clear" w:color="auto" w:fill="F5FFEA"/>
        <w:spacing w:before="0" w:beforeAutospacing="0" w:after="150" w:afterAutospacing="0"/>
        <w:jc w:val="both"/>
        <w:rPr>
          <w:rFonts w:ascii="Arial" w:hAnsi="Arial" w:cs="Arial"/>
          <w:color w:val="824E4A"/>
          <w:sz w:val="20"/>
          <w:szCs w:val="20"/>
          <w:lang w:val="uk-UA"/>
        </w:rPr>
      </w:pPr>
      <w:r>
        <w:rPr>
          <w:rFonts w:ascii="Arial" w:hAnsi="Arial" w:cs="Arial"/>
          <w:color w:val="824E4A"/>
          <w:sz w:val="20"/>
          <w:szCs w:val="20"/>
          <w:lang w:val="uk-UA"/>
        </w:rPr>
        <w:t>2)</w:t>
      </w:r>
      <w:bookmarkStart w:id="0" w:name="_GoBack"/>
      <w:bookmarkEnd w:id="0"/>
    </w:p>
    <w:p w:rsidR="008600E5" w:rsidRPr="00A84361" w:rsidRDefault="008600E5" w:rsidP="00376726">
      <w:pPr>
        <w:spacing w:after="0" w:line="300" w:lineRule="atLeast"/>
        <w:rPr>
          <w:sz w:val="20"/>
          <w:szCs w:val="20"/>
          <w:lang w:val="uk-UA"/>
        </w:rPr>
      </w:pPr>
    </w:p>
    <w:sectPr w:rsidR="008600E5" w:rsidRPr="00A8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BC"/>
    <w:rsid w:val="00187512"/>
    <w:rsid w:val="00376726"/>
    <w:rsid w:val="008505FF"/>
    <w:rsid w:val="008600E5"/>
    <w:rsid w:val="009D4421"/>
    <w:rsid w:val="00A84361"/>
    <w:rsid w:val="00B47CE6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6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67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xt">
    <w:name w:val="txt"/>
    <w:basedOn w:val="a"/>
    <w:rsid w:val="00376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76726"/>
  </w:style>
  <w:style w:type="paragraph" w:customStyle="1" w:styleId="sm">
    <w:name w:val="sm"/>
    <w:basedOn w:val="a"/>
    <w:rsid w:val="00376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600E5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600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00E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600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600E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0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6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600E5"/>
    <w:rPr>
      <w:b/>
      <w:bCs/>
    </w:rPr>
  </w:style>
  <w:style w:type="character" w:styleId="a8">
    <w:name w:val="Emphasis"/>
    <w:basedOn w:val="a0"/>
    <w:uiPriority w:val="20"/>
    <w:qFormat/>
    <w:rsid w:val="008600E5"/>
    <w:rPr>
      <w:i/>
      <w:iCs/>
    </w:rPr>
  </w:style>
  <w:style w:type="paragraph" w:customStyle="1" w:styleId="body">
    <w:name w:val="body"/>
    <w:basedOn w:val="a"/>
    <w:rsid w:val="00A8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abz">
    <w:name w:val="bodyabz"/>
    <w:basedOn w:val="a"/>
    <w:rsid w:val="00A8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6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67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xt">
    <w:name w:val="txt"/>
    <w:basedOn w:val="a"/>
    <w:rsid w:val="00376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76726"/>
  </w:style>
  <w:style w:type="paragraph" w:customStyle="1" w:styleId="sm">
    <w:name w:val="sm"/>
    <w:basedOn w:val="a"/>
    <w:rsid w:val="00376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600E5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600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00E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600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600E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0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6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600E5"/>
    <w:rPr>
      <w:b/>
      <w:bCs/>
    </w:rPr>
  </w:style>
  <w:style w:type="character" w:styleId="a8">
    <w:name w:val="Emphasis"/>
    <w:basedOn w:val="a0"/>
    <w:uiPriority w:val="20"/>
    <w:qFormat/>
    <w:rsid w:val="008600E5"/>
    <w:rPr>
      <w:i/>
      <w:iCs/>
    </w:rPr>
  </w:style>
  <w:style w:type="paragraph" w:customStyle="1" w:styleId="body">
    <w:name w:val="body"/>
    <w:basedOn w:val="a"/>
    <w:rsid w:val="00A8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abz">
    <w:name w:val="bodyabz"/>
    <w:basedOn w:val="a"/>
    <w:rsid w:val="00A8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345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359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3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</w:div>
                  </w:divsChild>
                </w:div>
              </w:divsChild>
            </w:div>
          </w:divsChild>
        </w:div>
        <w:div w:id="1116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tory.org.ua/?termin=Vseukrainska_nadzvychajna" TargetMode="External"/><Relationship Id="rId13" Type="http://schemas.openxmlformats.org/officeDocument/2006/relationships/hyperlink" Target="http://www.history.org.ua/?termin=Industrializacija" TargetMode="External"/><Relationship Id="rId18" Type="http://schemas.openxmlformats.org/officeDocument/2006/relationships/hyperlink" Target="http://www.history.org.ua/?termin=Druga_svitova_viyna_1939_19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istory.org.ua/?termin=Vozziednannia_ukrainskykh_1939" TargetMode="External"/><Relationship Id="rId12" Type="http://schemas.openxmlformats.org/officeDocument/2006/relationships/hyperlink" Target="http://www.history.org.ua/?termin=Komitety_nezamozhnykh_selyan" TargetMode="External"/><Relationship Id="rId17" Type="http://schemas.openxmlformats.org/officeDocument/2006/relationships/hyperlink" Target="http://www.history.org.ua/?termin=Kolektyvizaciy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history.org.ua/?termin=Sotsializ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istua.com/slovnik/a/avtonomiya" TargetMode="External"/><Relationship Id="rId11" Type="http://schemas.openxmlformats.org/officeDocument/2006/relationships/hyperlink" Target="http://www.history.org.ua/?termin=Profspilky" TargetMode="External"/><Relationship Id="rId5" Type="http://schemas.openxmlformats.org/officeDocument/2006/relationships/hyperlink" Target="http://histua.com/ru/personi/l/lipa-ivan" TargetMode="External"/><Relationship Id="rId15" Type="http://schemas.openxmlformats.org/officeDocument/2006/relationships/hyperlink" Target="http://www.history.org.ua/?termin=Islam" TargetMode="External"/><Relationship Id="rId10" Type="http://schemas.openxmlformats.org/officeDocument/2006/relationships/hyperlink" Target="http://www.history.org.ua/?termin=Ukrainizatsii_polityk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istory.org.ua/?termin=Zhinviddily" TargetMode="External"/><Relationship Id="rId14" Type="http://schemas.openxmlformats.org/officeDocument/2006/relationships/hyperlink" Target="http://www.history.org.ua/?termin=Mosk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4340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3</cp:revision>
  <dcterms:created xsi:type="dcterms:W3CDTF">2015-06-02T10:52:00Z</dcterms:created>
  <dcterms:modified xsi:type="dcterms:W3CDTF">2015-06-02T20:17:00Z</dcterms:modified>
</cp:coreProperties>
</file>