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59F" w:rsidRPr="0014359F" w:rsidRDefault="0014359F" w:rsidP="0014359F">
      <w:pPr>
        <w:pStyle w:val="a3"/>
        <w:rPr>
          <w:b/>
          <w:lang w:val="uk-UA"/>
        </w:rPr>
      </w:pPr>
      <w:r w:rsidRPr="0014359F">
        <w:rPr>
          <w:b/>
          <w:lang w:val="uk-UA"/>
        </w:rPr>
        <w:t>49.</w:t>
      </w:r>
      <w:r w:rsidRPr="0014359F">
        <w:rPr>
          <w:b/>
          <w:lang w:val="uk-UA"/>
        </w:rPr>
        <w:tab/>
        <w:t>Дати визначення небезпечним і шкідливим виробничим факторам.</w:t>
      </w:r>
    </w:p>
    <w:p w:rsidR="0014359F" w:rsidRPr="0014359F" w:rsidRDefault="0014359F" w:rsidP="0014359F">
      <w:pPr>
        <w:pStyle w:val="a3"/>
        <w:rPr>
          <w:lang w:val="uk-UA"/>
        </w:rPr>
      </w:pPr>
      <w:r w:rsidRPr="00B17093">
        <w:rPr>
          <w:b/>
          <w:lang w:val="uk-UA"/>
        </w:rPr>
        <w:t>Шкідлив</w:t>
      </w:r>
      <w:r w:rsidR="00B17093" w:rsidRPr="00B17093">
        <w:rPr>
          <w:b/>
          <w:lang w:val="uk-UA"/>
        </w:rPr>
        <w:t>ий виробничий фактор</w:t>
      </w:r>
      <w:r w:rsidR="00B17093">
        <w:rPr>
          <w:lang w:val="uk-UA"/>
        </w:rPr>
        <w:t xml:space="preserve"> - виробничий</w:t>
      </w:r>
      <w:r w:rsidRPr="0014359F">
        <w:rPr>
          <w:lang w:val="uk-UA"/>
        </w:rPr>
        <w:t xml:space="preserve">  </w:t>
      </w:r>
      <w:r w:rsidRPr="0014359F">
        <w:rPr>
          <w:lang w:val="uk-UA"/>
        </w:rPr>
        <w:t xml:space="preserve">фактор, вплив якого може призвести до погіршення стану здоров’я зниження працездатності працівника. </w:t>
      </w:r>
    </w:p>
    <w:p w:rsidR="0014359F" w:rsidRPr="0014359F" w:rsidRDefault="0014359F" w:rsidP="0014359F">
      <w:pPr>
        <w:pStyle w:val="a3"/>
        <w:rPr>
          <w:lang w:val="uk-UA"/>
        </w:rPr>
      </w:pPr>
      <w:r w:rsidRPr="00B17093">
        <w:rPr>
          <w:b/>
          <w:lang w:val="uk-UA"/>
        </w:rPr>
        <w:t>Небезпечний виробничий фактор</w:t>
      </w:r>
      <w:r w:rsidRPr="0014359F">
        <w:rPr>
          <w:lang w:val="uk-UA"/>
        </w:rPr>
        <w:t xml:space="preserve"> — виробничий фактор, дія якого за певних умов може призвести до травм або іншого раптового погіршення здоров’я працівника.</w:t>
      </w:r>
    </w:p>
    <w:p w:rsidR="0014359F" w:rsidRDefault="0014359F" w:rsidP="0014359F">
      <w:pPr>
        <w:pStyle w:val="a3"/>
        <w:rPr>
          <w:lang w:val="uk-UA"/>
        </w:rPr>
      </w:pPr>
      <w:r w:rsidRPr="0014359F">
        <w:rPr>
          <w:lang w:val="uk-UA"/>
        </w:rPr>
        <w:t>Відповідно до ПХТ 12.0.003-74 небезпечні та шкідливі фактори за природою дії поділяються на такі групи: фізичні, хімічні, біологічні та психофізіологічні.</w:t>
      </w:r>
    </w:p>
    <w:p w:rsidR="00B17093" w:rsidRPr="0014359F" w:rsidRDefault="00B17093" w:rsidP="0014359F">
      <w:pPr>
        <w:pStyle w:val="a3"/>
        <w:rPr>
          <w:lang w:val="uk-UA"/>
        </w:rPr>
      </w:pPr>
    </w:p>
    <w:p w:rsidR="0014359F" w:rsidRPr="0014359F" w:rsidRDefault="0014359F" w:rsidP="0014359F">
      <w:pPr>
        <w:pStyle w:val="a3"/>
        <w:rPr>
          <w:lang w:val="uk-UA"/>
        </w:rPr>
      </w:pPr>
      <w:r w:rsidRPr="0014359F">
        <w:rPr>
          <w:lang w:val="uk-UA"/>
        </w:rPr>
        <w:t>До фізичних небезпечних та шкідливи</w:t>
      </w:r>
      <w:r w:rsidRPr="0014359F">
        <w:rPr>
          <w:lang w:val="uk-UA"/>
        </w:rPr>
        <w:t>х виробничих факторів належать:</w:t>
      </w:r>
    </w:p>
    <w:p w:rsidR="0014359F" w:rsidRPr="0014359F" w:rsidRDefault="0014359F" w:rsidP="0014359F">
      <w:pPr>
        <w:pStyle w:val="a3"/>
        <w:rPr>
          <w:lang w:val="uk-UA"/>
        </w:rPr>
      </w:pPr>
      <w:r w:rsidRPr="0014359F">
        <w:rPr>
          <w:lang w:val="uk-UA"/>
        </w:rPr>
        <w:t xml:space="preserve">    рухомі машини та механізми;</w:t>
      </w:r>
    </w:p>
    <w:p w:rsidR="0014359F" w:rsidRPr="0014359F" w:rsidRDefault="0014359F" w:rsidP="0014359F">
      <w:pPr>
        <w:pStyle w:val="a3"/>
        <w:rPr>
          <w:lang w:val="uk-UA"/>
        </w:rPr>
      </w:pPr>
      <w:r w:rsidRPr="0014359F">
        <w:rPr>
          <w:lang w:val="uk-UA"/>
        </w:rPr>
        <w:t xml:space="preserve">    пересувні частини виробничого устаткування;</w:t>
      </w:r>
    </w:p>
    <w:p w:rsidR="0014359F" w:rsidRPr="0014359F" w:rsidRDefault="0014359F" w:rsidP="0014359F">
      <w:pPr>
        <w:pStyle w:val="a3"/>
        <w:rPr>
          <w:lang w:val="uk-UA"/>
        </w:rPr>
      </w:pPr>
      <w:r w:rsidRPr="0014359F">
        <w:rPr>
          <w:lang w:val="uk-UA"/>
        </w:rPr>
        <w:t xml:space="preserve">    підвищена запиленість та загазованість повітря робочої зони;</w:t>
      </w:r>
    </w:p>
    <w:p w:rsidR="0014359F" w:rsidRPr="0014359F" w:rsidRDefault="0014359F" w:rsidP="0014359F">
      <w:pPr>
        <w:pStyle w:val="a3"/>
        <w:rPr>
          <w:lang w:val="uk-UA"/>
        </w:rPr>
      </w:pPr>
      <w:r w:rsidRPr="0014359F">
        <w:rPr>
          <w:lang w:val="uk-UA"/>
        </w:rPr>
        <w:t xml:space="preserve">    підвищена чи знижена температура поверхонь устаткування, матеріалів чи повітря робочої зони;</w:t>
      </w:r>
    </w:p>
    <w:p w:rsidR="0014359F" w:rsidRPr="0014359F" w:rsidRDefault="0014359F" w:rsidP="0014359F">
      <w:pPr>
        <w:pStyle w:val="a3"/>
        <w:rPr>
          <w:lang w:val="uk-UA"/>
        </w:rPr>
      </w:pPr>
      <w:r w:rsidRPr="0014359F">
        <w:rPr>
          <w:lang w:val="uk-UA"/>
        </w:rPr>
        <w:t xml:space="preserve">    підвищений рівень шуму, вібрацій, інфразвукових коливань, ультразвуку, іонізуючих випромінювань, статичної електрики, електромагнітних випромінювань, ультрафіолетової чи інфрачервоної радіації;</w:t>
      </w:r>
    </w:p>
    <w:p w:rsidR="0014359F" w:rsidRPr="0014359F" w:rsidRDefault="0014359F" w:rsidP="0014359F">
      <w:pPr>
        <w:pStyle w:val="a3"/>
        <w:rPr>
          <w:lang w:val="uk-UA"/>
        </w:rPr>
      </w:pPr>
      <w:r w:rsidRPr="0014359F">
        <w:rPr>
          <w:lang w:val="uk-UA"/>
        </w:rPr>
        <w:t xml:space="preserve">    підвищені чи знижені барометричний тиск, вологість, іонізація та рухомість повітря;</w:t>
      </w:r>
    </w:p>
    <w:p w:rsidR="0014359F" w:rsidRPr="0014359F" w:rsidRDefault="0014359F" w:rsidP="0014359F">
      <w:pPr>
        <w:pStyle w:val="a3"/>
        <w:rPr>
          <w:lang w:val="uk-UA"/>
        </w:rPr>
      </w:pPr>
      <w:r w:rsidRPr="0014359F">
        <w:rPr>
          <w:lang w:val="uk-UA"/>
        </w:rPr>
        <w:t xml:space="preserve">    небезпечне значення напруги в електричному колі; підвищена напруженість електричного чи магнітного полів;</w:t>
      </w:r>
    </w:p>
    <w:p w:rsidR="0014359F" w:rsidRPr="0014359F" w:rsidRDefault="0014359F" w:rsidP="0014359F">
      <w:pPr>
        <w:pStyle w:val="a3"/>
        <w:rPr>
          <w:lang w:val="uk-UA"/>
        </w:rPr>
      </w:pPr>
      <w:r w:rsidRPr="0014359F">
        <w:rPr>
          <w:lang w:val="uk-UA"/>
        </w:rPr>
        <w:t xml:space="preserve">    відсутність чи нестача природного світла;</w:t>
      </w:r>
    </w:p>
    <w:p w:rsidR="0014359F" w:rsidRPr="0014359F" w:rsidRDefault="0014359F" w:rsidP="0014359F">
      <w:pPr>
        <w:pStyle w:val="a3"/>
        <w:rPr>
          <w:lang w:val="uk-UA"/>
        </w:rPr>
      </w:pPr>
      <w:r w:rsidRPr="0014359F">
        <w:rPr>
          <w:lang w:val="uk-UA"/>
        </w:rPr>
        <w:t xml:space="preserve">    недостатня освітленість робочої зони; підвищена яскравість світла; пряме та відбите випромінювання, що створює </w:t>
      </w:r>
      <w:proofErr w:type="spellStart"/>
      <w:r w:rsidRPr="0014359F">
        <w:rPr>
          <w:lang w:val="uk-UA"/>
        </w:rPr>
        <w:t>засліплюючу</w:t>
      </w:r>
      <w:proofErr w:type="spellEnd"/>
      <w:r w:rsidRPr="0014359F">
        <w:rPr>
          <w:lang w:val="uk-UA"/>
        </w:rPr>
        <w:t xml:space="preserve"> дію.</w:t>
      </w:r>
    </w:p>
    <w:p w:rsidR="0014359F" w:rsidRPr="0014359F" w:rsidRDefault="0014359F" w:rsidP="0014359F">
      <w:pPr>
        <w:pStyle w:val="a3"/>
        <w:rPr>
          <w:lang w:val="uk-UA"/>
        </w:rPr>
      </w:pPr>
    </w:p>
    <w:p w:rsidR="0014359F" w:rsidRPr="0014359F" w:rsidRDefault="0014359F" w:rsidP="0014359F">
      <w:pPr>
        <w:pStyle w:val="a3"/>
        <w:rPr>
          <w:color w:val="7F7F7F" w:themeColor="text1" w:themeTint="80"/>
        </w:rPr>
      </w:pPr>
      <w:r w:rsidRPr="0014359F">
        <w:rPr>
          <w:color w:val="7F7F7F" w:themeColor="text1" w:themeTint="80"/>
        </w:rPr>
        <w:t>************** подробнее о факторах, не обязательно **************</w:t>
      </w:r>
    </w:p>
    <w:p w:rsidR="0014359F" w:rsidRPr="0014359F" w:rsidRDefault="0014359F" w:rsidP="0014359F">
      <w:pPr>
        <w:pStyle w:val="a3"/>
        <w:rPr>
          <w:lang w:val="uk-UA"/>
        </w:rPr>
      </w:pPr>
      <w:r w:rsidRPr="0014359F">
        <w:rPr>
          <w:lang w:val="uk-UA"/>
        </w:rPr>
        <w:t xml:space="preserve">До хімічних небезпечних та шкідливих виробничих факторів належать хімічні речовини, які за характером дії на організм людини поділяються на </w:t>
      </w:r>
      <w:proofErr w:type="spellStart"/>
      <w:r w:rsidRPr="0014359F">
        <w:rPr>
          <w:lang w:val="uk-UA"/>
        </w:rPr>
        <w:t>загальнотоксичні</w:t>
      </w:r>
      <w:proofErr w:type="spellEnd"/>
      <w:r w:rsidRPr="0014359F">
        <w:rPr>
          <w:lang w:val="uk-UA"/>
        </w:rPr>
        <w:t>, подразнюючі сенсибілізуючі, канцерогенні, мутагенні такі, що впливають на репродуктивну функцію.</w:t>
      </w:r>
    </w:p>
    <w:p w:rsidR="0014359F" w:rsidRPr="0014359F" w:rsidRDefault="0014359F" w:rsidP="0014359F">
      <w:pPr>
        <w:pStyle w:val="a3"/>
        <w:rPr>
          <w:lang w:val="uk-UA"/>
        </w:rPr>
      </w:pPr>
    </w:p>
    <w:p w:rsidR="0014359F" w:rsidRPr="0014359F" w:rsidRDefault="0014359F" w:rsidP="0014359F">
      <w:pPr>
        <w:pStyle w:val="a3"/>
        <w:rPr>
          <w:lang w:val="uk-UA"/>
        </w:rPr>
      </w:pPr>
      <w:r w:rsidRPr="0014359F">
        <w:rPr>
          <w:lang w:val="uk-UA"/>
        </w:rPr>
        <w:t>До біологічних небезпечних та шкідливих виробничих факторів належать патогенні мікроорганізми (бактерії, віруси, мікроскопічні гриби та ін.) та продукти їх життєдіяльності, а також макроорганізми (рослини та тварини).</w:t>
      </w:r>
    </w:p>
    <w:p w:rsidR="0014359F" w:rsidRPr="0014359F" w:rsidRDefault="0014359F" w:rsidP="0014359F">
      <w:pPr>
        <w:pStyle w:val="a3"/>
        <w:rPr>
          <w:lang w:val="uk-UA"/>
        </w:rPr>
      </w:pPr>
    </w:p>
    <w:p w:rsidR="0014359F" w:rsidRPr="0014359F" w:rsidRDefault="0014359F" w:rsidP="0014359F">
      <w:pPr>
        <w:pStyle w:val="a3"/>
        <w:rPr>
          <w:lang w:val="uk-UA"/>
        </w:rPr>
      </w:pPr>
      <w:r w:rsidRPr="0014359F">
        <w:rPr>
          <w:lang w:val="uk-UA"/>
        </w:rPr>
        <w:t xml:space="preserve">До психофізіологічних небезпечних та шкідливих виробничих факторів належать фізичні (статичні та динамічні) і нервово-психічні перевантаження (розумове перенапруження, </w:t>
      </w:r>
      <w:proofErr w:type="spellStart"/>
      <w:r w:rsidRPr="0014359F">
        <w:rPr>
          <w:lang w:val="uk-UA"/>
        </w:rPr>
        <w:t>перенапруження</w:t>
      </w:r>
      <w:proofErr w:type="spellEnd"/>
      <w:r w:rsidRPr="0014359F">
        <w:rPr>
          <w:lang w:val="uk-UA"/>
        </w:rPr>
        <w:t xml:space="preserve"> органів чуття, монотонність праці, емоційні перевантаження).</w:t>
      </w:r>
    </w:p>
    <w:p w:rsidR="0014359F" w:rsidRPr="0014359F" w:rsidRDefault="0014359F" w:rsidP="0014359F">
      <w:pPr>
        <w:pStyle w:val="a3"/>
        <w:rPr>
          <w:lang w:val="uk-UA"/>
        </w:rPr>
      </w:pPr>
    </w:p>
    <w:p w:rsidR="0014359F" w:rsidRPr="0014359F" w:rsidRDefault="0014359F" w:rsidP="0014359F">
      <w:pPr>
        <w:pStyle w:val="a3"/>
        <w:rPr>
          <w:lang w:val="uk-UA"/>
        </w:rPr>
      </w:pPr>
      <w:r w:rsidRPr="0014359F">
        <w:rPr>
          <w:lang w:val="uk-UA"/>
        </w:rPr>
        <w:t>Один і той же небезпечний і шкідливий виробничий фактор за природою своєї дії може належати одночасно до різних груп. Дія окремих несприятливих факторів виробничого середовища може Призвести невиробничої травми — порушення анатомічної цілісності організму людини або його функцій внаслідок впливу виробничих факторів.</w:t>
      </w:r>
    </w:p>
    <w:p w:rsidR="0014359F" w:rsidRPr="0014359F" w:rsidRDefault="0014359F" w:rsidP="0014359F">
      <w:pPr>
        <w:pStyle w:val="a3"/>
        <w:rPr>
          <w:lang w:val="uk-UA"/>
        </w:rPr>
      </w:pPr>
    </w:p>
    <w:p w:rsidR="0014359F" w:rsidRPr="0014359F" w:rsidRDefault="0014359F" w:rsidP="0014359F">
      <w:pPr>
        <w:pStyle w:val="a3"/>
        <w:rPr>
          <w:lang w:val="uk-UA"/>
        </w:rPr>
      </w:pPr>
      <w:r w:rsidRPr="0014359F">
        <w:rPr>
          <w:lang w:val="uk-UA"/>
        </w:rPr>
        <w:t>Часто травма є наслідком нещасного випадку. Нещасний випадок на виробництві — раптовий вплив на працівника небезпечного виробничого фактора чи середовища, внаслідок яких заподіяна шкода здоров’ю або спричинена смерть.</w:t>
      </w:r>
    </w:p>
    <w:p w:rsidR="0014359F" w:rsidRDefault="0014359F" w:rsidP="0014359F">
      <w:pPr>
        <w:pStyle w:val="a3"/>
        <w:rPr>
          <w:lang w:val="uk-UA"/>
        </w:rPr>
      </w:pPr>
    </w:p>
    <w:p w:rsidR="0014359F" w:rsidRDefault="0014359F" w:rsidP="0014359F">
      <w:pPr>
        <w:pStyle w:val="a3"/>
        <w:rPr>
          <w:lang w:val="uk-UA"/>
        </w:rPr>
      </w:pPr>
    </w:p>
    <w:p w:rsidR="0014359F" w:rsidRDefault="0014359F" w:rsidP="0014359F">
      <w:pPr>
        <w:pStyle w:val="a3"/>
        <w:rPr>
          <w:lang w:val="uk-UA"/>
        </w:rPr>
      </w:pPr>
    </w:p>
    <w:p w:rsidR="0014359F" w:rsidRDefault="0014359F" w:rsidP="0014359F">
      <w:pPr>
        <w:pStyle w:val="a3"/>
        <w:rPr>
          <w:lang w:val="uk-UA"/>
        </w:rPr>
      </w:pPr>
    </w:p>
    <w:p w:rsidR="0014359F" w:rsidRDefault="0014359F" w:rsidP="0014359F">
      <w:pPr>
        <w:pStyle w:val="a3"/>
        <w:rPr>
          <w:lang w:val="uk-UA"/>
        </w:rPr>
      </w:pPr>
    </w:p>
    <w:p w:rsidR="0014359F" w:rsidRDefault="0014359F" w:rsidP="0014359F">
      <w:pPr>
        <w:pStyle w:val="a3"/>
        <w:rPr>
          <w:lang w:val="uk-UA"/>
        </w:rPr>
      </w:pPr>
    </w:p>
    <w:p w:rsidR="0014359F" w:rsidRDefault="0014359F" w:rsidP="0014359F">
      <w:pPr>
        <w:pStyle w:val="a3"/>
        <w:rPr>
          <w:lang w:val="uk-UA"/>
        </w:rPr>
      </w:pPr>
    </w:p>
    <w:p w:rsidR="0014359F" w:rsidRDefault="0014359F" w:rsidP="0014359F">
      <w:pPr>
        <w:pStyle w:val="a3"/>
        <w:rPr>
          <w:lang w:val="uk-UA"/>
        </w:rPr>
      </w:pPr>
    </w:p>
    <w:p w:rsidR="0014359F" w:rsidRDefault="0014359F" w:rsidP="0014359F">
      <w:pPr>
        <w:pStyle w:val="a3"/>
        <w:rPr>
          <w:lang w:val="uk-UA"/>
        </w:rPr>
      </w:pPr>
    </w:p>
    <w:p w:rsidR="0014359F" w:rsidRDefault="0014359F" w:rsidP="0014359F">
      <w:pPr>
        <w:pStyle w:val="a3"/>
        <w:rPr>
          <w:lang w:val="uk-UA"/>
        </w:rPr>
      </w:pPr>
    </w:p>
    <w:p w:rsidR="0014359F" w:rsidRDefault="0014359F" w:rsidP="0014359F">
      <w:pPr>
        <w:pStyle w:val="a3"/>
        <w:rPr>
          <w:lang w:val="uk-UA"/>
        </w:rPr>
      </w:pPr>
    </w:p>
    <w:p w:rsidR="0014359F" w:rsidRPr="0014359F" w:rsidRDefault="0014359F" w:rsidP="0014359F">
      <w:pPr>
        <w:pStyle w:val="a3"/>
        <w:rPr>
          <w:b/>
          <w:lang w:val="uk-UA"/>
        </w:rPr>
      </w:pPr>
      <w:r w:rsidRPr="0014359F">
        <w:rPr>
          <w:b/>
          <w:lang w:val="uk-UA"/>
        </w:rPr>
        <w:t>50.</w:t>
      </w:r>
      <w:r w:rsidRPr="0014359F">
        <w:rPr>
          <w:b/>
          <w:lang w:val="uk-UA"/>
        </w:rPr>
        <w:tab/>
        <w:t>Пояснити на які чотири групи поділяють фактори, що визначають умови праці</w:t>
      </w:r>
    </w:p>
    <w:p w:rsidR="0014359F" w:rsidRPr="0014359F" w:rsidRDefault="0014359F" w:rsidP="0014359F">
      <w:pPr>
        <w:pStyle w:val="a3"/>
        <w:rPr>
          <w:lang w:val="uk-UA"/>
        </w:rPr>
      </w:pPr>
      <w:r w:rsidRPr="0014359F">
        <w:rPr>
          <w:lang w:val="uk-UA"/>
        </w:rPr>
        <w:t>Умови праці — це сукупність факторів зовнішнього середовища, що впливають на здоров'я та працездатність людини в процесі праці. Умови праці на кожному робочому місці формуються під впливом таких груп факторів: виробничих, санітарно-гігієнічних, факторів безпеки, інженерно-психологічних, естетичних та соціальних.</w:t>
      </w:r>
    </w:p>
    <w:p w:rsidR="0014359F" w:rsidRPr="0014359F" w:rsidRDefault="0014359F" w:rsidP="0014359F">
      <w:pPr>
        <w:pStyle w:val="a3"/>
      </w:pPr>
    </w:p>
    <w:p w:rsidR="0014359F" w:rsidRPr="0014359F" w:rsidRDefault="0014359F" w:rsidP="0014359F">
      <w:pPr>
        <w:pStyle w:val="a3"/>
        <w:rPr>
          <w:lang w:val="uk-UA"/>
        </w:rPr>
      </w:pPr>
      <w:r w:rsidRPr="0014359F">
        <w:rPr>
          <w:lang w:val="uk-UA"/>
        </w:rPr>
        <w:t xml:space="preserve">Вивчення умов праці на конкретному підприємстві проводиться для того, щоб, по-перше, виявити напрямки і шляхи їх покращання, і по-друге, щоб компенсувати працівникам шкідливий вплив умов праці на їхнє здоров'я у грошовій або іншій формі (вища заробітна плата, пільги у пенсійної </w:t>
      </w:r>
      <w:proofErr w:type="spellStart"/>
      <w:r w:rsidRPr="0014359F">
        <w:rPr>
          <w:lang w:val="uk-UA"/>
        </w:rPr>
        <w:t>му</w:t>
      </w:r>
      <w:proofErr w:type="spellEnd"/>
      <w:r w:rsidRPr="0014359F">
        <w:rPr>
          <w:lang w:val="uk-UA"/>
        </w:rPr>
        <w:t xml:space="preserve"> забезпеченні, спеціальне харчування, скорочена тривалість робочого часу тощо). Основним завданням вивчення умов праці залишається пошук можливостей створення на робочих місцях нормальних умов для роботи за такими напрямками:</w:t>
      </w:r>
    </w:p>
    <w:p w:rsidR="0014359F" w:rsidRPr="0014359F" w:rsidRDefault="0014359F" w:rsidP="0014359F">
      <w:pPr>
        <w:pStyle w:val="a3"/>
        <w:rPr>
          <w:lang w:val="uk-UA"/>
        </w:rPr>
      </w:pPr>
      <w:r w:rsidRPr="0014359F">
        <w:rPr>
          <w:b/>
          <w:lang w:val="uk-UA"/>
        </w:rPr>
        <w:t>технічний</w:t>
      </w:r>
      <w:r w:rsidRPr="0014359F">
        <w:rPr>
          <w:lang w:val="uk-UA"/>
        </w:rPr>
        <w:t xml:space="preserve"> (створення пової техніки, що забезпечує збереження здоров'я і мінімізацію витрат праці);</w:t>
      </w:r>
    </w:p>
    <w:p w:rsidR="0014359F" w:rsidRPr="0014359F" w:rsidRDefault="0014359F" w:rsidP="0014359F">
      <w:pPr>
        <w:pStyle w:val="a3"/>
        <w:rPr>
          <w:lang w:val="uk-UA"/>
        </w:rPr>
      </w:pPr>
      <w:r w:rsidRPr="0014359F">
        <w:rPr>
          <w:b/>
          <w:lang w:val="uk-UA"/>
        </w:rPr>
        <w:t>технологічний</w:t>
      </w:r>
      <w:r w:rsidRPr="0014359F">
        <w:rPr>
          <w:lang w:val="uk-UA"/>
        </w:rPr>
        <w:t xml:space="preserve"> (впровадження нових технологічних режимів, що дозволяють виводити людей із безпосередньо робочих зон);</w:t>
      </w:r>
    </w:p>
    <w:p w:rsidR="0014359F" w:rsidRPr="0014359F" w:rsidRDefault="0014359F" w:rsidP="0014359F">
      <w:pPr>
        <w:pStyle w:val="a3"/>
        <w:rPr>
          <w:lang w:val="uk-UA"/>
        </w:rPr>
      </w:pPr>
      <w:r w:rsidRPr="0014359F">
        <w:rPr>
          <w:b/>
          <w:lang w:val="uk-UA"/>
        </w:rPr>
        <w:t xml:space="preserve">організаційний, психофізіологічний і соціальний </w:t>
      </w:r>
      <w:r w:rsidRPr="0014359F">
        <w:rPr>
          <w:lang w:val="uk-UA"/>
        </w:rPr>
        <w:t>напрямки полягають в оздоровленні виробничого середовища, y.*j підвищенні інтересу до роботи та її результатів;</w:t>
      </w:r>
    </w:p>
    <w:p w:rsidR="0014359F" w:rsidRPr="0014359F" w:rsidRDefault="0014359F" w:rsidP="0014359F">
      <w:pPr>
        <w:pStyle w:val="a3"/>
        <w:rPr>
          <w:lang w:val="uk-UA"/>
        </w:rPr>
      </w:pPr>
      <w:r w:rsidRPr="0014359F">
        <w:rPr>
          <w:b/>
          <w:lang w:val="uk-UA"/>
        </w:rPr>
        <w:t>естетичний</w:t>
      </w:r>
      <w:r w:rsidRPr="0014359F">
        <w:rPr>
          <w:lang w:val="uk-UA"/>
        </w:rPr>
        <w:t xml:space="preserve"> (зміна кольорів, звуків, світла, форм, які застосовуються у виробництві, і впровадження у них художніх елементів, що позитивно впливає на самопочуття людини на роботі і сприяє підвищенню результативності праці).</w:t>
      </w:r>
    </w:p>
    <w:p w:rsidR="0014359F" w:rsidRDefault="0014359F"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415DDB" w:rsidRDefault="00415DDB"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415DDB" w:rsidP="0014359F">
      <w:pPr>
        <w:pStyle w:val="a3"/>
        <w:rPr>
          <w:b/>
          <w:lang w:val="uk-UA"/>
        </w:rPr>
      </w:pPr>
      <w:r w:rsidRPr="00415DDB">
        <w:rPr>
          <w:b/>
          <w:lang w:val="uk-UA"/>
        </w:rPr>
        <w:lastRenderedPageBreak/>
        <w:t>51.</w:t>
      </w:r>
      <w:r w:rsidRPr="00415DDB">
        <w:rPr>
          <w:b/>
          <w:lang w:val="uk-UA"/>
        </w:rPr>
        <w:tab/>
        <w:t>Визначити, які величини змінного з частотою 50 Гц струму і напруги під час тривалого впливу на людину є допустимими</w:t>
      </w:r>
    </w:p>
    <w:p w:rsidR="0079382A" w:rsidRPr="0079382A" w:rsidRDefault="0079382A" w:rsidP="0014359F">
      <w:pPr>
        <w:pStyle w:val="a3"/>
        <w:rPr>
          <w:lang w:val="uk-UA"/>
        </w:rPr>
      </w:pPr>
    </w:p>
    <w:p w:rsidR="0079382A" w:rsidRPr="0079382A" w:rsidRDefault="0079382A" w:rsidP="0014359F">
      <w:pPr>
        <w:pStyle w:val="a3"/>
      </w:pPr>
      <w:proofErr w:type="spellStart"/>
      <w:r w:rsidRPr="0079382A">
        <w:t>Граничнодопустимі</w:t>
      </w:r>
      <w:proofErr w:type="spellEnd"/>
      <w:r w:rsidRPr="0079382A">
        <w:t xml:space="preserve"> </w:t>
      </w:r>
      <w:proofErr w:type="spellStart"/>
      <w:r w:rsidRPr="0079382A">
        <w:t>значення</w:t>
      </w:r>
      <w:proofErr w:type="spellEnd"/>
      <w:r w:rsidRPr="0079382A">
        <w:t xml:space="preserve"> </w:t>
      </w:r>
      <w:proofErr w:type="spellStart"/>
      <w:r w:rsidRPr="0079382A">
        <w:t>напруги</w:t>
      </w:r>
      <w:proofErr w:type="spellEnd"/>
      <w:r w:rsidRPr="0079382A">
        <w:t xml:space="preserve"> </w:t>
      </w:r>
      <w:proofErr w:type="spellStart"/>
      <w:r w:rsidRPr="0079382A">
        <w:t>доторкання</w:t>
      </w:r>
      <w:proofErr w:type="spellEnd"/>
      <w:r w:rsidRPr="0079382A">
        <w:t xml:space="preserve">  </w:t>
      </w:r>
      <w:proofErr w:type="spellStart"/>
      <w:r w:rsidRPr="0079382A">
        <w:t>Uдом</w:t>
      </w:r>
      <w:proofErr w:type="spellEnd"/>
      <w:r w:rsidRPr="0079382A">
        <w:t xml:space="preserve"> та </w:t>
      </w:r>
      <w:proofErr w:type="spellStart"/>
      <w:r w:rsidRPr="0079382A">
        <w:t>сили</w:t>
      </w:r>
      <w:proofErr w:type="spellEnd"/>
      <w:r w:rsidRPr="0079382A">
        <w:t xml:space="preserve"> струму </w:t>
      </w:r>
      <w:proofErr w:type="spellStart"/>
      <w:r w:rsidRPr="0079382A">
        <w:t>Іл</w:t>
      </w:r>
      <w:proofErr w:type="spellEnd"/>
      <w:r w:rsidRPr="0079382A">
        <w:t xml:space="preserve">, </w:t>
      </w:r>
      <w:proofErr w:type="spellStart"/>
      <w:r w:rsidRPr="0079382A">
        <w:t>що</w:t>
      </w:r>
      <w:proofErr w:type="spellEnd"/>
      <w:r w:rsidRPr="0079382A">
        <w:t xml:space="preserve"> проходить через </w:t>
      </w:r>
      <w:proofErr w:type="spellStart"/>
      <w:r w:rsidRPr="0079382A">
        <w:t>тіло</w:t>
      </w:r>
      <w:proofErr w:type="spellEnd"/>
      <w:r w:rsidRPr="0079382A">
        <w:t xml:space="preserve"> </w:t>
      </w:r>
      <w:proofErr w:type="spellStart"/>
      <w:r w:rsidRPr="0079382A">
        <w:t>людини</w:t>
      </w:r>
      <w:proofErr w:type="spellEnd"/>
      <w:r w:rsidRPr="0079382A">
        <w:t xml:space="preserve"> при </w:t>
      </w:r>
      <w:proofErr w:type="gramStart"/>
      <w:r w:rsidRPr="0079382A">
        <w:t>нормальному</w:t>
      </w:r>
      <w:proofErr w:type="gramEnd"/>
      <w:r w:rsidRPr="0079382A">
        <w:t xml:space="preserve"> </w:t>
      </w:r>
      <w:proofErr w:type="spellStart"/>
      <w:r w:rsidRPr="0079382A">
        <w:t>режимі</w:t>
      </w:r>
      <w:proofErr w:type="spellEnd"/>
      <w:r w:rsidRPr="0079382A">
        <w:t xml:space="preserve"> </w:t>
      </w:r>
      <w:proofErr w:type="spellStart"/>
      <w:r w:rsidRPr="0079382A">
        <w:t>електроустановки</w:t>
      </w:r>
      <w:proofErr w:type="spellEnd"/>
    </w:p>
    <w:tbl>
      <w:tblPr>
        <w:tblW w:w="954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180"/>
        <w:gridCol w:w="3180"/>
        <w:gridCol w:w="3180"/>
      </w:tblGrid>
      <w:tr w:rsidR="0079382A" w:rsidRPr="0079382A" w:rsidTr="0079382A">
        <w:tblPrEx>
          <w:tblCellMar>
            <w:top w:w="0" w:type="dxa"/>
            <w:bottom w:w="0" w:type="dxa"/>
          </w:tblCellMar>
        </w:tblPrEx>
        <w:trPr>
          <w:trHeight w:val="557"/>
        </w:trPr>
        <w:tc>
          <w:tcPr>
            <w:tcW w:w="3180" w:type="dxa"/>
          </w:tcPr>
          <w:p w:rsidR="0079382A" w:rsidRPr="0079382A" w:rsidRDefault="0079382A" w:rsidP="0079382A">
            <w:pPr>
              <w:pStyle w:val="a3"/>
              <w:rPr>
                <w:lang w:val="uk-UA"/>
              </w:rPr>
            </w:pPr>
            <w:r w:rsidRPr="0079382A">
              <w:rPr>
                <w:lang w:val="uk-UA"/>
              </w:rPr>
              <w:t>Вид струму</w:t>
            </w:r>
          </w:p>
        </w:tc>
        <w:tc>
          <w:tcPr>
            <w:tcW w:w="3180" w:type="dxa"/>
          </w:tcPr>
          <w:p w:rsidR="0079382A" w:rsidRPr="0079382A" w:rsidRDefault="0079382A" w:rsidP="0079382A">
            <w:pPr>
              <w:pStyle w:val="a3"/>
              <w:rPr>
                <w:lang w:val="uk-UA"/>
              </w:rPr>
            </w:pPr>
            <w:r w:rsidRPr="0079382A">
              <w:rPr>
                <w:lang w:val="de-DE"/>
              </w:rPr>
              <w:t>U</w:t>
            </w:r>
            <w:r w:rsidRPr="0079382A">
              <w:rPr>
                <w:vertAlign w:val="subscript"/>
                <w:lang w:val="uk-UA"/>
              </w:rPr>
              <w:t>д</w:t>
            </w:r>
            <w:proofErr w:type="spellStart"/>
            <w:r w:rsidRPr="0079382A">
              <w:rPr>
                <w:vertAlign w:val="subscript"/>
                <w:lang w:val="de-DE"/>
              </w:rPr>
              <w:t>om</w:t>
            </w:r>
            <w:proofErr w:type="spellEnd"/>
            <w:r w:rsidRPr="0079382A">
              <w:rPr>
                <w:lang w:val="de-DE"/>
              </w:rPr>
              <w:t xml:space="preserve">, </w:t>
            </w:r>
            <w:r w:rsidRPr="0079382A">
              <w:rPr>
                <w:lang w:val="uk-UA"/>
              </w:rPr>
              <w:t>В (не більше)</w:t>
            </w:r>
          </w:p>
        </w:tc>
        <w:tc>
          <w:tcPr>
            <w:tcW w:w="3180" w:type="dxa"/>
          </w:tcPr>
          <w:p w:rsidR="0079382A" w:rsidRPr="0079382A" w:rsidRDefault="0079382A" w:rsidP="0079382A">
            <w:pPr>
              <w:pStyle w:val="a3"/>
              <w:rPr>
                <w:lang w:val="uk-UA"/>
              </w:rPr>
            </w:pPr>
            <w:proofErr w:type="spellStart"/>
            <w:r w:rsidRPr="0079382A">
              <w:rPr>
                <w:lang w:val="uk-UA"/>
              </w:rPr>
              <w:t>І</w:t>
            </w:r>
            <w:r w:rsidRPr="0079382A">
              <w:rPr>
                <w:vertAlign w:val="subscript"/>
                <w:lang w:val="uk-UA"/>
              </w:rPr>
              <w:t>л</w:t>
            </w:r>
            <w:proofErr w:type="spellEnd"/>
            <w:r w:rsidRPr="0079382A">
              <w:rPr>
                <w:lang w:val="uk-UA"/>
              </w:rPr>
              <w:t>, мА (не більше)</w:t>
            </w:r>
          </w:p>
        </w:tc>
      </w:tr>
      <w:tr w:rsidR="0079382A" w:rsidRPr="0079382A" w:rsidTr="0079382A">
        <w:tblPrEx>
          <w:tblCellMar>
            <w:top w:w="0" w:type="dxa"/>
            <w:bottom w:w="0" w:type="dxa"/>
          </w:tblCellMar>
        </w:tblPrEx>
        <w:trPr>
          <w:trHeight w:val="374"/>
        </w:trPr>
        <w:tc>
          <w:tcPr>
            <w:tcW w:w="3180" w:type="dxa"/>
          </w:tcPr>
          <w:p w:rsidR="0079382A" w:rsidRPr="0079382A" w:rsidRDefault="0079382A" w:rsidP="0079382A">
            <w:pPr>
              <w:pStyle w:val="a3"/>
              <w:rPr>
                <w:lang w:val="uk-UA"/>
              </w:rPr>
            </w:pPr>
            <w:r w:rsidRPr="0079382A">
              <w:rPr>
                <w:lang w:val="uk-UA"/>
              </w:rPr>
              <w:t>Змінний, 50 Гц</w:t>
            </w:r>
          </w:p>
        </w:tc>
        <w:tc>
          <w:tcPr>
            <w:tcW w:w="3180" w:type="dxa"/>
          </w:tcPr>
          <w:p w:rsidR="0079382A" w:rsidRPr="0079382A" w:rsidRDefault="0079382A" w:rsidP="0079382A">
            <w:pPr>
              <w:pStyle w:val="a3"/>
              <w:rPr>
                <w:lang w:val="uk-UA"/>
              </w:rPr>
            </w:pPr>
            <w:r w:rsidRPr="0079382A">
              <w:rPr>
                <w:lang w:val="uk-UA"/>
              </w:rPr>
              <w:t>2</w:t>
            </w:r>
          </w:p>
        </w:tc>
        <w:tc>
          <w:tcPr>
            <w:tcW w:w="3180" w:type="dxa"/>
          </w:tcPr>
          <w:p w:rsidR="0079382A" w:rsidRPr="0079382A" w:rsidRDefault="0079382A" w:rsidP="0079382A">
            <w:pPr>
              <w:pStyle w:val="a3"/>
              <w:rPr>
                <w:lang w:val="uk-UA"/>
              </w:rPr>
            </w:pPr>
            <w:r w:rsidRPr="0079382A">
              <w:rPr>
                <w:lang w:val="uk-UA"/>
              </w:rPr>
              <w:t>0,3</w:t>
            </w:r>
          </w:p>
        </w:tc>
      </w:tr>
    </w:tbl>
    <w:p w:rsidR="0079382A" w:rsidRPr="0079382A" w:rsidRDefault="0079382A" w:rsidP="0014359F">
      <w:pPr>
        <w:pStyle w:val="a3"/>
      </w:pPr>
      <w:r w:rsidRPr="0079382A">
        <w:t xml:space="preserve">При </w:t>
      </w:r>
      <w:proofErr w:type="spellStart"/>
      <w:r w:rsidRPr="0079382A">
        <w:t>виконанні</w:t>
      </w:r>
      <w:proofErr w:type="spellEnd"/>
      <w:r w:rsidRPr="0079382A">
        <w:t xml:space="preserve"> </w:t>
      </w:r>
      <w:proofErr w:type="spellStart"/>
      <w:r w:rsidRPr="0079382A">
        <w:t>роботи</w:t>
      </w:r>
      <w:proofErr w:type="spellEnd"/>
      <w:r w:rsidRPr="0079382A">
        <w:t xml:space="preserve"> в </w:t>
      </w:r>
      <w:proofErr w:type="spellStart"/>
      <w:r w:rsidRPr="0079382A">
        <w:t>умовах</w:t>
      </w:r>
      <w:proofErr w:type="spellEnd"/>
      <w:r w:rsidRPr="0079382A">
        <w:t xml:space="preserve"> </w:t>
      </w:r>
      <w:proofErr w:type="spellStart"/>
      <w:r w:rsidRPr="0079382A">
        <w:t>високої</w:t>
      </w:r>
      <w:proofErr w:type="spellEnd"/>
      <w:r w:rsidRPr="0079382A">
        <w:t xml:space="preserve"> </w:t>
      </w:r>
      <w:proofErr w:type="spellStart"/>
      <w:r w:rsidRPr="0079382A">
        <w:t>температури</w:t>
      </w:r>
      <w:proofErr w:type="spellEnd"/>
      <w:r w:rsidRPr="0079382A">
        <w:t xml:space="preserve"> (</w:t>
      </w:r>
      <w:proofErr w:type="spellStart"/>
      <w:r w:rsidRPr="0079382A">
        <w:t>більше</w:t>
      </w:r>
      <w:proofErr w:type="spellEnd"/>
      <w:r w:rsidRPr="0079382A">
        <w:t xml:space="preserve"> 25 °С) і </w:t>
      </w:r>
      <w:proofErr w:type="spellStart"/>
      <w:r w:rsidRPr="0079382A">
        <w:t>відносної</w:t>
      </w:r>
      <w:proofErr w:type="spellEnd"/>
      <w:r w:rsidRPr="0079382A">
        <w:t xml:space="preserve"> </w:t>
      </w:r>
      <w:proofErr w:type="spellStart"/>
      <w:r w:rsidRPr="0079382A">
        <w:t>вологості</w:t>
      </w:r>
      <w:proofErr w:type="spellEnd"/>
      <w:r w:rsidRPr="0079382A">
        <w:t xml:space="preserve"> </w:t>
      </w:r>
      <w:proofErr w:type="spellStart"/>
      <w:r w:rsidRPr="0079382A">
        <w:t>повітря</w:t>
      </w:r>
      <w:proofErr w:type="spellEnd"/>
      <w:r w:rsidRPr="0079382A">
        <w:t xml:space="preserve"> (</w:t>
      </w:r>
      <w:proofErr w:type="spellStart"/>
      <w:r w:rsidRPr="0079382A">
        <w:t>більше</w:t>
      </w:r>
      <w:proofErr w:type="spellEnd"/>
      <w:r w:rsidRPr="0079382A">
        <w:t xml:space="preserve"> 75%) </w:t>
      </w:r>
      <w:proofErr w:type="spellStart"/>
      <w:r w:rsidRPr="0079382A">
        <w:t>значення</w:t>
      </w:r>
      <w:proofErr w:type="spellEnd"/>
      <w:r w:rsidRPr="0079382A">
        <w:t xml:space="preserve"> </w:t>
      </w:r>
      <w:proofErr w:type="spellStart"/>
      <w:r w:rsidRPr="0079382A">
        <w:t>таблиці</w:t>
      </w:r>
      <w:proofErr w:type="spellEnd"/>
      <w:r w:rsidRPr="0079382A">
        <w:t xml:space="preserve"> 3.7 </w:t>
      </w:r>
      <w:proofErr w:type="spellStart"/>
      <w:r w:rsidRPr="0079382A">
        <w:t>необхідно</w:t>
      </w:r>
      <w:proofErr w:type="spellEnd"/>
      <w:r w:rsidRPr="0079382A">
        <w:t xml:space="preserve"> </w:t>
      </w:r>
      <w:proofErr w:type="spellStart"/>
      <w:r w:rsidRPr="0079382A">
        <w:t>зменшити</w:t>
      </w:r>
      <w:proofErr w:type="spellEnd"/>
      <w:r w:rsidRPr="0079382A">
        <w:t xml:space="preserve"> </w:t>
      </w:r>
      <w:proofErr w:type="gramStart"/>
      <w:r w:rsidRPr="0079382A">
        <w:t>у</w:t>
      </w:r>
      <w:proofErr w:type="gramEnd"/>
      <w:r w:rsidRPr="0079382A">
        <w:t xml:space="preserve"> три рази.</w:t>
      </w:r>
    </w:p>
    <w:p w:rsidR="0079382A" w:rsidRPr="0079382A" w:rsidRDefault="0079382A" w:rsidP="0014359F">
      <w:pPr>
        <w:pStyle w:val="a3"/>
      </w:pPr>
    </w:p>
    <w:p w:rsidR="0079382A" w:rsidRPr="0079382A" w:rsidRDefault="0079382A" w:rsidP="0079382A">
      <w:pPr>
        <w:pStyle w:val="a3"/>
      </w:pPr>
      <w:proofErr w:type="spellStart"/>
      <w:r w:rsidRPr="0079382A">
        <w:t>Граничнодопустимі</w:t>
      </w:r>
      <w:proofErr w:type="spellEnd"/>
      <w:r w:rsidRPr="0079382A">
        <w:t xml:space="preserve"> </w:t>
      </w:r>
      <w:proofErr w:type="spellStart"/>
      <w:r w:rsidRPr="0079382A">
        <w:t>значення</w:t>
      </w:r>
      <w:proofErr w:type="spellEnd"/>
      <w:r w:rsidRPr="0079382A">
        <w:t xml:space="preserve"> </w:t>
      </w:r>
      <w:proofErr w:type="spellStart"/>
      <w:r w:rsidRPr="0079382A">
        <w:t>напруги</w:t>
      </w:r>
      <w:proofErr w:type="spellEnd"/>
      <w:r w:rsidRPr="0079382A">
        <w:t xml:space="preserve"> </w:t>
      </w:r>
      <w:proofErr w:type="spellStart"/>
      <w:r w:rsidRPr="0079382A">
        <w:t>доторкання</w:t>
      </w:r>
      <w:proofErr w:type="spellEnd"/>
      <w:r w:rsidRPr="0079382A">
        <w:t xml:space="preserve">  </w:t>
      </w:r>
      <w:proofErr w:type="spellStart"/>
      <w:r w:rsidRPr="0079382A">
        <w:t>Uдom</w:t>
      </w:r>
      <w:proofErr w:type="spellEnd"/>
      <w:r w:rsidRPr="0079382A">
        <w:t xml:space="preserve"> та </w:t>
      </w:r>
      <w:proofErr w:type="spellStart"/>
      <w:r w:rsidRPr="0079382A">
        <w:t>сили</w:t>
      </w:r>
      <w:proofErr w:type="spellEnd"/>
      <w:r w:rsidRPr="0079382A">
        <w:t xml:space="preserve"> струму </w:t>
      </w:r>
      <w:proofErr w:type="spellStart"/>
      <w:r w:rsidRPr="0079382A">
        <w:t>Іл</w:t>
      </w:r>
      <w:proofErr w:type="spellEnd"/>
      <w:r w:rsidRPr="0079382A">
        <w:t xml:space="preserve">, </w:t>
      </w:r>
      <w:proofErr w:type="spellStart"/>
      <w:r w:rsidRPr="0079382A">
        <w:t>що</w:t>
      </w:r>
      <w:proofErr w:type="spellEnd"/>
      <w:r w:rsidRPr="0079382A">
        <w:t xml:space="preserve"> проходить через </w:t>
      </w:r>
      <w:proofErr w:type="spellStart"/>
      <w:r w:rsidRPr="0079382A">
        <w:t>тіло</w:t>
      </w:r>
      <w:proofErr w:type="spellEnd"/>
      <w:r w:rsidRPr="0079382A">
        <w:t xml:space="preserve"> </w:t>
      </w:r>
      <w:proofErr w:type="spellStart"/>
      <w:r w:rsidRPr="0079382A">
        <w:t>людини</w:t>
      </w:r>
      <w:proofErr w:type="spellEnd"/>
      <w:r w:rsidRPr="0079382A">
        <w:t xml:space="preserve"> </w:t>
      </w:r>
      <w:proofErr w:type="gramStart"/>
      <w:r w:rsidRPr="0079382A">
        <w:t>при</w:t>
      </w:r>
      <w:proofErr w:type="gramEnd"/>
      <w:r w:rsidRPr="0079382A">
        <w:t xml:space="preserve"> </w:t>
      </w:r>
      <w:proofErr w:type="spellStart"/>
      <w:r w:rsidRPr="0079382A">
        <w:t>аварійному</w:t>
      </w:r>
      <w:proofErr w:type="spellEnd"/>
      <w:r w:rsidRPr="0079382A">
        <w:t xml:space="preserve"> </w:t>
      </w:r>
      <w:proofErr w:type="spellStart"/>
      <w:r w:rsidRPr="0079382A">
        <w:t>режимі</w:t>
      </w:r>
      <w:proofErr w:type="spellEnd"/>
      <w:r w:rsidRPr="0079382A">
        <w:t xml:space="preserve"> </w:t>
      </w:r>
      <w:proofErr w:type="spellStart"/>
      <w:r w:rsidRPr="0079382A">
        <w:t>електроустановки</w:t>
      </w:r>
      <w:proofErr w:type="spellEnd"/>
    </w:p>
    <w:tbl>
      <w:tblPr>
        <w:tblW w:w="0" w:type="auto"/>
        <w:tblInd w:w="40" w:type="dxa"/>
        <w:tblLayout w:type="fixed"/>
        <w:tblCellMar>
          <w:left w:w="40" w:type="dxa"/>
          <w:right w:w="40" w:type="dxa"/>
        </w:tblCellMar>
        <w:tblLook w:val="0000" w:firstRow="0" w:lastRow="0" w:firstColumn="0" w:lastColumn="0" w:noHBand="0" w:noVBand="0"/>
      </w:tblPr>
      <w:tblGrid>
        <w:gridCol w:w="1260"/>
        <w:gridCol w:w="2518"/>
        <w:gridCol w:w="960"/>
        <w:gridCol w:w="960"/>
        <w:gridCol w:w="961"/>
        <w:gridCol w:w="960"/>
        <w:gridCol w:w="960"/>
        <w:gridCol w:w="961"/>
      </w:tblGrid>
      <w:tr w:rsidR="0079382A" w:rsidRPr="0079382A" w:rsidTr="001C5A29">
        <w:tblPrEx>
          <w:tblCellMar>
            <w:top w:w="0" w:type="dxa"/>
            <w:bottom w:w="0" w:type="dxa"/>
          </w:tblCellMar>
        </w:tblPrEx>
        <w:trPr>
          <w:cantSplit/>
          <w:trHeight w:val="403"/>
        </w:trPr>
        <w:tc>
          <w:tcPr>
            <w:tcW w:w="1260" w:type="dxa"/>
            <w:vMerge w:val="restart"/>
            <w:tcBorders>
              <w:top w:val="single" w:sz="6" w:space="0" w:color="auto"/>
              <w:left w:val="single" w:sz="6" w:space="0" w:color="auto"/>
              <w:right w:val="single" w:sz="6" w:space="0" w:color="auto"/>
            </w:tcBorders>
            <w:vAlign w:val="center"/>
          </w:tcPr>
          <w:p w:rsidR="0079382A" w:rsidRPr="0079382A" w:rsidRDefault="0079382A" w:rsidP="0079382A">
            <w:pPr>
              <w:pStyle w:val="a3"/>
              <w:rPr>
                <w:lang w:val="uk-UA"/>
              </w:rPr>
            </w:pPr>
            <w:r w:rsidRPr="0079382A">
              <w:rPr>
                <w:lang w:val="uk-UA"/>
              </w:rPr>
              <w:t>Вид</w:t>
            </w:r>
          </w:p>
          <w:p w:rsidR="0079382A" w:rsidRPr="0079382A" w:rsidRDefault="0079382A" w:rsidP="0079382A">
            <w:pPr>
              <w:pStyle w:val="a3"/>
              <w:rPr>
                <w:lang w:val="uk-UA"/>
              </w:rPr>
            </w:pPr>
            <w:r w:rsidRPr="0079382A">
              <w:rPr>
                <w:lang w:val="uk-UA"/>
              </w:rPr>
              <w:t>струму</w:t>
            </w:r>
          </w:p>
        </w:tc>
        <w:tc>
          <w:tcPr>
            <w:tcW w:w="2518" w:type="dxa"/>
            <w:vMerge w:val="restart"/>
            <w:tcBorders>
              <w:top w:val="single" w:sz="6" w:space="0" w:color="auto"/>
              <w:left w:val="single" w:sz="6" w:space="0" w:color="auto"/>
              <w:right w:val="single" w:sz="6" w:space="0" w:color="auto"/>
            </w:tcBorders>
            <w:vAlign w:val="center"/>
          </w:tcPr>
          <w:p w:rsidR="0079382A" w:rsidRPr="0079382A" w:rsidRDefault="0079382A" w:rsidP="0079382A">
            <w:pPr>
              <w:pStyle w:val="a3"/>
              <w:rPr>
                <w:lang w:val="uk-UA"/>
              </w:rPr>
            </w:pPr>
            <w:r w:rsidRPr="0079382A">
              <w:rPr>
                <w:lang w:val="uk-UA"/>
              </w:rPr>
              <w:t>Нормоване значення</w:t>
            </w:r>
          </w:p>
        </w:tc>
        <w:tc>
          <w:tcPr>
            <w:tcW w:w="5762" w:type="dxa"/>
            <w:gridSpan w:val="6"/>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 xml:space="preserve">Тривалість дії струму </w:t>
            </w:r>
            <w:r w:rsidRPr="0079382A">
              <w:rPr>
                <w:lang w:val="de-DE"/>
              </w:rPr>
              <w:t xml:space="preserve">t, </w:t>
            </w:r>
            <w:r w:rsidRPr="0079382A">
              <w:rPr>
                <w:lang w:val="uk-UA"/>
              </w:rPr>
              <w:t>с</w:t>
            </w:r>
          </w:p>
        </w:tc>
      </w:tr>
      <w:tr w:rsidR="0079382A" w:rsidRPr="0079382A" w:rsidTr="001C5A29">
        <w:tblPrEx>
          <w:tblCellMar>
            <w:top w:w="0" w:type="dxa"/>
            <w:bottom w:w="0" w:type="dxa"/>
          </w:tblCellMar>
        </w:tblPrEx>
        <w:trPr>
          <w:cantSplit/>
          <w:trHeight w:val="840"/>
        </w:trPr>
        <w:tc>
          <w:tcPr>
            <w:tcW w:w="1260" w:type="dxa"/>
            <w:vMerge/>
            <w:tcBorders>
              <w:left w:val="single" w:sz="6" w:space="0" w:color="auto"/>
              <w:bottom w:val="single" w:sz="6" w:space="0" w:color="auto"/>
              <w:right w:val="single" w:sz="6" w:space="0" w:color="auto"/>
            </w:tcBorders>
            <w:vAlign w:val="center"/>
          </w:tcPr>
          <w:p w:rsidR="0079382A" w:rsidRPr="0079382A" w:rsidRDefault="0079382A" w:rsidP="0079382A">
            <w:pPr>
              <w:pStyle w:val="a3"/>
              <w:rPr>
                <w:lang w:val="uk-UA"/>
              </w:rPr>
            </w:pPr>
          </w:p>
        </w:tc>
        <w:tc>
          <w:tcPr>
            <w:tcW w:w="2518" w:type="dxa"/>
            <w:vMerge/>
            <w:tcBorders>
              <w:left w:val="single" w:sz="6" w:space="0" w:color="auto"/>
              <w:bottom w:val="single" w:sz="6" w:space="0" w:color="auto"/>
              <w:right w:val="single" w:sz="6" w:space="0" w:color="auto"/>
            </w:tcBorders>
            <w:vAlign w:val="center"/>
          </w:tcPr>
          <w:p w:rsidR="0079382A" w:rsidRPr="0079382A" w:rsidRDefault="0079382A" w:rsidP="0079382A">
            <w:pPr>
              <w:pStyle w:val="a3"/>
              <w:rPr>
                <w:lang w:val="uk-UA"/>
              </w:rPr>
            </w:pPr>
          </w:p>
        </w:tc>
        <w:tc>
          <w:tcPr>
            <w:tcW w:w="960" w:type="dxa"/>
            <w:tcBorders>
              <w:top w:val="single" w:sz="6" w:space="0" w:color="auto"/>
              <w:left w:val="single" w:sz="6" w:space="0" w:color="auto"/>
              <w:bottom w:val="single" w:sz="6" w:space="0" w:color="auto"/>
              <w:right w:val="single" w:sz="6" w:space="0" w:color="auto"/>
            </w:tcBorders>
            <w:vAlign w:val="center"/>
          </w:tcPr>
          <w:p w:rsidR="0079382A" w:rsidRPr="0079382A" w:rsidRDefault="0079382A" w:rsidP="0079382A">
            <w:pPr>
              <w:pStyle w:val="a3"/>
              <w:rPr>
                <w:lang w:val="uk-UA"/>
              </w:rPr>
            </w:pPr>
            <w:r w:rsidRPr="0079382A">
              <w:rPr>
                <w:lang w:val="uk-UA"/>
              </w:rPr>
              <w:t>0,1</w:t>
            </w:r>
          </w:p>
        </w:tc>
        <w:tc>
          <w:tcPr>
            <w:tcW w:w="960" w:type="dxa"/>
            <w:tcBorders>
              <w:top w:val="single" w:sz="6" w:space="0" w:color="auto"/>
              <w:left w:val="single" w:sz="6" w:space="0" w:color="auto"/>
              <w:bottom w:val="single" w:sz="6" w:space="0" w:color="auto"/>
              <w:right w:val="single" w:sz="6" w:space="0" w:color="auto"/>
            </w:tcBorders>
            <w:vAlign w:val="center"/>
          </w:tcPr>
          <w:p w:rsidR="0079382A" w:rsidRPr="0079382A" w:rsidRDefault="0079382A" w:rsidP="0079382A">
            <w:pPr>
              <w:pStyle w:val="a3"/>
              <w:rPr>
                <w:lang w:val="uk-UA"/>
              </w:rPr>
            </w:pPr>
            <w:r w:rsidRPr="0079382A">
              <w:rPr>
                <w:lang w:val="uk-UA"/>
              </w:rPr>
              <w:t>0,2</w:t>
            </w:r>
          </w:p>
        </w:tc>
        <w:tc>
          <w:tcPr>
            <w:tcW w:w="961" w:type="dxa"/>
            <w:tcBorders>
              <w:top w:val="single" w:sz="6" w:space="0" w:color="auto"/>
              <w:left w:val="single" w:sz="6" w:space="0" w:color="auto"/>
              <w:bottom w:val="single" w:sz="6" w:space="0" w:color="auto"/>
              <w:right w:val="single" w:sz="6" w:space="0" w:color="auto"/>
            </w:tcBorders>
            <w:vAlign w:val="center"/>
          </w:tcPr>
          <w:p w:rsidR="0079382A" w:rsidRPr="0079382A" w:rsidRDefault="0079382A" w:rsidP="0079382A">
            <w:pPr>
              <w:pStyle w:val="a3"/>
              <w:rPr>
                <w:lang w:val="uk-UA"/>
              </w:rPr>
            </w:pPr>
            <w:r w:rsidRPr="0079382A">
              <w:rPr>
                <w:lang w:val="uk-UA"/>
              </w:rPr>
              <w:t>0,5</w:t>
            </w:r>
          </w:p>
        </w:tc>
        <w:tc>
          <w:tcPr>
            <w:tcW w:w="960" w:type="dxa"/>
            <w:tcBorders>
              <w:top w:val="single" w:sz="6" w:space="0" w:color="auto"/>
              <w:left w:val="single" w:sz="6" w:space="0" w:color="auto"/>
              <w:bottom w:val="single" w:sz="6" w:space="0" w:color="auto"/>
              <w:right w:val="single" w:sz="6" w:space="0" w:color="auto"/>
            </w:tcBorders>
            <w:vAlign w:val="center"/>
          </w:tcPr>
          <w:p w:rsidR="0079382A" w:rsidRPr="0079382A" w:rsidRDefault="0079382A" w:rsidP="0079382A">
            <w:pPr>
              <w:pStyle w:val="a3"/>
              <w:rPr>
                <w:lang w:val="uk-UA"/>
              </w:rPr>
            </w:pPr>
            <w:r w:rsidRPr="0079382A">
              <w:rPr>
                <w:lang w:val="uk-UA"/>
              </w:rPr>
              <w:t>0,7</w:t>
            </w:r>
          </w:p>
        </w:tc>
        <w:tc>
          <w:tcPr>
            <w:tcW w:w="960" w:type="dxa"/>
            <w:tcBorders>
              <w:top w:val="single" w:sz="6" w:space="0" w:color="auto"/>
              <w:left w:val="single" w:sz="6" w:space="0" w:color="auto"/>
              <w:bottom w:val="single" w:sz="6" w:space="0" w:color="auto"/>
              <w:right w:val="single" w:sz="6" w:space="0" w:color="auto"/>
            </w:tcBorders>
            <w:vAlign w:val="center"/>
          </w:tcPr>
          <w:p w:rsidR="0079382A" w:rsidRPr="0079382A" w:rsidRDefault="0079382A" w:rsidP="0079382A">
            <w:pPr>
              <w:pStyle w:val="a3"/>
              <w:rPr>
                <w:lang w:val="uk-UA"/>
              </w:rPr>
            </w:pPr>
            <w:r w:rsidRPr="0079382A">
              <w:rPr>
                <w:lang w:val="uk-UA"/>
              </w:rPr>
              <w:t>1,0</w:t>
            </w:r>
          </w:p>
        </w:tc>
        <w:tc>
          <w:tcPr>
            <w:tcW w:w="961" w:type="dxa"/>
            <w:tcBorders>
              <w:top w:val="single" w:sz="6" w:space="0" w:color="auto"/>
              <w:left w:val="single" w:sz="6" w:space="0" w:color="auto"/>
              <w:bottom w:val="single" w:sz="6" w:space="0" w:color="auto"/>
              <w:right w:val="single" w:sz="6" w:space="0" w:color="auto"/>
            </w:tcBorders>
            <w:vAlign w:val="center"/>
          </w:tcPr>
          <w:p w:rsidR="0079382A" w:rsidRPr="0079382A" w:rsidRDefault="0079382A" w:rsidP="0079382A">
            <w:pPr>
              <w:pStyle w:val="a3"/>
              <w:rPr>
                <w:lang w:val="uk-UA"/>
              </w:rPr>
            </w:pPr>
            <w:r w:rsidRPr="0079382A">
              <w:rPr>
                <w:lang w:val="uk-UA"/>
              </w:rPr>
              <w:t>Більше 1,0</w:t>
            </w:r>
          </w:p>
        </w:tc>
      </w:tr>
      <w:tr w:rsidR="0079382A" w:rsidRPr="0079382A" w:rsidTr="001C5A29">
        <w:tblPrEx>
          <w:tblCellMar>
            <w:top w:w="0" w:type="dxa"/>
            <w:bottom w:w="0" w:type="dxa"/>
          </w:tblCellMar>
        </w:tblPrEx>
        <w:trPr>
          <w:cantSplit/>
          <w:trHeight w:val="346"/>
        </w:trPr>
        <w:tc>
          <w:tcPr>
            <w:tcW w:w="1260" w:type="dxa"/>
            <w:vMerge w:val="restart"/>
            <w:tcBorders>
              <w:top w:val="single" w:sz="6" w:space="0" w:color="auto"/>
              <w:left w:val="single" w:sz="6" w:space="0" w:color="auto"/>
              <w:right w:val="single" w:sz="6" w:space="0" w:color="auto"/>
            </w:tcBorders>
          </w:tcPr>
          <w:p w:rsidR="0079382A" w:rsidRPr="0079382A" w:rsidRDefault="0079382A" w:rsidP="0079382A">
            <w:pPr>
              <w:pStyle w:val="a3"/>
              <w:rPr>
                <w:lang w:val="uk-UA"/>
              </w:rPr>
            </w:pPr>
            <w:r w:rsidRPr="0079382A">
              <w:rPr>
                <w:lang w:val="uk-UA"/>
              </w:rPr>
              <w:t>Змінний, 50 Гц</w:t>
            </w:r>
          </w:p>
        </w:tc>
        <w:tc>
          <w:tcPr>
            <w:tcW w:w="2518"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en-US"/>
              </w:rPr>
              <w:t>U</w:t>
            </w:r>
            <w:r w:rsidRPr="0079382A">
              <w:rPr>
                <w:vertAlign w:val="subscript"/>
                <w:lang w:val="uk-UA"/>
              </w:rPr>
              <w:t>д</w:t>
            </w:r>
            <w:proofErr w:type="spellStart"/>
            <w:r w:rsidRPr="0079382A">
              <w:rPr>
                <w:vertAlign w:val="subscript"/>
                <w:lang w:val="en-US"/>
              </w:rPr>
              <w:t>om</w:t>
            </w:r>
            <w:proofErr w:type="spellEnd"/>
            <w:r w:rsidRPr="0079382A">
              <w:rPr>
                <w:lang w:val="uk-UA"/>
              </w:rPr>
              <w:t xml:space="preserve"> В (не більше)</w:t>
            </w:r>
          </w:p>
        </w:tc>
        <w:tc>
          <w:tcPr>
            <w:tcW w:w="960"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500</w:t>
            </w:r>
          </w:p>
        </w:tc>
        <w:tc>
          <w:tcPr>
            <w:tcW w:w="960"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250</w:t>
            </w:r>
          </w:p>
        </w:tc>
        <w:tc>
          <w:tcPr>
            <w:tcW w:w="961"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100</w:t>
            </w:r>
          </w:p>
        </w:tc>
        <w:tc>
          <w:tcPr>
            <w:tcW w:w="960"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70</w:t>
            </w:r>
          </w:p>
        </w:tc>
        <w:tc>
          <w:tcPr>
            <w:tcW w:w="960"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50</w:t>
            </w:r>
          </w:p>
        </w:tc>
        <w:tc>
          <w:tcPr>
            <w:tcW w:w="961"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36</w:t>
            </w:r>
          </w:p>
        </w:tc>
      </w:tr>
      <w:tr w:rsidR="0079382A" w:rsidRPr="0079382A" w:rsidTr="001C5A29">
        <w:tblPrEx>
          <w:tblCellMar>
            <w:top w:w="0" w:type="dxa"/>
            <w:bottom w:w="0" w:type="dxa"/>
          </w:tblCellMar>
        </w:tblPrEx>
        <w:trPr>
          <w:cantSplit/>
          <w:trHeight w:val="365"/>
        </w:trPr>
        <w:tc>
          <w:tcPr>
            <w:tcW w:w="1260" w:type="dxa"/>
            <w:vMerge/>
            <w:tcBorders>
              <w:left w:val="single" w:sz="6" w:space="0" w:color="auto"/>
              <w:bottom w:val="single" w:sz="6" w:space="0" w:color="auto"/>
              <w:right w:val="single" w:sz="6" w:space="0" w:color="auto"/>
            </w:tcBorders>
          </w:tcPr>
          <w:p w:rsidR="0079382A" w:rsidRPr="0079382A" w:rsidRDefault="0079382A" w:rsidP="0079382A">
            <w:pPr>
              <w:pStyle w:val="a3"/>
              <w:rPr>
                <w:lang w:val="uk-UA"/>
              </w:rPr>
            </w:pPr>
          </w:p>
        </w:tc>
        <w:tc>
          <w:tcPr>
            <w:tcW w:w="2518"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proofErr w:type="spellStart"/>
            <w:r w:rsidRPr="0079382A">
              <w:rPr>
                <w:lang w:val="uk-UA"/>
              </w:rPr>
              <w:t>І</w:t>
            </w:r>
            <w:r w:rsidRPr="0079382A">
              <w:rPr>
                <w:vertAlign w:val="subscript"/>
                <w:lang w:val="uk-UA"/>
              </w:rPr>
              <w:t>л</w:t>
            </w:r>
            <w:proofErr w:type="spellEnd"/>
            <w:r w:rsidRPr="0079382A">
              <w:rPr>
                <w:lang w:val="uk-UA"/>
              </w:rPr>
              <w:t>, мА (не більше)</w:t>
            </w:r>
          </w:p>
        </w:tc>
        <w:tc>
          <w:tcPr>
            <w:tcW w:w="960"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500</w:t>
            </w:r>
          </w:p>
        </w:tc>
        <w:tc>
          <w:tcPr>
            <w:tcW w:w="960"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250</w:t>
            </w:r>
          </w:p>
        </w:tc>
        <w:tc>
          <w:tcPr>
            <w:tcW w:w="961"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100</w:t>
            </w:r>
          </w:p>
        </w:tc>
        <w:tc>
          <w:tcPr>
            <w:tcW w:w="960"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70</w:t>
            </w:r>
          </w:p>
        </w:tc>
        <w:tc>
          <w:tcPr>
            <w:tcW w:w="960"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50</w:t>
            </w:r>
          </w:p>
        </w:tc>
        <w:tc>
          <w:tcPr>
            <w:tcW w:w="961" w:type="dxa"/>
            <w:tcBorders>
              <w:top w:val="single" w:sz="6" w:space="0" w:color="auto"/>
              <w:left w:val="single" w:sz="6" w:space="0" w:color="auto"/>
              <w:bottom w:val="single" w:sz="6" w:space="0" w:color="auto"/>
              <w:right w:val="single" w:sz="6" w:space="0" w:color="auto"/>
            </w:tcBorders>
          </w:tcPr>
          <w:p w:rsidR="0079382A" w:rsidRPr="0079382A" w:rsidRDefault="0079382A" w:rsidP="0079382A">
            <w:pPr>
              <w:pStyle w:val="a3"/>
              <w:rPr>
                <w:lang w:val="uk-UA"/>
              </w:rPr>
            </w:pPr>
            <w:r w:rsidRPr="0079382A">
              <w:rPr>
                <w:lang w:val="uk-UA"/>
              </w:rPr>
              <w:t>6</w:t>
            </w:r>
          </w:p>
        </w:tc>
      </w:tr>
    </w:tbl>
    <w:p w:rsidR="00B17093" w:rsidRDefault="00B17093" w:rsidP="0014359F">
      <w:pPr>
        <w:pStyle w:val="a3"/>
        <w:rPr>
          <w:lang w:val="uk-UA"/>
        </w:rPr>
      </w:pPr>
    </w:p>
    <w:p w:rsidR="0079382A" w:rsidRPr="0079382A" w:rsidRDefault="0079382A" w:rsidP="0014359F">
      <w:pPr>
        <w:pStyle w:val="a3"/>
        <w:rPr>
          <w:lang w:val="uk-UA"/>
        </w:rPr>
      </w:pPr>
      <w:r w:rsidRPr="0079382A">
        <w:rPr>
          <w:lang w:val="uk-UA"/>
        </w:rPr>
        <w:t>Граничнодопустимі значення напруги доторкання та сили струму для нормального (безаварійного) та аварійного режимів електро</w:t>
      </w:r>
      <w:r>
        <w:rPr>
          <w:lang w:val="uk-UA"/>
        </w:rPr>
        <w:t>у</w:t>
      </w:r>
      <w:r w:rsidRPr="0079382A">
        <w:rPr>
          <w:lang w:val="uk-UA"/>
        </w:rPr>
        <w:t>становок при проходженні струму через тіло людини по шляху «рука—рука» чи «рука—ноги» регламентуються ГОСТ 12.1.038-82.</w:t>
      </w:r>
    </w:p>
    <w:p w:rsidR="00B17093" w:rsidRPr="0079382A" w:rsidRDefault="00B17093" w:rsidP="0014359F">
      <w:pPr>
        <w:pStyle w:val="a3"/>
        <w:rPr>
          <w:lang w:val="uk-UA"/>
        </w:rPr>
      </w:pPr>
    </w:p>
    <w:p w:rsidR="00B17093" w:rsidRPr="0079382A"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p>
    <w:p w:rsidR="006F1389" w:rsidRDefault="006F1389" w:rsidP="0014359F">
      <w:pPr>
        <w:pStyle w:val="a3"/>
        <w:rPr>
          <w:lang w:val="uk-UA"/>
        </w:rPr>
      </w:pPr>
      <w:bookmarkStart w:id="0" w:name="_GoBack"/>
      <w:bookmarkEnd w:id="0"/>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Default="00B17093" w:rsidP="0014359F">
      <w:pPr>
        <w:pStyle w:val="a3"/>
        <w:rPr>
          <w:lang w:val="uk-UA"/>
        </w:rPr>
      </w:pPr>
    </w:p>
    <w:p w:rsidR="00B17093" w:rsidRPr="00B17093" w:rsidRDefault="00B17093" w:rsidP="00B17093">
      <w:pPr>
        <w:pStyle w:val="a3"/>
        <w:rPr>
          <w:b/>
          <w:lang w:val="uk-UA"/>
        </w:rPr>
      </w:pPr>
      <w:r w:rsidRPr="00B17093">
        <w:rPr>
          <w:b/>
          <w:lang w:val="uk-UA"/>
        </w:rPr>
        <w:lastRenderedPageBreak/>
        <w:t>52.</w:t>
      </w:r>
      <w:r w:rsidRPr="00B17093">
        <w:rPr>
          <w:b/>
          <w:lang w:val="uk-UA"/>
        </w:rPr>
        <w:tab/>
        <w:t>Пояснити, облік яких показників визначає таку характеристику умов праці як "ступінь напруженості".</w:t>
      </w:r>
    </w:p>
    <w:p w:rsidR="00B17093" w:rsidRDefault="00B17093" w:rsidP="00B17093">
      <w:pPr>
        <w:pStyle w:val="a3"/>
        <w:rPr>
          <w:lang w:val="uk-UA"/>
        </w:rPr>
      </w:pPr>
      <w:r w:rsidRPr="00B17093">
        <w:rPr>
          <w:lang w:val="uk-UA"/>
        </w:rPr>
        <w:t>Критерієм фізичного навантаження на організм людини в процесі праці є важкість (тяжкість) праці; критерієм навантаження на нервову систему є напруженість праці.</w:t>
      </w:r>
    </w:p>
    <w:p w:rsidR="00F35101" w:rsidRPr="00B17093" w:rsidRDefault="00F35101" w:rsidP="00B17093">
      <w:pPr>
        <w:pStyle w:val="a3"/>
        <w:rPr>
          <w:lang w:val="uk-UA"/>
        </w:rPr>
      </w:pPr>
    </w:p>
    <w:p w:rsidR="00B17093" w:rsidRDefault="00B17093" w:rsidP="00B17093">
      <w:pPr>
        <w:pStyle w:val="a3"/>
        <w:rPr>
          <w:lang w:val="uk-UA"/>
        </w:rPr>
      </w:pPr>
      <w:r w:rsidRPr="00B17093">
        <w:rPr>
          <w:lang w:val="uk-UA"/>
        </w:rPr>
        <w:t xml:space="preserve">Напруженість праці - характеристика трудового процесу, що відображає навантаження переважно на нервову систему. </w:t>
      </w:r>
      <w:r w:rsidRPr="00F35101">
        <w:rPr>
          <w:b/>
          <w:lang w:val="uk-UA"/>
        </w:rPr>
        <w:t>Напруженість праці визначається</w:t>
      </w:r>
      <w:r w:rsidRPr="00B17093">
        <w:rPr>
          <w:lang w:val="uk-UA"/>
        </w:rPr>
        <w:t xml:space="preserve"> ступенем складності завдання; характером виконуваної роботи; сенсорним навантаженням (зорові, слухові аналізатори); емоційним навантаженням, монотонністю навантаження; щільністю робочого дня.</w:t>
      </w:r>
    </w:p>
    <w:p w:rsidR="00F35101" w:rsidRPr="00B17093" w:rsidRDefault="00F35101" w:rsidP="00B17093">
      <w:pPr>
        <w:pStyle w:val="a3"/>
        <w:rPr>
          <w:lang w:val="uk-UA"/>
        </w:rPr>
      </w:pPr>
    </w:p>
    <w:p w:rsidR="00B17093" w:rsidRPr="00B17093" w:rsidRDefault="00B17093" w:rsidP="00F35101">
      <w:pPr>
        <w:pStyle w:val="a3"/>
        <w:rPr>
          <w:lang w:val="uk-UA"/>
        </w:rPr>
      </w:pPr>
      <w:r w:rsidRPr="00B17093">
        <w:rPr>
          <w:lang w:val="uk-UA"/>
        </w:rPr>
        <w:t>Для того, щоб дати оцінку відповідності праці біологічним можливостям організму людини та оцінити ступінь потенційної небезпеки психофізіологічних чинників для працівника, необхідно мати кількісну характеристику небезпечних чинників на робочому місці і еталон порівнянь, визначений як безпечний рівень чинників. Такими еталонами є гігієнічні нормативи, які являють собою кількісні показники, що характеризують оптимальні чи допустимі рівні важкості та напруженості праці. Основним документом, що регламентує гігієнічну класифікацію умов праці за показниками важкості та напруженості праці, є "Гігієнічна класифікація за показниками шкідливості та небезпечності факторів виробничого середовища, важкості та напруженості трудового процесу", затверджена Міністерством охорони здоров'я України 31 грудня 1997 року, № 382.</w:t>
      </w:r>
    </w:p>
    <w:p w:rsidR="00B17093" w:rsidRPr="0014359F" w:rsidRDefault="00B17093" w:rsidP="00B17093">
      <w:pPr>
        <w:pStyle w:val="a3"/>
        <w:rPr>
          <w:lang w:val="uk-UA"/>
        </w:rPr>
      </w:pPr>
    </w:p>
    <w:sectPr w:rsidR="00B17093" w:rsidRPr="001435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59F"/>
    <w:rsid w:val="0014359F"/>
    <w:rsid w:val="00415DDB"/>
    <w:rsid w:val="005920D0"/>
    <w:rsid w:val="006F1389"/>
    <w:rsid w:val="0079382A"/>
    <w:rsid w:val="00B17093"/>
    <w:rsid w:val="00F35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35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35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3682">
      <w:bodyDiv w:val="1"/>
      <w:marLeft w:val="0"/>
      <w:marRight w:val="0"/>
      <w:marTop w:val="0"/>
      <w:marBottom w:val="0"/>
      <w:divBdr>
        <w:top w:val="none" w:sz="0" w:space="0" w:color="auto"/>
        <w:left w:val="none" w:sz="0" w:space="0" w:color="auto"/>
        <w:bottom w:val="none" w:sz="0" w:space="0" w:color="auto"/>
        <w:right w:val="none" w:sz="0" w:space="0" w:color="auto"/>
      </w:divBdr>
    </w:div>
    <w:div w:id="595137526">
      <w:bodyDiv w:val="1"/>
      <w:marLeft w:val="0"/>
      <w:marRight w:val="0"/>
      <w:marTop w:val="0"/>
      <w:marBottom w:val="0"/>
      <w:divBdr>
        <w:top w:val="none" w:sz="0" w:space="0" w:color="auto"/>
        <w:left w:val="none" w:sz="0" w:space="0" w:color="auto"/>
        <w:bottom w:val="none" w:sz="0" w:space="0" w:color="auto"/>
        <w:right w:val="none" w:sz="0" w:space="0" w:color="auto"/>
      </w:divBdr>
    </w:div>
    <w:div w:id="1003824892">
      <w:bodyDiv w:val="1"/>
      <w:marLeft w:val="0"/>
      <w:marRight w:val="0"/>
      <w:marTop w:val="0"/>
      <w:marBottom w:val="0"/>
      <w:divBdr>
        <w:top w:val="none" w:sz="0" w:space="0" w:color="auto"/>
        <w:left w:val="none" w:sz="0" w:space="0" w:color="auto"/>
        <w:bottom w:val="none" w:sz="0" w:space="0" w:color="auto"/>
        <w:right w:val="none" w:sz="0" w:space="0" w:color="auto"/>
      </w:divBdr>
    </w:div>
    <w:div w:id="1182282420">
      <w:bodyDiv w:val="1"/>
      <w:marLeft w:val="0"/>
      <w:marRight w:val="0"/>
      <w:marTop w:val="0"/>
      <w:marBottom w:val="0"/>
      <w:divBdr>
        <w:top w:val="none" w:sz="0" w:space="0" w:color="auto"/>
        <w:left w:val="none" w:sz="0" w:space="0" w:color="auto"/>
        <w:bottom w:val="none" w:sz="0" w:space="0" w:color="auto"/>
        <w:right w:val="none" w:sz="0" w:space="0" w:color="auto"/>
      </w:divBdr>
    </w:div>
    <w:div w:id="21278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B2A0F-9973-4D62-AA43-D2DF13BB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1012</Words>
  <Characters>5775</Characters>
  <Application>Microsoft Office Word</Application>
  <DocSecurity>0</DocSecurity>
  <Lines>48</Lines>
  <Paragraphs>13</Paragraphs>
  <ScaleCrop>false</ScaleCrop>
  <HeadingPairs>
    <vt:vector size="2" baseType="variant">
      <vt:variant>
        <vt:lpstr>Назва</vt:lpstr>
      </vt:variant>
      <vt:variant>
        <vt:i4>1</vt:i4>
      </vt:variant>
    </vt:vector>
  </HeadingPairs>
  <TitlesOfParts>
    <vt:vector size="1" baseType="lpstr">
      <vt:lpstr/>
    </vt:vector>
  </TitlesOfParts>
  <Company>home</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4</cp:revision>
  <dcterms:created xsi:type="dcterms:W3CDTF">2013-01-07T21:54:00Z</dcterms:created>
  <dcterms:modified xsi:type="dcterms:W3CDTF">2013-01-07T22:29:00Z</dcterms:modified>
</cp:coreProperties>
</file>