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jpeg" ContentType="image/jpeg"/>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spacing w:after="0"/>
        <w:tabs>
          <w:tab w:leader="none" w:pos="2320" w:val="left"/>
          <w:tab w:leader="none" w:pos="6140" w:val="left"/>
        </w:tabs>
        <w:rPr>
          <w:sz w:val="20"/>
          <w:szCs w:val="20"/>
          <w:color w:val="auto"/>
        </w:rPr>
      </w:pPr>
      <w:r>
        <w:rPr>
          <w:rFonts w:ascii="Times New Roman" w:cs="Times New Roman" w:eastAsia="Times New Roman" w:hAnsi="Times New Roman"/>
          <w:sz w:val="16"/>
          <w:szCs w:val="16"/>
          <w:color w:val="auto"/>
        </w:rPr>
        <w:t>SUMMER 2008</w:t>
      </w:r>
      <w:r>
        <w:rPr>
          <w:sz w:val="20"/>
          <w:szCs w:val="20"/>
          <w:color w:val="auto"/>
        </w:rPr>
        <w:tab/>
      </w:r>
      <w:r>
        <w:rPr>
          <w:rFonts w:ascii="Times New Roman" w:cs="Times New Roman" w:eastAsia="Times New Roman" w:hAnsi="Times New Roman"/>
          <w:sz w:val="16"/>
          <w:szCs w:val="16"/>
          <w:color w:val="auto"/>
        </w:rPr>
        <w:t>VOLUME 42, NUMBER 2</w:t>
      </w:r>
      <w:r>
        <w:rPr>
          <w:sz w:val="20"/>
          <w:szCs w:val="20"/>
          <w:color w:val="auto"/>
        </w:rPr>
        <w:tab/>
      </w:r>
      <w:r>
        <w:rPr>
          <w:rFonts w:ascii="Times New Roman" w:cs="Times New Roman" w:eastAsia="Times New Roman" w:hAnsi="Times New Roman"/>
          <w:sz w:val="20"/>
          <w:szCs w:val="20"/>
          <w:color w:val="auto"/>
        </w:rPr>
        <w:t>271</w:t>
      </w:r>
    </w:p>
    <w:p>
      <w:pPr>
        <w:spacing w:after="0" w:line="200" w:lineRule="exact"/>
        <w:rPr>
          <w:sz w:val="24"/>
          <w:szCs w:val="24"/>
          <w:color w:val="auto"/>
        </w:rPr>
      </w:pPr>
    </w:p>
    <w:p>
      <w:pPr>
        <w:spacing w:after="0" w:line="256" w:lineRule="exact"/>
        <w:rPr>
          <w:sz w:val="24"/>
          <w:szCs w:val="24"/>
          <w:color w:val="auto"/>
        </w:rPr>
      </w:pPr>
    </w:p>
    <w:p>
      <w:pPr>
        <w:jc w:val="center"/>
        <w:spacing w:after="0"/>
        <w:rPr>
          <w:sz w:val="20"/>
          <w:szCs w:val="20"/>
          <w:color w:val="auto"/>
        </w:rPr>
      </w:pPr>
      <w:r>
        <w:rPr>
          <w:rFonts w:ascii="Times New Roman" w:cs="Times New Roman" w:eastAsia="Times New Roman" w:hAnsi="Times New Roman"/>
          <w:sz w:val="22"/>
          <w:szCs w:val="22"/>
          <w:color w:val="auto"/>
        </w:rPr>
        <w:t>LISA J. SERVON AND ROBERT KAESTNER</w:t>
      </w:r>
    </w:p>
    <w:p>
      <w:pPr>
        <w:spacing w:after="0" w:line="20" w:lineRule="exact"/>
        <w:rPr>
          <w:sz w:val="24"/>
          <w:szCs w:val="24"/>
          <w:color w:val="auto"/>
        </w:rPr>
      </w:pPr>
      <w:r>
        <w:rPr>
          <w:sz w:val="24"/>
          <w:szCs w:val="24"/>
          <w:color w:val="auto"/>
        </w:rPr>
        <mc:AlternateContent>
          <mc:Choice Requires="wps">
            <w:drawing>
              <wp:anchor simplePos="0" relativeHeight="251657728" behindDoc="1" locked="0" layoutInCell="0" allowOverlap="1">
                <wp:simplePos x="0" y="0"/>
                <wp:positionH relativeFrom="column">
                  <wp:posOffset>4445</wp:posOffset>
                </wp:positionH>
                <wp:positionV relativeFrom="paragraph">
                  <wp:posOffset>50800</wp:posOffset>
                </wp:positionV>
                <wp:extent cx="4099560" cy="0"/>
                <wp:wrapNone/>
                <wp:docPr id="1" name="Shape 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99560" cy="4763"/>
                        </a:xfrm>
                        <a:prstGeom prst="line">
                          <a:avLst/>
                        </a:prstGeom>
                        <a:solidFill>
                          <a:srgbClr val="FFFFFF"/>
                        </a:solidFill>
                        <a:ln w="6477">
                          <a:solidFill>
                            <a:srgbClr val="000000"/>
                          </a:solidFill>
                          <a:miter lim="800000"/>
                          <a:headEnd/>
                          <a:tailEnd/>
                        </a:ln>
                      </wps:spPr>
                      <wps:bodyPr/>
                    </wps:wsp>
                  </a:graphicData>
                </a:graphic>
              </wp:anchor>
            </w:drawing>
          </mc:Choice>
          <mc:Fallback>
            <w:pict>
              <v:line id="Shape 1" o:spid="_x0000_s102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35pt,4pt" to="323.15pt,4pt" o:allowincell="f" strokecolor="#000000" strokeweight="0.51pt"/>
            </w:pict>
          </mc:Fallback>
        </mc:AlternateContent>
      </w:r>
    </w:p>
    <w:p>
      <w:pPr>
        <w:spacing w:after="0" w:line="168" w:lineRule="exact"/>
        <w:rPr>
          <w:sz w:val="24"/>
          <w:szCs w:val="24"/>
          <w:color w:val="auto"/>
        </w:rPr>
      </w:pPr>
    </w:p>
    <w:p>
      <w:pPr>
        <w:jc w:val="center"/>
        <w:spacing w:after="0" w:line="223" w:lineRule="auto"/>
        <w:rPr>
          <w:sz w:val="20"/>
          <w:szCs w:val="20"/>
          <w:color w:val="auto"/>
        </w:rPr>
      </w:pPr>
      <w:r>
        <w:rPr>
          <w:rFonts w:ascii="Times New Roman" w:cs="Times New Roman" w:eastAsia="Times New Roman" w:hAnsi="Times New Roman"/>
          <w:sz w:val="28"/>
          <w:szCs w:val="28"/>
          <w:color w:val="auto"/>
        </w:rPr>
        <w:t>Consumer Financial Literacy and the Impact of Online Banking on the Financial Behavior of Lower-Income Bank Customers</w:t>
      </w:r>
    </w:p>
    <w:p>
      <w:pPr>
        <w:spacing w:after="0" w:line="20" w:lineRule="exact"/>
        <w:rPr>
          <w:sz w:val="24"/>
          <w:szCs w:val="24"/>
          <w:color w:val="auto"/>
        </w:rPr>
      </w:pPr>
      <w:r>
        <w:rPr>
          <w:sz w:val="24"/>
          <w:szCs w:val="24"/>
          <w:color w:val="auto"/>
        </w:rPr>
        <mc:AlternateContent>
          <mc:Choice Requires="wps">
            <w:drawing>
              <wp:anchor simplePos="0" relativeHeight="251657728" behindDoc="1" locked="0" layoutInCell="0" allowOverlap="1">
                <wp:simplePos x="0" y="0"/>
                <wp:positionH relativeFrom="column">
                  <wp:posOffset>4445</wp:posOffset>
                </wp:positionH>
                <wp:positionV relativeFrom="paragraph">
                  <wp:posOffset>43180</wp:posOffset>
                </wp:positionV>
                <wp:extent cx="4099560" cy="0"/>
                <wp:wrapNone/>
                <wp:docPr id="2" name="Shape 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99560" cy="4763"/>
                        </a:xfrm>
                        <a:prstGeom prst="line">
                          <a:avLst/>
                        </a:prstGeom>
                        <a:solidFill>
                          <a:srgbClr val="FFFFFF"/>
                        </a:solidFill>
                        <a:ln w="6477">
                          <a:solidFill>
                            <a:srgbClr val="000000"/>
                          </a:solidFill>
                          <a:miter lim="800000"/>
                          <a:headEnd/>
                          <a:tailEnd/>
                        </a:ln>
                      </wps:spPr>
                      <wps:bodyPr/>
                    </wps:wsp>
                  </a:graphicData>
                </a:graphic>
              </wp:anchor>
            </w:drawing>
          </mc:Choice>
          <mc:Fallback>
            <w:pict>
              <v:line id="Shape 2" o:spid="_x0000_s102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35pt,3.4pt" to="323.15pt,3.4pt" o:allowincell="f" strokecolor="#000000" strokeweight="0.51pt"/>
            </w:pict>
          </mc:Fallback>
        </mc:AlternateContent>
      </w:r>
    </w:p>
    <w:p>
      <w:pPr>
        <w:spacing w:after="0" w:line="163" w:lineRule="exact"/>
        <w:rPr>
          <w:sz w:val="24"/>
          <w:szCs w:val="24"/>
          <w:color w:val="auto"/>
        </w:rPr>
      </w:pPr>
    </w:p>
    <w:p>
      <w:pPr>
        <w:jc w:val="both"/>
        <w:ind w:left="840" w:right="840"/>
        <w:spacing w:after="0" w:line="231" w:lineRule="auto"/>
        <w:rPr>
          <w:sz w:val="20"/>
          <w:szCs w:val="20"/>
          <w:color w:val="auto"/>
        </w:rPr>
      </w:pPr>
      <w:r>
        <w:rPr>
          <w:rFonts w:ascii="Times New Roman" w:cs="Times New Roman" w:eastAsia="Times New Roman" w:hAnsi="Times New Roman"/>
          <w:sz w:val="16"/>
          <w:szCs w:val="16"/>
          <w:color w:val="auto"/>
        </w:rPr>
        <w:t>This article analyzes a demonstration program mounted by a major bank to understand whether access to information and communications technologies, combined with financial literacy training and training on how to use the Internet, can help low- and moderate-income individuals in inner-city neighborhoods be more effective financial actors. While quantitative analysis turns up few significant program effects, qualita-tive work implies that implementation issues likely compromised the effectiveness of the program. There was evidence of a potential link between information and communications technologies and financial literacy. Overall, urban low- and moderate-income individuals are interested in becoming technologically and financially literate and an intensive intervention may enable these goals.</w:t>
      </w:r>
    </w:p>
    <w:p>
      <w:pPr>
        <w:spacing w:after="0" w:line="20" w:lineRule="exact"/>
        <w:rPr>
          <w:sz w:val="24"/>
          <w:szCs w:val="24"/>
          <w:color w:val="auto"/>
        </w:rPr>
      </w:pPr>
      <w:r>
        <w:rPr>
          <w:sz w:val="24"/>
          <w:szCs w:val="24"/>
          <w:color w:val="auto"/>
        </w:rPr>
        <mc:AlternateContent>
          <mc:Choice Requires="wps">
            <w:drawing>
              <wp:anchor simplePos="0" relativeHeight="251657728" behindDoc="1" locked="0" layoutInCell="0" allowOverlap="1">
                <wp:simplePos x="0" y="0"/>
                <wp:positionH relativeFrom="column">
                  <wp:posOffset>4445</wp:posOffset>
                </wp:positionH>
                <wp:positionV relativeFrom="paragraph">
                  <wp:posOffset>57785</wp:posOffset>
                </wp:positionV>
                <wp:extent cx="4099560" cy="0"/>
                <wp:wrapNone/>
                <wp:docPr id="3" name="Shape 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99560" cy="4763"/>
                        </a:xfrm>
                        <a:prstGeom prst="line">
                          <a:avLst/>
                        </a:prstGeom>
                        <a:solidFill>
                          <a:srgbClr val="FFFFFF"/>
                        </a:solidFill>
                        <a:ln w="6477">
                          <a:solidFill>
                            <a:srgbClr val="000000"/>
                          </a:solidFill>
                          <a:miter lim="800000"/>
                          <a:headEnd/>
                          <a:tailEnd/>
                        </a:ln>
                      </wps:spPr>
                      <wps:bodyPr/>
                    </wps:wsp>
                  </a:graphicData>
                </a:graphic>
              </wp:anchor>
            </w:drawing>
          </mc:Choice>
          <mc:Fallback>
            <w:pict>
              <v:line id="Shape 3" o:spid="_x0000_s102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35pt,4.55pt" to="323.15pt,4.55pt" o:allowincell="f" strokecolor="#000000" strokeweight="0.51pt"/>
            </w:pict>
          </mc:Fallback>
        </mc:AlternateContent>
      </w:r>
    </w:p>
    <w:p>
      <w:pPr>
        <w:spacing w:after="0" w:line="200" w:lineRule="exact"/>
        <w:rPr>
          <w:sz w:val="24"/>
          <w:szCs w:val="24"/>
          <w:color w:val="auto"/>
        </w:rPr>
      </w:pPr>
    </w:p>
    <w:p>
      <w:pPr>
        <w:spacing w:after="0" w:line="200" w:lineRule="exact"/>
        <w:rPr>
          <w:sz w:val="24"/>
          <w:szCs w:val="24"/>
          <w:color w:val="auto"/>
        </w:rPr>
      </w:pPr>
    </w:p>
    <w:p>
      <w:pPr>
        <w:spacing w:after="0" w:line="279" w:lineRule="exact"/>
        <w:rPr>
          <w:sz w:val="24"/>
          <w:szCs w:val="24"/>
          <w:color w:val="auto"/>
        </w:rPr>
      </w:pPr>
    </w:p>
    <w:p>
      <w:pPr>
        <w:jc w:val="both"/>
        <w:ind w:firstLine="239"/>
        <w:spacing w:after="0" w:line="255" w:lineRule="auto"/>
        <w:rPr>
          <w:sz w:val="20"/>
          <w:szCs w:val="20"/>
          <w:color w:val="auto"/>
        </w:rPr>
      </w:pPr>
      <w:r>
        <w:rPr>
          <w:rFonts w:ascii="Times New Roman" w:cs="Times New Roman" w:eastAsia="Times New Roman" w:hAnsi="Times New Roman"/>
          <w:sz w:val="21"/>
          <w:szCs w:val="21"/>
          <w:color w:val="auto"/>
        </w:rPr>
        <w:t>Electronic banking technologies have proliferated in recent years, and the availability of a wide range of products has led to increasing adoption among consumers. These technologies include direct deposit, computer banking, stored value cards, and debit cards. Banks and other financial institutions have worked hard to develop and deploy these technologies because of their potential to increase efficiency, cut costs, and attract new customers. Consumers are attracted to these technologies because of convenience, increasing ease of use, and, in some instances, cost savings (Anguelov et al. 2004). Electronic banking, in particular, has grown at impressive rates. Between 1995 and 2003, e-banking increased eightfold (Hogarth and Anguelov 2004). Between late 2002 and early 2005, use of online banking increased 47 percent. There is some evidence that com-puter banking is associated with better household financial manage-ment (Hogarth and Anguelov 2004). However, financial literacy, the digital divide, and other issues that separate disadvantaged groups from the financial mainstream make it difficult for low- and moderate-income</w:t>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10" w:lineRule="exact"/>
        <w:rPr>
          <w:sz w:val="24"/>
          <w:szCs w:val="24"/>
          <w:color w:val="auto"/>
        </w:rPr>
      </w:pPr>
    </w:p>
    <w:p>
      <w:pPr>
        <w:jc w:val="both"/>
        <w:ind w:firstLine="160"/>
        <w:spacing w:after="0" w:line="238" w:lineRule="auto"/>
        <w:rPr>
          <w:sz w:val="20"/>
          <w:szCs w:val="20"/>
          <w:color w:val="auto"/>
        </w:rPr>
      </w:pPr>
      <w:r>
        <w:rPr>
          <w:rFonts w:ascii="Times New Roman" w:cs="Times New Roman" w:eastAsia="Times New Roman" w:hAnsi="Times New Roman"/>
          <w:sz w:val="16"/>
          <w:szCs w:val="16"/>
          <w:color w:val="auto"/>
        </w:rPr>
        <w:t>Lisa J. Servon is an associate professor in Milano, the New School for Management and Urban Policy, New York (servonL@newschool.edu). Robert Kaestner is a professor in the University of Illinois at Chicago Department of Economics (kaestner@uic.edu).</w:t>
      </w:r>
    </w:p>
    <w:p>
      <w:pPr>
        <w:spacing w:after="0" w:line="214" w:lineRule="exact"/>
        <w:rPr>
          <w:sz w:val="24"/>
          <w:szCs w:val="24"/>
          <w:color w:val="auto"/>
        </w:rPr>
      </w:pPr>
    </w:p>
    <w:p>
      <w:pPr>
        <w:spacing w:after="0"/>
        <w:rPr>
          <w:sz w:val="20"/>
          <w:szCs w:val="20"/>
          <w:color w:val="auto"/>
        </w:rPr>
      </w:pPr>
      <w:r>
        <w:rPr>
          <w:rFonts w:ascii="Times New Roman" w:cs="Times New Roman" w:eastAsia="Times New Roman" w:hAnsi="Times New Roman"/>
          <w:sz w:val="16"/>
          <w:szCs w:val="16"/>
          <w:color w:val="auto"/>
        </w:rPr>
        <w:t>The Journal of Consumer Affairs, Vol. 42, No. 2, 2008</w:t>
      </w:r>
    </w:p>
    <w:p>
      <w:pPr>
        <w:spacing w:after="0" w:line="16" w:lineRule="exact"/>
        <w:rPr>
          <w:sz w:val="24"/>
          <w:szCs w:val="24"/>
          <w:color w:val="auto"/>
        </w:rPr>
      </w:pPr>
    </w:p>
    <w:p>
      <w:pPr>
        <w:spacing w:after="0"/>
        <w:rPr>
          <w:sz w:val="20"/>
          <w:szCs w:val="20"/>
          <w:color w:val="auto"/>
        </w:rPr>
      </w:pPr>
      <w:r>
        <w:rPr>
          <w:rFonts w:ascii="Times New Roman" w:cs="Times New Roman" w:eastAsia="Times New Roman" w:hAnsi="Times New Roman"/>
          <w:sz w:val="16"/>
          <w:szCs w:val="16"/>
          <w:color w:val="auto"/>
        </w:rPr>
        <w:t>ISSN 0022-0078</w:t>
      </w:r>
    </w:p>
    <w:p>
      <w:pPr>
        <w:spacing w:after="0" w:line="16" w:lineRule="exact"/>
        <w:rPr>
          <w:sz w:val="24"/>
          <w:szCs w:val="24"/>
          <w:color w:val="auto"/>
        </w:rPr>
      </w:pPr>
    </w:p>
    <w:p>
      <w:pPr>
        <w:spacing w:after="0"/>
        <w:rPr>
          <w:sz w:val="20"/>
          <w:szCs w:val="20"/>
          <w:color w:val="auto"/>
        </w:rPr>
      </w:pPr>
      <w:r>
        <w:rPr>
          <w:rFonts w:ascii="Times New Roman" w:cs="Times New Roman" w:eastAsia="Times New Roman" w:hAnsi="Times New Roman"/>
          <w:sz w:val="16"/>
          <w:szCs w:val="16"/>
          <w:color w:val="auto"/>
        </w:rPr>
        <w:t>Copyright 2008 by The American Council on Consumer Interests</w:t>
      </w:r>
    </w:p>
    <w:p>
      <w:pPr>
        <w:sectPr>
          <w:pgSz w:w="8640" w:h="13320" w:orient="portrait"/>
          <w:cols w:equalWidth="0" w:num="1">
            <w:col w:w="6460"/>
          </w:cols>
          <w:pgMar w:left="1240" w:top="771" w:right="940" w:bottom="692" w:gutter="0" w:footer="0" w:header="0"/>
        </w:sectPr>
      </w:pPr>
    </w:p>
    <w:bookmarkStart w:id="1" w:name="page2"/>
    <w:bookmarkEnd w:id="1"/>
    <w:p>
      <w:pPr>
        <w:ind w:left="3"/>
        <w:spacing w:after="0"/>
        <w:tabs>
          <w:tab w:leader="none" w:pos="3463" w:val="left"/>
        </w:tabs>
        <w:rPr>
          <w:sz w:val="20"/>
          <w:szCs w:val="20"/>
          <w:color w:val="auto"/>
        </w:rPr>
      </w:pPr>
      <w:r>
        <w:rPr>
          <w:rFonts w:ascii="Times New Roman" w:cs="Times New Roman" w:eastAsia="Times New Roman" w:hAnsi="Times New Roman"/>
          <w:sz w:val="20"/>
          <w:szCs w:val="20"/>
          <w:color w:val="auto"/>
        </w:rPr>
        <w:t>272</w:t>
      </w:r>
      <w:r>
        <w:rPr>
          <w:sz w:val="20"/>
          <w:szCs w:val="20"/>
          <w:color w:val="auto"/>
        </w:rPr>
        <w:tab/>
      </w:r>
      <w:r>
        <w:rPr>
          <w:rFonts w:ascii="Times New Roman" w:cs="Times New Roman" w:eastAsia="Times New Roman" w:hAnsi="Times New Roman"/>
          <w:sz w:val="16"/>
          <w:szCs w:val="16"/>
          <w:color w:val="auto"/>
        </w:rPr>
        <w:t>THE JOURNAL OF CONSUMER AFFAIRS</w:t>
      </w:r>
    </w:p>
    <w:p>
      <w:pPr>
        <w:spacing w:after="0" w:line="200" w:lineRule="exact"/>
        <w:rPr>
          <w:sz w:val="20"/>
          <w:szCs w:val="20"/>
          <w:color w:val="auto"/>
        </w:rPr>
      </w:pPr>
    </w:p>
    <w:p>
      <w:pPr>
        <w:spacing w:after="0" w:line="344" w:lineRule="exact"/>
        <w:rPr>
          <w:sz w:val="20"/>
          <w:szCs w:val="20"/>
          <w:color w:val="auto"/>
        </w:rPr>
      </w:pPr>
    </w:p>
    <w:p>
      <w:pPr>
        <w:jc w:val="both"/>
        <w:ind w:left="3"/>
        <w:spacing w:after="0" w:line="220" w:lineRule="auto"/>
        <w:rPr>
          <w:sz w:val="20"/>
          <w:szCs w:val="20"/>
          <w:color w:val="auto"/>
        </w:rPr>
      </w:pPr>
      <w:r>
        <w:rPr>
          <w:rFonts w:ascii="Times New Roman" w:cs="Times New Roman" w:eastAsia="Times New Roman" w:hAnsi="Times New Roman"/>
          <w:sz w:val="22"/>
          <w:szCs w:val="22"/>
          <w:color w:val="auto"/>
        </w:rPr>
        <w:t>(LMI) individuals to reap the potential benefits associated with computer banking.</w:t>
      </w:r>
    </w:p>
    <w:p>
      <w:pPr>
        <w:spacing w:after="0" w:line="54" w:lineRule="exact"/>
        <w:rPr>
          <w:sz w:val="20"/>
          <w:szCs w:val="20"/>
          <w:color w:val="auto"/>
        </w:rPr>
      </w:pPr>
    </w:p>
    <w:p>
      <w:pPr>
        <w:jc w:val="both"/>
        <w:ind w:left="3" w:firstLine="239"/>
        <w:spacing w:after="0" w:line="255" w:lineRule="auto"/>
        <w:rPr>
          <w:sz w:val="20"/>
          <w:szCs w:val="20"/>
          <w:color w:val="auto"/>
        </w:rPr>
      </w:pPr>
      <w:r>
        <w:rPr>
          <w:rFonts w:ascii="Times New Roman" w:cs="Times New Roman" w:eastAsia="Times New Roman" w:hAnsi="Times New Roman"/>
          <w:sz w:val="21"/>
          <w:szCs w:val="21"/>
          <w:color w:val="auto"/>
        </w:rPr>
        <w:t>This article analyzes a demonstration program (the Program) mounted by a major bank (the Bank) to understand whether access to information and communications technologies (ICT), combined with financial literacy training and training on how to use the Internet, can help LMI individuals in inner-city neighborhoods be more effective financial actors. When we began the study, our primary research question was to examine whether technolog-ical literacy could serve as a gateway to financial literacy. Secondarily, we wanted to investigate whether the Program could serve as a model to incen-tivize banks to engage more fully in the provision of financial literacy train-ing. During the process of the research, we also realized that this case study could provide some key lessons for how to look at literacy from beginning to end when planning an intervention to create improvements for a critical pop-ulation. We hypothesized that coupling a comprehensive intervention addressing all components of the digital divide with a financial literacy com-ponent targeted at LMI individuals would increase financial literacy and move participants across the digital divide.</w:t>
      </w:r>
    </w:p>
    <w:p>
      <w:pPr>
        <w:spacing w:after="0" w:line="40" w:lineRule="exact"/>
        <w:rPr>
          <w:sz w:val="20"/>
          <w:szCs w:val="20"/>
          <w:color w:val="auto"/>
        </w:rPr>
      </w:pPr>
    </w:p>
    <w:p>
      <w:pPr>
        <w:jc w:val="both"/>
        <w:ind w:left="3" w:firstLine="239"/>
        <w:spacing w:after="0" w:line="253" w:lineRule="auto"/>
        <w:rPr>
          <w:sz w:val="20"/>
          <w:szCs w:val="20"/>
          <w:color w:val="auto"/>
        </w:rPr>
      </w:pPr>
      <w:r>
        <w:rPr>
          <w:rFonts w:ascii="Times New Roman" w:cs="Times New Roman" w:eastAsia="Times New Roman" w:hAnsi="Times New Roman"/>
          <w:sz w:val="21"/>
          <w:szCs w:val="21"/>
          <w:color w:val="auto"/>
        </w:rPr>
        <w:t>Using quantitative and qualitative data, we examine the Program in the context of changes in the financial services environment and with respect to the financial literacy issue. We studied the ways in which ICT has changed banking processes and what evidence exists about access to and use of elec-tronic banking. In brief, our quantitative analysis turns up few significant program effects. However, our qualitative work implies that implementa-tion issues likely compromised the effectiveness of the Program. We also find evidence of a potential link between ICT and financial literacy. We argue that urban LMI individuals are interested in becoming technologi-cally and financially literate and that an intensive intervention may enable these goals. Creative interventions are warranted for at least three reasons:</w:t>
      </w:r>
    </w:p>
    <w:p>
      <w:pPr>
        <w:spacing w:after="0" w:line="49" w:lineRule="exact"/>
        <w:rPr>
          <w:sz w:val="20"/>
          <w:szCs w:val="20"/>
          <w:color w:val="auto"/>
        </w:rPr>
      </w:pPr>
    </w:p>
    <w:p>
      <w:pPr>
        <w:jc w:val="both"/>
        <w:ind w:left="3" w:hanging="3"/>
        <w:spacing w:after="0" w:line="254" w:lineRule="auto"/>
        <w:tabs>
          <w:tab w:leader="none" w:pos="295" w:val="left"/>
        </w:tabs>
        <w:numPr>
          <w:ilvl w:val="0"/>
          <w:numId w:val="1"/>
        </w:numPr>
        <w:rPr>
          <w:rFonts w:ascii="Times New Roman" w:cs="Times New Roman" w:eastAsia="Times New Roman" w:hAnsi="Times New Roman"/>
          <w:sz w:val="21"/>
          <w:szCs w:val="21"/>
          <w:color w:val="auto"/>
        </w:rPr>
      </w:pPr>
      <w:r>
        <w:rPr>
          <w:rFonts w:ascii="Times New Roman" w:cs="Times New Roman" w:eastAsia="Times New Roman" w:hAnsi="Times New Roman"/>
          <w:sz w:val="21"/>
          <w:szCs w:val="21"/>
          <w:color w:val="auto"/>
        </w:rPr>
        <w:t>banks’ history of underserving LMI communities, (2) predatory lenders’ and fringe financial services providers’ disproportionate targeting of these groups, and (3) difficulties associated with motivating adults to pursue financial literacy. At the same time, banks are unlikely to spearhead and fund these interventions unless they believe there is a return for doing so. The relatively recent popularity of the double bottom line concept, in which businesses seek to affect both their fiscal performance and their social impact, makes it possible to expand the definition of ‘‘return’’ for a program like this one. This research has implications for the role corporate actors can play in augmenting consumers’ financial literacy and, poten-tially, affecting their financial behavior. The work also has implications for how best to deliver financial education. This case study illustrates</w:t>
      </w:r>
    </w:p>
    <w:p>
      <w:pPr>
        <w:sectPr>
          <w:pgSz w:w="8640" w:h="13320" w:orient="portrait"/>
          <w:cols w:equalWidth="0" w:num="1">
            <w:col w:w="6463"/>
          </w:cols>
          <w:pgMar w:left="937" w:top="731" w:right="1240" w:bottom="670" w:gutter="0" w:footer="0" w:header="0"/>
        </w:sectPr>
      </w:pPr>
    </w:p>
    <w:bookmarkStart w:id="2" w:name="page3"/>
    <w:bookmarkEnd w:id="2"/>
    <w:p>
      <w:pPr>
        <w:spacing w:after="0"/>
        <w:tabs>
          <w:tab w:leader="none" w:pos="2320" w:val="left"/>
          <w:tab w:leader="none" w:pos="6140" w:val="left"/>
        </w:tabs>
        <w:rPr>
          <w:sz w:val="20"/>
          <w:szCs w:val="20"/>
          <w:color w:val="auto"/>
        </w:rPr>
      </w:pPr>
      <w:r>
        <w:rPr>
          <w:rFonts w:ascii="Times New Roman" w:cs="Times New Roman" w:eastAsia="Times New Roman" w:hAnsi="Times New Roman"/>
          <w:sz w:val="16"/>
          <w:szCs w:val="16"/>
          <w:color w:val="auto"/>
        </w:rPr>
        <w:t>SUMMER 2008</w:t>
      </w:r>
      <w:r>
        <w:rPr>
          <w:sz w:val="20"/>
          <w:szCs w:val="20"/>
          <w:color w:val="auto"/>
        </w:rPr>
        <w:tab/>
      </w:r>
      <w:r>
        <w:rPr>
          <w:rFonts w:ascii="Times New Roman" w:cs="Times New Roman" w:eastAsia="Times New Roman" w:hAnsi="Times New Roman"/>
          <w:sz w:val="16"/>
          <w:szCs w:val="16"/>
          <w:color w:val="auto"/>
        </w:rPr>
        <w:t>VOLUME 42, NUMBER 2</w:t>
      </w:r>
      <w:r>
        <w:rPr>
          <w:sz w:val="20"/>
          <w:szCs w:val="20"/>
          <w:color w:val="auto"/>
        </w:rPr>
        <w:tab/>
      </w:r>
      <w:r>
        <w:rPr>
          <w:rFonts w:ascii="Times New Roman" w:cs="Times New Roman" w:eastAsia="Times New Roman" w:hAnsi="Times New Roman"/>
          <w:sz w:val="20"/>
          <w:szCs w:val="20"/>
          <w:color w:val="auto"/>
        </w:rPr>
        <w:t>273</w:t>
      </w:r>
    </w:p>
    <w:p>
      <w:pPr>
        <w:spacing w:after="0" w:line="200" w:lineRule="exact"/>
        <w:rPr>
          <w:sz w:val="20"/>
          <w:szCs w:val="20"/>
          <w:color w:val="auto"/>
        </w:rPr>
      </w:pPr>
    </w:p>
    <w:p>
      <w:pPr>
        <w:spacing w:after="0" w:line="304" w:lineRule="exact"/>
        <w:rPr>
          <w:sz w:val="20"/>
          <w:szCs w:val="20"/>
          <w:color w:val="auto"/>
        </w:rPr>
      </w:pPr>
    </w:p>
    <w:p>
      <w:pPr>
        <w:jc w:val="both"/>
        <w:spacing w:after="0" w:line="233" w:lineRule="auto"/>
        <w:rPr>
          <w:sz w:val="20"/>
          <w:szCs w:val="20"/>
          <w:color w:val="auto"/>
        </w:rPr>
      </w:pPr>
      <w:r>
        <w:rPr>
          <w:rFonts w:ascii="Times New Roman" w:cs="Times New Roman" w:eastAsia="Times New Roman" w:hAnsi="Times New Roman"/>
          <w:sz w:val="22"/>
          <w:szCs w:val="22"/>
          <w:color w:val="auto"/>
        </w:rPr>
        <w:t>the importance of defining success at the outset for ensuring that key ele-ments of program design will be incorporated. Our research therefore responds both to the weak incentives for banks to provide financial edu-cation and to the difficulty of providing such education to LMI adults.</w:t>
      </w:r>
    </w:p>
    <w:p>
      <w:pPr>
        <w:spacing w:after="0" w:line="266"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2"/>
          <w:szCs w:val="22"/>
          <w:color w:val="auto"/>
        </w:rPr>
        <w:t>DEFINITION OF KEY VARIABLES, THEORETICAL</w:t>
      </w:r>
    </w:p>
    <w:p>
      <w:pPr>
        <w:spacing w:after="0" w:line="6"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2"/>
          <w:szCs w:val="22"/>
          <w:color w:val="auto"/>
        </w:rPr>
        <w:t>FRAMEWORK, AND LITERATURE REVIEW</w:t>
      </w:r>
    </w:p>
    <w:p>
      <w:pPr>
        <w:spacing w:after="0" w:line="265"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2"/>
          <w:szCs w:val="22"/>
          <w:color w:val="auto"/>
        </w:rPr>
        <w:t>Definition of Key Variables</w:t>
      </w:r>
    </w:p>
    <w:p>
      <w:pPr>
        <w:spacing w:after="0" w:line="313" w:lineRule="exact"/>
        <w:rPr>
          <w:sz w:val="20"/>
          <w:szCs w:val="20"/>
          <w:color w:val="auto"/>
        </w:rPr>
      </w:pPr>
    </w:p>
    <w:p>
      <w:pPr>
        <w:jc w:val="both"/>
        <w:ind w:firstLine="239"/>
        <w:spacing w:after="0" w:line="255" w:lineRule="auto"/>
        <w:rPr>
          <w:sz w:val="20"/>
          <w:szCs w:val="20"/>
          <w:color w:val="auto"/>
        </w:rPr>
      </w:pPr>
      <w:r>
        <w:rPr>
          <w:rFonts w:ascii="Times New Roman" w:cs="Times New Roman" w:eastAsia="Times New Roman" w:hAnsi="Times New Roman"/>
          <w:sz w:val="21"/>
          <w:szCs w:val="21"/>
          <w:color w:val="auto"/>
        </w:rPr>
        <w:t>Before introducing the literature and theoretical framework that grounds this research, it is important to define key variables. ICT is an umbrella term that includes any communication device or application; with respect to this work, we are most interested in computers and the Internet. Access to ICT refers not only to literal access—that is, having access to a computer and the Internet at home or at another site—but also sufficient training to use the technology and content that is relevant to LMI individuals. Financial lit-eracy refers to a person’s ability to understand and make use of financial concepts. Anguelov et al. (2004, p. 1) maintain that electronic banking ‘‘encompasses a broad range of established and emerging technologies’’ and includes both ‘‘front end’’ such as ATM cards and banking and ‘‘back end’’ technologies such as electronic check conversion. For the purposes of this article, we use the terms ‘‘online banking’’ and ‘‘electronic banking’’ interchangeably to refer to consumers accessing and using existing bank accounts online. Typical activities include paying bills and transferring money between accounts.</w:t>
      </w:r>
    </w:p>
    <w:p>
      <w:pPr>
        <w:spacing w:after="0" w:line="251"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2"/>
          <w:szCs w:val="22"/>
          <w:color w:val="auto"/>
        </w:rPr>
        <w:t>Theoretical Framework</w:t>
      </w:r>
    </w:p>
    <w:p>
      <w:pPr>
        <w:spacing w:after="0" w:line="313" w:lineRule="exact"/>
        <w:rPr>
          <w:sz w:val="20"/>
          <w:szCs w:val="20"/>
          <w:color w:val="auto"/>
        </w:rPr>
      </w:pPr>
    </w:p>
    <w:p>
      <w:pPr>
        <w:jc w:val="both"/>
        <w:ind w:firstLine="239"/>
        <w:spacing w:after="0"/>
        <w:rPr>
          <w:sz w:val="20"/>
          <w:szCs w:val="20"/>
          <w:color w:val="auto"/>
        </w:rPr>
      </w:pPr>
      <w:r>
        <w:rPr>
          <w:rFonts w:ascii="Times New Roman" w:cs="Times New Roman" w:eastAsia="Times New Roman" w:hAnsi="Times New Roman"/>
          <w:sz w:val="21"/>
          <w:szCs w:val="21"/>
          <w:color w:val="auto"/>
        </w:rPr>
        <w:t>For many LMI individuals, access to mainstream financial institutions, such as banks, credit unions, and Community Development Financial Insti-tutions, is tenuous because of poor credit histories, insufficient and incon-sistent cash flows, and lack of financial literacy. Race- and gender-based discrimination likely also plays a role (Bates 2000; Immergluck 2002). Estimates of the number of unbanked Americans range up to 22 million individuals.</w:t>
      </w:r>
      <w:r>
        <w:rPr>
          <w:rFonts w:ascii="Times New Roman" w:cs="Times New Roman" w:eastAsia="Times New Roman" w:hAnsi="Times New Roman"/>
          <w:sz w:val="28"/>
          <w:szCs w:val="28"/>
          <w:color w:val="auto"/>
          <w:vertAlign w:val="superscript"/>
        </w:rPr>
        <w:t>1</w:t>
      </w:r>
      <w:r>
        <w:rPr>
          <w:rFonts w:ascii="Times New Roman" w:cs="Times New Roman" w:eastAsia="Times New Roman" w:hAnsi="Times New Roman"/>
          <w:sz w:val="21"/>
          <w:szCs w:val="21"/>
          <w:color w:val="auto"/>
        </w:rPr>
        <w:t xml:space="preserve"> Many millions more are ‘‘underbanked’’—they have a bank account but still use fringe financial institutions such as payday lenders and</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4445</wp:posOffset>
            </wp:positionH>
            <wp:positionV relativeFrom="paragraph">
              <wp:posOffset>349885</wp:posOffset>
            </wp:positionV>
            <wp:extent cx="1518285" cy="4763"/>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extLst>
                    </a:blip>
                    <a:srcRect/>
                    <a:stretch>
                      <a:fillRect/>
                    </a:stretch>
                  </pic:blipFill>
                  <pic:spPr bwMode="auto">
                    <a:xfrm>
                      <a:off x="0" y="0"/>
                      <a:ext cx="1518285" cy="4763"/>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64" w:lineRule="exact"/>
        <w:rPr>
          <w:sz w:val="20"/>
          <w:szCs w:val="20"/>
          <w:color w:val="auto"/>
        </w:rPr>
      </w:pPr>
    </w:p>
    <w:p>
      <w:pPr>
        <w:ind w:firstLine="186"/>
        <w:spacing w:after="0" w:line="227" w:lineRule="auto"/>
        <w:tabs>
          <w:tab w:leader="none" w:pos="378" w:val="left"/>
        </w:tabs>
        <w:numPr>
          <w:ilvl w:val="0"/>
          <w:numId w:val="2"/>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Estimates of the unbanked have been developed by the General Accounting Office using data from the 1998 and 1999 Survey of Income and Program Participation.</w:t>
      </w:r>
    </w:p>
    <w:p>
      <w:pPr>
        <w:sectPr>
          <w:pgSz w:w="8640" w:h="13320" w:orient="portrait"/>
          <w:cols w:equalWidth="0" w:num="1">
            <w:col w:w="6460"/>
          </w:cols>
          <w:pgMar w:left="1240" w:top="771" w:right="940" w:bottom="692" w:gutter="0" w:footer="0" w:header="0"/>
        </w:sectPr>
      </w:pPr>
    </w:p>
    <w:bookmarkStart w:id="3" w:name="page4"/>
    <w:bookmarkEnd w:id="3"/>
    <w:p>
      <w:pPr>
        <w:spacing w:after="0"/>
        <w:tabs>
          <w:tab w:leader="none" w:pos="3460" w:val="left"/>
        </w:tabs>
        <w:rPr>
          <w:sz w:val="20"/>
          <w:szCs w:val="20"/>
          <w:color w:val="auto"/>
        </w:rPr>
      </w:pPr>
      <w:r>
        <w:rPr>
          <w:rFonts w:ascii="Times New Roman" w:cs="Times New Roman" w:eastAsia="Times New Roman" w:hAnsi="Times New Roman"/>
          <w:sz w:val="20"/>
          <w:szCs w:val="20"/>
          <w:color w:val="auto"/>
        </w:rPr>
        <w:t>274</w:t>
      </w:r>
      <w:r>
        <w:rPr>
          <w:sz w:val="20"/>
          <w:szCs w:val="20"/>
          <w:color w:val="auto"/>
        </w:rPr>
        <w:tab/>
      </w:r>
      <w:r>
        <w:rPr>
          <w:rFonts w:ascii="Times New Roman" w:cs="Times New Roman" w:eastAsia="Times New Roman" w:hAnsi="Times New Roman"/>
          <w:sz w:val="16"/>
          <w:szCs w:val="16"/>
          <w:color w:val="auto"/>
        </w:rPr>
        <w:t>THE JOURNAL OF CONSUMER AFFAIRS</w:t>
      </w:r>
    </w:p>
    <w:p>
      <w:pPr>
        <w:spacing w:after="0" w:line="200" w:lineRule="exact"/>
        <w:rPr>
          <w:sz w:val="20"/>
          <w:szCs w:val="20"/>
          <w:color w:val="auto"/>
        </w:rPr>
      </w:pPr>
    </w:p>
    <w:p>
      <w:pPr>
        <w:spacing w:after="0" w:line="344" w:lineRule="exact"/>
        <w:rPr>
          <w:sz w:val="20"/>
          <w:szCs w:val="20"/>
          <w:color w:val="auto"/>
        </w:rPr>
      </w:pPr>
    </w:p>
    <w:p>
      <w:pPr>
        <w:jc w:val="both"/>
        <w:spacing w:after="0" w:line="242" w:lineRule="auto"/>
        <w:rPr>
          <w:sz w:val="20"/>
          <w:szCs w:val="20"/>
          <w:color w:val="auto"/>
        </w:rPr>
      </w:pPr>
      <w:r>
        <w:rPr>
          <w:rFonts w:ascii="Times New Roman" w:cs="Times New Roman" w:eastAsia="Times New Roman" w:hAnsi="Times New Roman"/>
          <w:sz w:val="22"/>
          <w:szCs w:val="22"/>
          <w:color w:val="auto"/>
        </w:rPr>
        <w:t>check cashing outlets (Aizcorbe et al. 2003; Stuhldreher and Tescher 2005). Carr and Schuetz (2001) theorize that lower-income families’ nonuse of traditional financial services occurs for complex reasons including: unfa-miliarity with banking and savings services, not writing enough checks to justify an account, and distrust of mainstream financial services providers. Other researchers question whether LMI individuals choose not to use mainstream financial institutions because the products and services offered fail to meet their needs (Bond and Townsend 1996; Morduch and Armendariz de Aghion 2005). Low-income families tend to have relatively high debt payment to income ratios are relatively more likely to make late bill payments and, as a result, pay more for credit (Aizcorbe et al. 2003 cited in Hogarth and Anguelov 2004). Other research has looked at how different groups prefer to obtain financial information; one study of low-income individuals showed a preference for learning from friends (Hogarth and Swanson 1993), which may limit these individuals’ ability to make good financial decisions.</w:t>
      </w:r>
    </w:p>
    <w:p>
      <w:pPr>
        <w:spacing w:after="0" w:line="20" w:lineRule="exact"/>
        <w:rPr>
          <w:sz w:val="20"/>
          <w:szCs w:val="20"/>
          <w:color w:val="auto"/>
        </w:rPr>
      </w:pPr>
    </w:p>
    <w:p>
      <w:pPr>
        <w:jc w:val="both"/>
        <w:ind w:firstLine="239"/>
        <w:spacing w:after="0"/>
        <w:rPr>
          <w:sz w:val="20"/>
          <w:szCs w:val="20"/>
          <w:color w:val="auto"/>
        </w:rPr>
      </w:pPr>
      <w:r>
        <w:rPr>
          <w:rFonts w:ascii="Times New Roman" w:cs="Times New Roman" w:eastAsia="Times New Roman" w:hAnsi="Times New Roman"/>
          <w:sz w:val="22"/>
          <w:szCs w:val="22"/>
          <w:color w:val="auto"/>
        </w:rPr>
        <w:t>Banks have a history of underserving low-income communities.</w:t>
      </w:r>
      <w:r>
        <w:rPr>
          <w:rFonts w:ascii="Times New Roman" w:cs="Times New Roman" w:eastAsia="Times New Roman" w:hAnsi="Times New Roman"/>
          <w:sz w:val="29"/>
          <w:szCs w:val="29"/>
          <w:color w:val="auto"/>
          <w:vertAlign w:val="superscript"/>
        </w:rPr>
        <w:t>2</w:t>
      </w:r>
      <w:r>
        <w:rPr>
          <w:rFonts w:ascii="Times New Roman" w:cs="Times New Roman" w:eastAsia="Times New Roman" w:hAnsi="Times New Roman"/>
          <w:sz w:val="22"/>
          <w:szCs w:val="22"/>
          <w:color w:val="auto"/>
        </w:rPr>
        <w:t xml:space="preserve"> His-torically, banks have neither located in low-income neighborhoods nor have they catered to LMI individuals with products and services geared to these groups (Fondation, Rufano, and Walker 1999). Partly as a result of this, fringe lending has grown astronomically in recent years, and much of this activity is concentrated in LMI communities. Carr and Schuetz (2001) estimate annual fees collected at check cashing services are $1.5 billion annually, $1.6–$2.2 billion for payday lenders and $2.35 billion for rent-to-own stores. These authors theorize that the U.S. financial system is bifurcated, with mainstream financial services concentrated in vibrant communities and fringe financial services—for example, pawnshops, check cashers, payday lenders—concentrated in distressed communities. People who lack financial literacy most often reside in distressed commu-nities and are less likely to be able to distinguish between financial products and to understand the implications of the transactions into which they are entering.</w:t>
      </w:r>
    </w:p>
    <w:p>
      <w:pPr>
        <w:spacing w:after="0" w:line="60" w:lineRule="exact"/>
        <w:rPr>
          <w:sz w:val="20"/>
          <w:szCs w:val="20"/>
          <w:color w:val="auto"/>
        </w:rPr>
      </w:pPr>
    </w:p>
    <w:p>
      <w:pPr>
        <w:jc w:val="both"/>
        <w:ind w:firstLine="239"/>
        <w:spacing w:after="0" w:line="245" w:lineRule="auto"/>
        <w:rPr>
          <w:sz w:val="20"/>
          <w:szCs w:val="20"/>
          <w:color w:val="auto"/>
        </w:rPr>
      </w:pPr>
      <w:r>
        <w:rPr>
          <w:rFonts w:ascii="Times New Roman" w:cs="Times New Roman" w:eastAsia="Times New Roman" w:hAnsi="Times New Roman"/>
          <w:sz w:val="21"/>
          <w:szCs w:val="21"/>
          <w:color w:val="auto"/>
        </w:rPr>
        <w:t>A primary reason why banks do not serve LMI communities concerns perceptions of demand and the size of the market. New methodologies for measuring market size have begun to question the reliability of typical market data and show that these markets are much larger than was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-1270</wp:posOffset>
            </wp:positionH>
            <wp:positionV relativeFrom="paragraph">
              <wp:posOffset>255905</wp:posOffset>
            </wp:positionV>
            <wp:extent cx="1518285" cy="4763"/>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extLst>
                    </a:blip>
                    <a:srcRect/>
                    <a:stretch>
                      <a:fillRect/>
                    </a:stretch>
                  </pic:blipFill>
                  <pic:spPr bwMode="auto">
                    <a:xfrm>
                      <a:off x="0" y="0"/>
                      <a:ext cx="1518285" cy="4763"/>
                    </a:xfrm>
                    <a:prstGeom prst="rect">
                      <a:avLst/>
                    </a:prstGeom>
                    <a:noFill/>
                  </pic:spPr>
                </pic:pic>
              </a:graphicData>
            </a:graphic>
          </wp:anchor>
        </w:drawing>
      </w:r>
    </w:p>
    <w:p>
      <w:pPr>
        <w:spacing w:after="0" w:line="200" w:lineRule="exact"/>
        <w:rPr>
          <w:sz w:val="20"/>
          <w:szCs w:val="20"/>
          <w:color w:val="auto"/>
        </w:rPr>
      </w:pPr>
    </w:p>
    <w:p>
      <w:pPr>
        <w:spacing w:after="0" w:line="315" w:lineRule="exact"/>
        <w:rPr>
          <w:sz w:val="20"/>
          <w:szCs w:val="20"/>
          <w:color w:val="auto"/>
        </w:rPr>
      </w:pPr>
    </w:p>
    <w:p>
      <w:pPr>
        <w:jc w:val="both"/>
        <w:ind w:firstLine="177"/>
        <w:spacing w:after="0" w:line="244" w:lineRule="auto"/>
        <w:tabs>
          <w:tab w:leader="none" w:pos="379" w:val="left"/>
        </w:tabs>
        <w:numPr>
          <w:ilvl w:val="0"/>
          <w:numId w:val="3"/>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The Community Reinvestment Act was passed in 1977 to address the widespread practice of redlining in low-income areas and has somewhat mitigated this condition. Community Reinvestment Act requires banks to provide services to all the areas in which they operate. However, although new guidelines added in 1992 gave Community Reinvestment Act sharper teeth, the problem remains.</w:t>
      </w:r>
    </w:p>
    <w:p>
      <w:pPr>
        <w:sectPr>
          <w:pgSz w:w="8640" w:h="13320" w:orient="portrait"/>
          <w:cols w:equalWidth="0" w:num="1">
            <w:col w:w="6460"/>
          </w:cols>
          <w:pgMar w:left="940" w:top="731" w:right="1240" w:bottom="691" w:gutter="0" w:footer="0" w:header="0"/>
        </w:sectPr>
      </w:pPr>
    </w:p>
    <w:bookmarkStart w:id="4" w:name="page5"/>
    <w:bookmarkEnd w:id="4"/>
    <w:p>
      <w:pPr>
        <w:spacing w:after="0"/>
        <w:tabs>
          <w:tab w:leader="none" w:pos="2320" w:val="left"/>
          <w:tab w:leader="none" w:pos="6140" w:val="left"/>
        </w:tabs>
        <w:rPr>
          <w:sz w:val="20"/>
          <w:szCs w:val="20"/>
          <w:color w:val="auto"/>
        </w:rPr>
      </w:pPr>
      <w:r>
        <w:rPr>
          <w:rFonts w:ascii="Times New Roman" w:cs="Times New Roman" w:eastAsia="Times New Roman" w:hAnsi="Times New Roman"/>
          <w:sz w:val="16"/>
          <w:szCs w:val="16"/>
          <w:color w:val="auto"/>
        </w:rPr>
        <w:t>SUMMER 2008</w:t>
      </w:r>
      <w:r>
        <w:rPr>
          <w:sz w:val="20"/>
          <w:szCs w:val="20"/>
          <w:color w:val="auto"/>
        </w:rPr>
        <w:tab/>
      </w:r>
      <w:r>
        <w:rPr>
          <w:rFonts w:ascii="Times New Roman" w:cs="Times New Roman" w:eastAsia="Times New Roman" w:hAnsi="Times New Roman"/>
          <w:sz w:val="16"/>
          <w:szCs w:val="16"/>
          <w:color w:val="auto"/>
        </w:rPr>
        <w:t>VOLUME 42, NUMBER 2</w:t>
      </w:r>
      <w:r>
        <w:rPr>
          <w:sz w:val="20"/>
          <w:szCs w:val="20"/>
          <w:color w:val="auto"/>
        </w:rPr>
        <w:tab/>
      </w:r>
      <w:r>
        <w:rPr>
          <w:rFonts w:ascii="Times New Roman" w:cs="Times New Roman" w:eastAsia="Times New Roman" w:hAnsi="Times New Roman"/>
          <w:sz w:val="20"/>
          <w:szCs w:val="20"/>
          <w:color w:val="auto"/>
        </w:rPr>
        <w:t>275</w:t>
      </w:r>
    </w:p>
    <w:p>
      <w:pPr>
        <w:spacing w:after="0" w:line="200" w:lineRule="exact"/>
        <w:rPr>
          <w:sz w:val="20"/>
          <w:szCs w:val="20"/>
          <w:color w:val="auto"/>
        </w:rPr>
      </w:pPr>
    </w:p>
    <w:p>
      <w:pPr>
        <w:spacing w:after="0" w:line="304" w:lineRule="exact"/>
        <w:rPr>
          <w:sz w:val="20"/>
          <w:szCs w:val="20"/>
          <w:color w:val="auto"/>
        </w:rPr>
      </w:pPr>
    </w:p>
    <w:p>
      <w:pPr>
        <w:jc w:val="both"/>
        <w:spacing w:after="0"/>
        <w:rPr>
          <w:sz w:val="20"/>
          <w:szCs w:val="20"/>
          <w:color w:val="auto"/>
        </w:rPr>
      </w:pPr>
      <w:r>
        <w:rPr>
          <w:rFonts w:ascii="Times New Roman" w:cs="Times New Roman" w:eastAsia="Times New Roman" w:hAnsi="Times New Roman"/>
          <w:sz w:val="22"/>
          <w:szCs w:val="22"/>
          <w:color w:val="auto"/>
        </w:rPr>
        <w:t>previously presumed (Alderslade 2005). Overall, mainstream financial institutions’ service of low-income communities continues to lag; how-ever, some financial institutions and other purveyors of financial products have begun to recognize the potential for capturing these relatively untapped markets with new products. Financial institutions are investigat-ing whether the lower cost of service that technology enables makes it worth the institutions’ effort to expend the resources necessary to capture these markets. Banks are now exploring the potential of information tech-nology (IT) banking tools to serve low-income customers and to attract the unbanked.</w:t>
      </w:r>
    </w:p>
    <w:p>
      <w:pPr>
        <w:spacing w:after="0" w:line="61" w:lineRule="exact"/>
        <w:rPr>
          <w:sz w:val="20"/>
          <w:szCs w:val="20"/>
          <w:color w:val="auto"/>
        </w:rPr>
      </w:pPr>
    </w:p>
    <w:p>
      <w:pPr>
        <w:jc w:val="both"/>
        <w:ind w:firstLine="239"/>
        <w:spacing w:after="0" w:line="241" w:lineRule="auto"/>
        <w:rPr>
          <w:sz w:val="20"/>
          <w:szCs w:val="20"/>
          <w:color w:val="auto"/>
        </w:rPr>
      </w:pPr>
      <w:r>
        <w:rPr>
          <w:rFonts w:ascii="Times New Roman" w:cs="Times New Roman" w:eastAsia="Times New Roman" w:hAnsi="Times New Roman"/>
          <w:sz w:val="22"/>
          <w:szCs w:val="22"/>
          <w:color w:val="auto"/>
        </w:rPr>
        <w:t>Personal finance is becoming increasingly more complicated because of innovation and deregulation of the financial sector, and the con-sequences of insufficient financial literacy are growing more severe, as evidenced by the relatively high default rates associated with subprime mortgages that are concentrated among the low income. Previous research has shown that low-income persons have the least amount of financial literacy and there are fewer public and private programs avail-able to them to obtain greater literacy (Braunstein and Welch 2002; Jacob, Hudson, and Bush 2000). Moreover, a greater number of low-educated persons require financial literacy because most of them are working and managing money as a result of welfare reform and the expan-sion of the earned income tax credit (Anderson and Gryzlak 2002; Cancian 2001; Loprest 2001).</w:t>
      </w:r>
    </w:p>
    <w:p>
      <w:pPr>
        <w:spacing w:after="0" w:line="65" w:lineRule="exact"/>
        <w:rPr>
          <w:sz w:val="20"/>
          <w:szCs w:val="20"/>
          <w:color w:val="auto"/>
        </w:rPr>
      </w:pPr>
    </w:p>
    <w:p>
      <w:pPr>
        <w:jc w:val="both"/>
        <w:ind w:firstLine="239"/>
        <w:spacing w:after="0"/>
        <w:rPr>
          <w:sz w:val="20"/>
          <w:szCs w:val="20"/>
          <w:color w:val="auto"/>
        </w:rPr>
      </w:pPr>
      <w:r>
        <w:rPr>
          <w:rFonts w:ascii="Times New Roman" w:cs="Times New Roman" w:eastAsia="Times New Roman" w:hAnsi="Times New Roman"/>
          <w:sz w:val="22"/>
          <w:szCs w:val="22"/>
          <w:color w:val="auto"/>
        </w:rPr>
        <w:t>As noted, the reduced availability of financial literacy training for low-income persons represents a barrier to achieving financial literacy. Low incomes also limit the demand for such services among this group even when available. Therefore, it may be necessary to subsidize financial lit-eracy programs for low-income persons to bring their level of literacy to an appropriate level. Such programs may have large returns because pre-vious research has shown that financial literacy is an important determinant of economic well-being (Bernheim 1998; Jacob, Hudson, and Bush 2000). Here, we study one such program.</w:t>
      </w:r>
    </w:p>
    <w:p>
      <w:pPr>
        <w:spacing w:after="0" w:line="54" w:lineRule="exact"/>
        <w:rPr>
          <w:sz w:val="20"/>
          <w:szCs w:val="20"/>
          <w:color w:val="auto"/>
        </w:rPr>
      </w:pPr>
    </w:p>
    <w:p>
      <w:pPr>
        <w:jc w:val="both"/>
        <w:ind w:firstLine="239"/>
        <w:spacing w:after="0" w:line="252" w:lineRule="auto"/>
        <w:rPr>
          <w:sz w:val="20"/>
          <w:szCs w:val="20"/>
          <w:color w:val="auto"/>
        </w:rPr>
      </w:pPr>
      <w:r>
        <w:rPr>
          <w:rFonts w:ascii="Times New Roman" w:cs="Times New Roman" w:eastAsia="Times New Roman" w:hAnsi="Times New Roman"/>
          <w:sz w:val="21"/>
          <w:szCs w:val="21"/>
          <w:color w:val="auto"/>
        </w:rPr>
        <w:t>Our hypothesis that the Program could create both positive financial lit-eracy and digital divide outcomes is based, in part, on the Technology Acceptance Model. The Technology Acceptance Model posits that per-ceived usefulness and perceived ease of use determine an individual’s intention to use a system (Davis 1989). The Program used the free com-puters and Internet to get participants to the table. Participants did not nec-essarily perceive financial literacy to be particularly useful, nor did they believe that computers and the Internet were particularly easy to use. How-ever, they did believe that they needed to be technologically proficient to</w:t>
      </w:r>
    </w:p>
    <w:p>
      <w:pPr>
        <w:sectPr>
          <w:pgSz w:w="8640" w:h="13320" w:orient="portrait"/>
          <w:cols w:equalWidth="0" w:num="1">
            <w:col w:w="6460"/>
          </w:cols>
          <w:pgMar w:left="1240" w:top="771" w:right="940" w:bottom="678" w:gutter="0" w:footer="0" w:header="0"/>
        </w:sectPr>
      </w:pPr>
    </w:p>
    <w:bookmarkStart w:id="5" w:name="page6"/>
    <w:bookmarkEnd w:id="5"/>
    <w:p>
      <w:pPr>
        <w:spacing w:after="0"/>
        <w:tabs>
          <w:tab w:leader="none" w:pos="3460" w:val="left"/>
        </w:tabs>
        <w:rPr>
          <w:sz w:val="20"/>
          <w:szCs w:val="20"/>
          <w:color w:val="auto"/>
        </w:rPr>
      </w:pPr>
      <w:r>
        <w:rPr>
          <w:rFonts w:ascii="Times New Roman" w:cs="Times New Roman" w:eastAsia="Times New Roman" w:hAnsi="Times New Roman"/>
          <w:sz w:val="20"/>
          <w:szCs w:val="20"/>
          <w:color w:val="auto"/>
        </w:rPr>
        <w:t>276</w:t>
      </w:r>
      <w:r>
        <w:rPr>
          <w:sz w:val="20"/>
          <w:szCs w:val="20"/>
          <w:color w:val="auto"/>
        </w:rPr>
        <w:tab/>
      </w:r>
      <w:r>
        <w:rPr>
          <w:rFonts w:ascii="Times New Roman" w:cs="Times New Roman" w:eastAsia="Times New Roman" w:hAnsi="Times New Roman"/>
          <w:sz w:val="16"/>
          <w:szCs w:val="16"/>
          <w:color w:val="auto"/>
        </w:rPr>
        <w:t>THE JOURNAL OF CONSUMER AFFAIRS</w:t>
      </w:r>
    </w:p>
    <w:p>
      <w:pPr>
        <w:spacing w:after="0" w:line="200" w:lineRule="exact"/>
        <w:rPr>
          <w:sz w:val="20"/>
          <w:szCs w:val="20"/>
          <w:color w:val="auto"/>
        </w:rPr>
      </w:pPr>
    </w:p>
    <w:p>
      <w:pPr>
        <w:spacing w:after="0" w:line="344" w:lineRule="exact"/>
        <w:rPr>
          <w:sz w:val="20"/>
          <w:szCs w:val="20"/>
          <w:color w:val="auto"/>
        </w:rPr>
      </w:pPr>
    </w:p>
    <w:p>
      <w:pPr>
        <w:jc w:val="both"/>
        <w:spacing w:after="0" w:line="235" w:lineRule="auto"/>
        <w:rPr>
          <w:sz w:val="20"/>
          <w:szCs w:val="20"/>
          <w:color w:val="auto"/>
        </w:rPr>
      </w:pPr>
      <w:r>
        <w:rPr>
          <w:rFonts w:ascii="Times New Roman" w:cs="Times New Roman" w:eastAsia="Times New Roman" w:hAnsi="Times New Roman"/>
          <w:sz w:val="22"/>
          <w:szCs w:val="22"/>
          <w:color w:val="auto"/>
        </w:rPr>
        <w:t>obtain important information and to get a good job. Once they began to obtain training, we hypothesized that they would learn the connection between financial and technological literacy. The training itself would change their perceptions about ease of use of technology and about the usefulness of financial literacy.</w:t>
      </w:r>
    </w:p>
    <w:p>
      <w:pPr>
        <w:spacing w:after="0" w:line="268"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2"/>
          <w:szCs w:val="22"/>
          <w:color w:val="auto"/>
        </w:rPr>
        <w:t>Literature Review</w:t>
      </w:r>
    </w:p>
    <w:p>
      <w:pPr>
        <w:spacing w:after="0" w:line="313" w:lineRule="exact"/>
        <w:rPr>
          <w:sz w:val="20"/>
          <w:szCs w:val="20"/>
          <w:color w:val="auto"/>
        </w:rPr>
      </w:pPr>
    </w:p>
    <w:p>
      <w:pPr>
        <w:jc w:val="both"/>
        <w:ind w:firstLine="239"/>
        <w:spacing w:after="0" w:line="232" w:lineRule="auto"/>
        <w:rPr>
          <w:sz w:val="20"/>
          <w:szCs w:val="20"/>
          <w:color w:val="auto"/>
        </w:rPr>
      </w:pPr>
      <w:r>
        <w:rPr>
          <w:rFonts w:ascii="Times New Roman" w:cs="Times New Roman" w:eastAsia="Times New Roman" w:hAnsi="Times New Roman"/>
          <w:sz w:val="22"/>
          <w:szCs w:val="22"/>
          <w:color w:val="auto"/>
        </w:rPr>
        <w:t>Three bodies of research are germane to this study: the electronic bank-ing literature, the financial literacy literature, and the digital divide litera-ture. For each, we are most interested in the pieces that apply especially to LMI individuals.</w:t>
      </w:r>
    </w:p>
    <w:p>
      <w:pPr>
        <w:spacing w:after="0" w:line="277" w:lineRule="exact"/>
        <w:rPr>
          <w:sz w:val="20"/>
          <w:szCs w:val="20"/>
          <w:color w:val="auto"/>
        </w:rPr>
      </w:pPr>
    </w:p>
    <w:p>
      <w:pPr>
        <w:spacing w:after="0"/>
        <w:rPr>
          <w:sz w:val="20"/>
          <w:szCs w:val="20"/>
          <w:color w:val="auto"/>
        </w:rPr>
      </w:pPr>
      <w:r>
        <w:rPr>
          <w:rFonts w:ascii="Arial" w:cs="Arial" w:eastAsia="Arial" w:hAnsi="Arial"/>
          <w:sz w:val="22"/>
          <w:szCs w:val="22"/>
          <w:color w:val="auto"/>
        </w:rPr>
        <w:t>Electronic Banking</w:t>
      </w:r>
    </w:p>
    <w:p>
      <w:pPr>
        <w:spacing w:after="0" w:line="305" w:lineRule="exact"/>
        <w:rPr>
          <w:sz w:val="20"/>
          <w:szCs w:val="20"/>
          <w:color w:val="auto"/>
        </w:rPr>
      </w:pPr>
    </w:p>
    <w:p>
      <w:pPr>
        <w:jc w:val="both"/>
        <w:ind w:firstLine="239"/>
        <w:spacing w:after="0" w:line="242" w:lineRule="auto"/>
        <w:rPr>
          <w:sz w:val="20"/>
          <w:szCs w:val="20"/>
          <w:color w:val="auto"/>
        </w:rPr>
      </w:pPr>
      <w:r>
        <w:rPr>
          <w:rFonts w:ascii="Times New Roman" w:cs="Times New Roman" w:eastAsia="Times New Roman" w:hAnsi="Times New Roman"/>
          <w:sz w:val="22"/>
          <w:szCs w:val="22"/>
          <w:color w:val="auto"/>
        </w:rPr>
        <w:t>In 1994, only 150,000 people banked from their home computers; by 1999, that number had grown to 3.2 million paying bills online (Orr and Ali 1999). As of late 2004, 53 million people or 44% of Internet users and one-quarter of all adults were using online banking (Fox 2005). Of all the major Internet activities tracked by the Pew Internet and American Life Project since its inaugural survey in March 2000, online banking has grown the fastest. In response to increased demand, banks are creating and expanding their online and e-banking presence (Furst, Lang, and Nolle 2001). Banks are strongly encouraging customers to conduct transactions online because electronic banking lowers costs for these institutions. The average transaction for banks over the Internet is one cent, compared to $.27 via ATM, $.54 by telephone, and $1.07 at a full-service branch (Cuevas 1998).</w:t>
      </w:r>
    </w:p>
    <w:p>
      <w:pPr>
        <w:spacing w:after="0" w:line="52" w:lineRule="exact"/>
        <w:rPr>
          <w:sz w:val="20"/>
          <w:szCs w:val="20"/>
          <w:color w:val="auto"/>
        </w:rPr>
      </w:pPr>
    </w:p>
    <w:p>
      <w:pPr>
        <w:jc w:val="both"/>
        <w:ind w:firstLine="239"/>
        <w:spacing w:after="0" w:line="254" w:lineRule="auto"/>
        <w:rPr>
          <w:sz w:val="20"/>
          <w:szCs w:val="20"/>
          <w:color w:val="auto"/>
        </w:rPr>
      </w:pPr>
      <w:r>
        <w:rPr>
          <w:rFonts w:ascii="Times New Roman" w:cs="Times New Roman" w:eastAsia="Times New Roman" w:hAnsi="Times New Roman"/>
          <w:sz w:val="21"/>
          <w:szCs w:val="21"/>
          <w:color w:val="auto"/>
        </w:rPr>
        <w:t>Electronic banking technologies can be classified as either ‘‘passive’’ or ‘‘active’’ (Kolodinsky, Hogarth, and Hilgert 2004). Passive technologies, such as direct deposit, do not require any behavioral changes on the part of the consumer; these innovations are therefore more easily spread to the mainstream. Active technologies, on the other hand, require new behaviors and are therefore more challenging to propagate. Electronic banking requires ‘‘perhaps the most consumer involvement, as it requires the con-sumer to maintain and regularly interact with additional technology (a com-puter and an Internet connection)’’ (Kolodinsky, Hogarth, and Hilgert 2004, 243). Consumers who use e-banking use it on an ongoing basis and need to acquire a certain comfort level with the technology to keep using it. LMI individuals are less likely to have this comfort level than are individuals who are better off.</w:t>
      </w:r>
    </w:p>
    <w:p>
      <w:pPr>
        <w:sectPr>
          <w:pgSz w:w="8640" w:h="13320" w:orient="portrait"/>
          <w:cols w:equalWidth="0" w:num="1">
            <w:col w:w="6460"/>
          </w:cols>
          <w:pgMar w:left="940" w:top="731" w:right="1240" w:bottom="674" w:gutter="0" w:footer="0" w:header="0"/>
        </w:sectPr>
      </w:pPr>
    </w:p>
    <w:bookmarkStart w:id="6" w:name="page7"/>
    <w:bookmarkEnd w:id="6"/>
    <w:p>
      <w:pPr>
        <w:spacing w:after="0"/>
        <w:tabs>
          <w:tab w:leader="none" w:pos="2320" w:val="left"/>
          <w:tab w:leader="none" w:pos="6140" w:val="left"/>
        </w:tabs>
        <w:rPr>
          <w:sz w:val="20"/>
          <w:szCs w:val="20"/>
          <w:color w:val="auto"/>
        </w:rPr>
      </w:pPr>
      <w:r>
        <w:rPr>
          <w:rFonts w:ascii="Times New Roman" w:cs="Times New Roman" w:eastAsia="Times New Roman" w:hAnsi="Times New Roman"/>
          <w:sz w:val="16"/>
          <w:szCs w:val="16"/>
          <w:color w:val="auto"/>
        </w:rPr>
        <w:t>SUMMER 2008</w:t>
      </w:r>
      <w:r>
        <w:rPr>
          <w:sz w:val="20"/>
          <w:szCs w:val="20"/>
          <w:color w:val="auto"/>
        </w:rPr>
        <w:tab/>
      </w:r>
      <w:r>
        <w:rPr>
          <w:rFonts w:ascii="Times New Roman" w:cs="Times New Roman" w:eastAsia="Times New Roman" w:hAnsi="Times New Roman"/>
          <w:sz w:val="16"/>
          <w:szCs w:val="16"/>
          <w:color w:val="auto"/>
        </w:rPr>
        <w:t>VOLUME 42, NUMBER 2</w:t>
      </w:r>
      <w:r>
        <w:rPr>
          <w:sz w:val="20"/>
          <w:szCs w:val="20"/>
          <w:color w:val="auto"/>
        </w:rPr>
        <w:tab/>
      </w:r>
      <w:r>
        <w:rPr>
          <w:rFonts w:ascii="Times New Roman" w:cs="Times New Roman" w:eastAsia="Times New Roman" w:hAnsi="Times New Roman"/>
          <w:sz w:val="20"/>
          <w:szCs w:val="20"/>
          <w:color w:val="auto"/>
        </w:rPr>
        <w:t>277</w:t>
      </w:r>
    </w:p>
    <w:p>
      <w:pPr>
        <w:spacing w:after="0" w:line="200" w:lineRule="exact"/>
        <w:rPr>
          <w:sz w:val="20"/>
          <w:szCs w:val="20"/>
          <w:color w:val="auto"/>
        </w:rPr>
      </w:pPr>
    </w:p>
    <w:p>
      <w:pPr>
        <w:spacing w:after="0" w:line="304" w:lineRule="exact"/>
        <w:rPr>
          <w:sz w:val="20"/>
          <w:szCs w:val="20"/>
          <w:color w:val="auto"/>
        </w:rPr>
      </w:pPr>
    </w:p>
    <w:p>
      <w:pPr>
        <w:jc w:val="both"/>
        <w:ind w:firstLine="239"/>
        <w:spacing w:after="0" w:line="256" w:lineRule="auto"/>
        <w:rPr>
          <w:sz w:val="20"/>
          <w:szCs w:val="20"/>
          <w:color w:val="auto"/>
        </w:rPr>
      </w:pPr>
      <w:r>
        <w:rPr>
          <w:rFonts w:ascii="Times New Roman" w:cs="Times New Roman" w:eastAsia="Times New Roman" w:hAnsi="Times New Roman"/>
          <w:sz w:val="21"/>
          <w:szCs w:val="21"/>
          <w:color w:val="auto"/>
        </w:rPr>
        <w:t>The proliferation of new electronic banking technologies may, if used wisely, help to bridge the gap between those who operate in the financial sector concentrated in vibrant communities and that which is concentrated in distressed communities. The advantages of using computer banking include the ability to see one’s account balances and transfer funds among accounts (Goldfield 1998) as well as ‘‘bill-paying that is easier and lower-cost, financial services that are available 24/7’, less time spent on financial management tasks, and lower risks associated with carrying cash’’ (Hogarth and Anguelov 2004, p. 1). Recent research also suggests that ‘‘increased use of online banking and bill paying can actually decrease the occurrence of identity theft by taking personal information outside the mailbox and eliminating a paper trail’’ (Stafford 2004, p. 201). These advantages clearly apply to LMI groups. Studies show that individuals’ willingness to use e-banking technologies is tied to ‘‘socioeconomic and demographic characteristics (such as income and age), [and] perceptions of specific technologies (such as perceived ease of use)’’ (Anguelov et al. 2004, p. 1). Wealthier households, those who have college degrees and those who live in the suburbs are the most likely groups to use online banking (Fox 2005; Kolodinsky, Hogarth, and Hilgert 2004). With apol-ogies for perhaps stating the obvious, it is also necessary for people to have access to computers and the Internet and sufficient experience to be comfortable manipulating their money online. The issue of the digital divide, which is composed of access, training, and content (Servon 2002) must be addressed in concert with financial literacy. A high correlation exists between people with low levels of financial literacy and low levels of technological literacy; both groups are disproportionately represented in the LMI population (U.S. Department of Commerce, National Tele-communications and Information Administration 2004). Kolodinsky, Hogarth, and Hilgert (2004: 256) recommend that ‘‘if electronic access to financial management tools is the wave of the future, marketers need to find ways to make all persons comfortable with these tools.’’ Thus far, financial institutions have tended not to reach out to LMI populations in this way.</w:t>
      </w:r>
    </w:p>
    <w:p>
      <w:pPr>
        <w:spacing w:after="0" w:line="200" w:lineRule="exact"/>
        <w:rPr>
          <w:sz w:val="20"/>
          <w:szCs w:val="20"/>
          <w:color w:val="auto"/>
        </w:rPr>
      </w:pPr>
    </w:p>
    <w:p>
      <w:pPr>
        <w:spacing w:after="0" w:line="326" w:lineRule="exact"/>
        <w:rPr>
          <w:sz w:val="20"/>
          <w:szCs w:val="20"/>
          <w:color w:val="auto"/>
        </w:rPr>
      </w:pPr>
    </w:p>
    <w:p>
      <w:pPr>
        <w:spacing w:after="0"/>
        <w:rPr>
          <w:sz w:val="20"/>
          <w:szCs w:val="20"/>
          <w:color w:val="auto"/>
        </w:rPr>
      </w:pPr>
      <w:r>
        <w:rPr>
          <w:rFonts w:ascii="Arial" w:cs="Arial" w:eastAsia="Arial" w:hAnsi="Arial"/>
          <w:sz w:val="22"/>
          <w:szCs w:val="22"/>
          <w:color w:val="auto"/>
        </w:rPr>
        <w:t>Financial Literacy</w:t>
      </w:r>
    </w:p>
    <w:p>
      <w:pPr>
        <w:spacing w:after="0" w:line="305" w:lineRule="exact"/>
        <w:rPr>
          <w:sz w:val="20"/>
          <w:szCs w:val="20"/>
          <w:color w:val="auto"/>
        </w:rPr>
      </w:pPr>
    </w:p>
    <w:p>
      <w:pPr>
        <w:jc w:val="both"/>
        <w:ind w:firstLine="239"/>
        <w:spacing w:after="0" w:line="235" w:lineRule="auto"/>
        <w:rPr>
          <w:sz w:val="20"/>
          <w:szCs w:val="20"/>
          <w:color w:val="auto"/>
        </w:rPr>
      </w:pPr>
      <w:r>
        <w:rPr>
          <w:rFonts w:ascii="Times New Roman" w:cs="Times New Roman" w:eastAsia="Times New Roman" w:hAnsi="Times New Roman"/>
          <w:sz w:val="22"/>
          <w:szCs w:val="22"/>
          <w:color w:val="auto"/>
        </w:rPr>
        <w:t>Financial literacy programs have proliferated in the past several years, partly in response to increasing complexity in the financial services envi-ronment. Other factors leading to the growth in programs include low levels of financial literacy, low savings rates, growing bankruptcy rates and debt levels, and increased responsibility among individuals for</w:t>
      </w:r>
    </w:p>
    <w:p>
      <w:pPr>
        <w:sectPr>
          <w:pgSz w:w="8640" w:h="13320" w:orient="portrait"/>
          <w:cols w:equalWidth="0" w:num="1">
            <w:col w:w="6460"/>
          </w:cols>
          <w:pgMar w:left="1240" w:top="771" w:right="940" w:bottom="685" w:gutter="0" w:footer="0" w:header="0"/>
        </w:sectPr>
      </w:pPr>
    </w:p>
    <w:bookmarkStart w:id="7" w:name="page8"/>
    <w:bookmarkEnd w:id="7"/>
    <w:p>
      <w:pPr>
        <w:spacing w:after="0"/>
        <w:tabs>
          <w:tab w:leader="none" w:pos="3460" w:val="left"/>
        </w:tabs>
        <w:rPr>
          <w:sz w:val="20"/>
          <w:szCs w:val="20"/>
          <w:color w:val="auto"/>
        </w:rPr>
      </w:pPr>
      <w:r>
        <w:rPr>
          <w:rFonts w:ascii="Times New Roman" w:cs="Times New Roman" w:eastAsia="Times New Roman" w:hAnsi="Times New Roman"/>
          <w:sz w:val="20"/>
          <w:szCs w:val="20"/>
          <w:color w:val="auto"/>
        </w:rPr>
        <w:t>278</w:t>
      </w:r>
      <w:r>
        <w:rPr>
          <w:sz w:val="20"/>
          <w:szCs w:val="20"/>
          <w:color w:val="auto"/>
        </w:rPr>
        <w:tab/>
      </w:r>
      <w:r>
        <w:rPr>
          <w:rFonts w:ascii="Times New Roman" w:cs="Times New Roman" w:eastAsia="Times New Roman" w:hAnsi="Times New Roman"/>
          <w:sz w:val="16"/>
          <w:szCs w:val="16"/>
          <w:color w:val="auto"/>
        </w:rPr>
        <w:t>THE JOURNAL OF CONSUMER AFFAIRS</w:t>
      </w:r>
    </w:p>
    <w:p>
      <w:pPr>
        <w:spacing w:after="0" w:line="200" w:lineRule="exact"/>
        <w:rPr>
          <w:sz w:val="20"/>
          <w:szCs w:val="20"/>
          <w:color w:val="auto"/>
        </w:rPr>
      </w:pPr>
    </w:p>
    <w:p>
      <w:pPr>
        <w:spacing w:after="0" w:line="344" w:lineRule="exact"/>
        <w:rPr>
          <w:sz w:val="20"/>
          <w:szCs w:val="20"/>
          <w:color w:val="auto"/>
        </w:rPr>
      </w:pPr>
    </w:p>
    <w:p>
      <w:pPr>
        <w:jc w:val="both"/>
        <w:spacing w:after="0" w:line="220" w:lineRule="auto"/>
        <w:rPr>
          <w:sz w:val="20"/>
          <w:szCs w:val="20"/>
          <w:color w:val="auto"/>
        </w:rPr>
      </w:pPr>
      <w:r>
        <w:rPr>
          <w:rFonts w:ascii="Times New Roman" w:cs="Times New Roman" w:eastAsia="Times New Roman" w:hAnsi="Times New Roman"/>
          <w:sz w:val="22"/>
          <w:szCs w:val="22"/>
          <w:color w:val="auto"/>
        </w:rPr>
        <w:t>making decisions that will affect their economic futures (Parrish and Servon 2006).</w:t>
      </w:r>
    </w:p>
    <w:p>
      <w:pPr>
        <w:spacing w:after="0" w:line="54" w:lineRule="exact"/>
        <w:rPr>
          <w:sz w:val="20"/>
          <w:szCs w:val="20"/>
          <w:color w:val="auto"/>
        </w:rPr>
      </w:pPr>
    </w:p>
    <w:p>
      <w:pPr>
        <w:jc w:val="both"/>
        <w:ind w:firstLine="239"/>
        <w:spacing w:after="0" w:line="242" w:lineRule="auto"/>
        <w:rPr>
          <w:sz w:val="20"/>
          <w:szCs w:val="20"/>
          <w:color w:val="auto"/>
        </w:rPr>
      </w:pPr>
      <w:r>
        <w:rPr>
          <w:rFonts w:ascii="Times New Roman" w:cs="Times New Roman" w:eastAsia="Times New Roman" w:hAnsi="Times New Roman"/>
          <w:sz w:val="21"/>
          <w:szCs w:val="21"/>
          <w:color w:val="auto"/>
        </w:rPr>
        <w:t>The lion’s share of financial literacy programs have been mounted by public and nonprofit actors. Banks are virtually the only for-profit actors that have entered this arena, but they do less than the other two sectors.</w:t>
      </w:r>
      <w:r>
        <w:rPr>
          <w:rFonts w:ascii="Times New Roman" w:cs="Times New Roman" w:eastAsia="Times New Roman" w:hAnsi="Times New Roman"/>
          <w:sz w:val="28"/>
          <w:szCs w:val="28"/>
          <w:color w:val="auto"/>
          <w:vertAlign w:val="superscript"/>
        </w:rPr>
        <w:t>3</w:t>
      </w:r>
      <w:r>
        <w:rPr>
          <w:rFonts w:ascii="Times New Roman" w:cs="Times New Roman" w:eastAsia="Times New Roman" w:hAnsi="Times New Roman"/>
          <w:sz w:val="21"/>
          <w:szCs w:val="21"/>
          <w:color w:val="auto"/>
        </w:rPr>
        <w:t xml:space="preserve"> Clearly, increased financial literacy benefits banks by: (1) moving people from alternative to mainstream financial institutions, (2) getting people to save and invest more, and (3) educating people about products that meet their needs and then purchasing these products. The advent of online bank-ing provides banks with another reason to educate LMI customers—to move them online and thereby serve them less expensively.</w:t>
      </w:r>
    </w:p>
    <w:p>
      <w:pPr>
        <w:spacing w:after="0" w:line="59" w:lineRule="exact"/>
        <w:rPr>
          <w:sz w:val="20"/>
          <w:szCs w:val="20"/>
          <w:color w:val="auto"/>
        </w:rPr>
      </w:pPr>
    </w:p>
    <w:p>
      <w:pPr>
        <w:jc w:val="both"/>
        <w:ind w:firstLine="239"/>
        <w:spacing w:after="0" w:line="256" w:lineRule="auto"/>
        <w:rPr>
          <w:sz w:val="20"/>
          <w:szCs w:val="20"/>
          <w:color w:val="auto"/>
        </w:rPr>
      </w:pPr>
      <w:r>
        <w:rPr>
          <w:rFonts w:ascii="Times New Roman" w:cs="Times New Roman" w:eastAsia="Times New Roman" w:hAnsi="Times New Roman"/>
          <w:sz w:val="21"/>
          <w:szCs w:val="21"/>
          <w:color w:val="auto"/>
        </w:rPr>
        <w:t>Improving the financial literacy of adults is particularly challenging because they do not attend school, as do youth, and they tend not to have the time or interest in generic financial literacy classes (Parrish and Servon 2006). Researchers and practitioners advocate identifying ‘‘teachable moments,’’ such as home purchasing or filing for bankruptcy, at which financial information is particularly relevant (National Endowment for Financial Education 2004). Some research has found positive results when financial education is offered in the workplace in conjunction with the employee’s making decisions about participation in a retirement savings plan (Bayer, Bernheim, and Scholz 1996; Bernheim and Garrett 1996; Loibl and Hira 2004). However, as Hilgert and Hogarth state ‘‘one of the greatest challenges for policymakers, consumer educators, and practi-tioners in providing financial education is motivating individuals to pursue it’’ (2003, p. 320). Policy recommendations focus on school or the work-place as primary intervention points (Koide, Murrell, and Seidman 2007), but these recommendations have limited generalizability to LMI adults, many of whom do not work or whose jobs do not entitle them to retirement savings. For the sample of individuals we studied for this article, for exam-ple, approximately half had 12 or fewer years of education, 20 percent, did not work at all in the past year, and only 46 percent worked full time and full year. The average earnings of the sample were approximately $20,000 per year and 15 percent of the sample received public assistance. Workplace-oriented strategies may not be the most appropriate way to reach this group with financial education. At the same time, given their place along the socioeconomic spectrum, they are both most needy of financial education and most vulnerable to predatory providers of financial services.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-1270</wp:posOffset>
            </wp:positionH>
            <wp:positionV relativeFrom="paragraph">
              <wp:posOffset>210185</wp:posOffset>
            </wp:positionV>
            <wp:extent cx="1518285" cy="4763"/>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extLst>
                    </a:blip>
                    <a:srcRect/>
                    <a:stretch>
                      <a:fillRect/>
                    </a:stretch>
                  </pic:blipFill>
                  <pic:spPr bwMode="auto">
                    <a:xfrm>
                      <a:off x="0" y="0"/>
                      <a:ext cx="1518285" cy="4763"/>
                    </a:xfrm>
                    <a:prstGeom prst="rect">
                      <a:avLst/>
                    </a:prstGeom>
                    <a:noFill/>
                  </pic:spPr>
                </pic:pic>
              </a:graphicData>
            </a:graphic>
          </wp:anchor>
        </w:drawing>
      </w:r>
    </w:p>
    <w:p>
      <w:pPr>
        <w:sectPr>
          <w:pgSz w:w="8640" w:h="13320" w:orient="portrait"/>
          <w:cols w:equalWidth="0" w:num="1">
            <w:col w:w="6460"/>
          </w:cols>
          <w:pgMar w:left="940" w:top="731" w:right="1240" w:bottom="692" w:gutter="0" w:footer="0" w:header="0"/>
        </w:sectPr>
      </w:pPr>
    </w:p>
    <w:p>
      <w:pPr>
        <w:spacing w:after="0" w:line="200" w:lineRule="exact"/>
        <w:rPr>
          <w:sz w:val="20"/>
          <w:szCs w:val="20"/>
          <w:color w:val="auto"/>
        </w:rPr>
      </w:pPr>
    </w:p>
    <w:p>
      <w:pPr>
        <w:spacing w:after="0" w:line="264" w:lineRule="exact"/>
        <w:rPr>
          <w:sz w:val="20"/>
          <w:szCs w:val="20"/>
          <w:color w:val="auto"/>
        </w:rPr>
      </w:pPr>
    </w:p>
    <w:p>
      <w:pPr>
        <w:jc w:val="both"/>
        <w:ind w:firstLine="177"/>
        <w:spacing w:after="0" w:line="238" w:lineRule="auto"/>
        <w:tabs>
          <w:tab w:leader="none" w:pos="379" w:val="left"/>
        </w:tabs>
        <w:numPr>
          <w:ilvl w:val="0"/>
          <w:numId w:val="4"/>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Some leading-edge corporate actors have begun to provide financial education programs as research has begun to demonstrate a link between workers’ financial stability and productivity (Garman 1998; Kim and Garman 1998; Quinn 2000).</w:t>
      </w:r>
    </w:p>
    <w:p>
      <w:pPr>
        <w:sectPr>
          <w:pgSz w:w="8640" w:h="13320" w:orient="portrait"/>
          <w:cols w:equalWidth="0" w:num="1">
            <w:col w:w="6460"/>
          </w:cols>
          <w:pgMar w:left="940" w:top="731" w:right="1240" w:bottom="692" w:gutter="0" w:footer="0" w:header="0"/>
          <w:type w:val="continuous"/>
        </w:sectPr>
      </w:pPr>
    </w:p>
    <w:bookmarkStart w:id="8" w:name="page9"/>
    <w:bookmarkEnd w:id="8"/>
    <w:p>
      <w:pPr>
        <w:spacing w:after="0"/>
        <w:tabs>
          <w:tab w:leader="none" w:pos="2320" w:val="left"/>
          <w:tab w:leader="none" w:pos="6140" w:val="left"/>
        </w:tabs>
        <w:rPr>
          <w:sz w:val="20"/>
          <w:szCs w:val="20"/>
          <w:color w:val="auto"/>
        </w:rPr>
      </w:pPr>
      <w:r>
        <w:rPr>
          <w:rFonts w:ascii="Times New Roman" w:cs="Times New Roman" w:eastAsia="Times New Roman" w:hAnsi="Times New Roman"/>
          <w:sz w:val="16"/>
          <w:szCs w:val="16"/>
          <w:color w:val="auto"/>
        </w:rPr>
        <w:t>SUMMER 2008</w:t>
      </w:r>
      <w:r>
        <w:rPr>
          <w:sz w:val="20"/>
          <w:szCs w:val="20"/>
          <w:color w:val="auto"/>
        </w:rPr>
        <w:tab/>
      </w:r>
      <w:r>
        <w:rPr>
          <w:rFonts w:ascii="Times New Roman" w:cs="Times New Roman" w:eastAsia="Times New Roman" w:hAnsi="Times New Roman"/>
          <w:sz w:val="16"/>
          <w:szCs w:val="16"/>
          <w:color w:val="auto"/>
        </w:rPr>
        <w:t>VOLUME 42, NUMBER 2</w:t>
      </w:r>
      <w:r>
        <w:rPr>
          <w:sz w:val="20"/>
          <w:szCs w:val="20"/>
          <w:color w:val="auto"/>
        </w:rPr>
        <w:tab/>
      </w:r>
      <w:r>
        <w:rPr>
          <w:rFonts w:ascii="Times New Roman" w:cs="Times New Roman" w:eastAsia="Times New Roman" w:hAnsi="Times New Roman"/>
          <w:sz w:val="20"/>
          <w:szCs w:val="20"/>
          <w:color w:val="auto"/>
        </w:rPr>
        <w:t>279</w:t>
      </w:r>
    </w:p>
    <w:p>
      <w:pPr>
        <w:spacing w:after="0" w:line="200" w:lineRule="exact"/>
        <w:rPr>
          <w:sz w:val="20"/>
          <w:szCs w:val="20"/>
          <w:color w:val="auto"/>
        </w:rPr>
      </w:pPr>
    </w:p>
    <w:p>
      <w:pPr>
        <w:spacing w:after="0" w:line="304" w:lineRule="exact"/>
        <w:rPr>
          <w:sz w:val="20"/>
          <w:szCs w:val="20"/>
          <w:color w:val="auto"/>
        </w:rPr>
      </w:pPr>
    </w:p>
    <w:p>
      <w:pPr>
        <w:jc w:val="both"/>
        <w:ind w:firstLine="239"/>
        <w:spacing w:after="0" w:line="268" w:lineRule="auto"/>
        <w:rPr>
          <w:sz w:val="20"/>
          <w:szCs w:val="20"/>
          <w:color w:val="auto"/>
        </w:rPr>
      </w:pPr>
      <w:r>
        <w:rPr>
          <w:rFonts w:ascii="Times New Roman" w:cs="Times New Roman" w:eastAsia="Times New Roman" w:hAnsi="Times New Roman"/>
          <w:sz w:val="20"/>
          <w:szCs w:val="20"/>
          <w:color w:val="auto"/>
        </w:rPr>
        <w:t>Although there is not much research on financial education that targets LMI people, that which does exist suggests that pairing financial literacy training with an opportunity to save is beneficial. The American Dream Demonstration provided low-income participants with the opportunity to save in an Individual Development Account for a home, business start-up, or an education. Participants who saved and completed a financial liter-acy program had their savings matched. An evaluation of the program found that rates of saving increased for every individual hour of financial education received up to twelve hours (Schreiner, Sherraden, and Beverly 2002). An evaluation of the Financial Links for Low-Income People program in Illinois offers further evidence that low-income individuals benefit from financial education and the opportunity to open a savings account. Financial Links for Low-Income People provided financial education to low-income partic-ipants, including Temporary Assistance for Needy Families recipients, a por-tion of whom had the opportunity to open an Individual Development Account. Participants reported that they were budgeting better, saving more, opening bank accounts, and participating in employer-sponsored retirement plans as a result of the program (Anderson, Scott, and Zhan 2004).</w:t>
      </w:r>
    </w:p>
    <w:p>
      <w:pPr>
        <w:spacing w:after="0" w:line="41" w:lineRule="exact"/>
        <w:rPr>
          <w:sz w:val="20"/>
          <w:szCs w:val="20"/>
          <w:color w:val="auto"/>
        </w:rPr>
      </w:pPr>
    </w:p>
    <w:p>
      <w:pPr>
        <w:jc w:val="both"/>
        <w:ind w:firstLine="239"/>
        <w:spacing w:after="0" w:line="255" w:lineRule="auto"/>
        <w:rPr>
          <w:sz w:val="20"/>
          <w:szCs w:val="20"/>
          <w:color w:val="auto"/>
        </w:rPr>
      </w:pPr>
      <w:r>
        <w:rPr>
          <w:rFonts w:ascii="Times New Roman" w:cs="Times New Roman" w:eastAsia="Times New Roman" w:hAnsi="Times New Roman"/>
          <w:sz w:val="21"/>
          <w:szCs w:val="21"/>
          <w:color w:val="auto"/>
        </w:rPr>
        <w:t>Research about the impact of financial education, while mixed, points to a positive relationship between financial education and financial behaviors and other financial outcomes (Hilgert and Hogarth 2003; Lyons et al. 2006). At the same time, there is ‘‘a general lack of understanding and knowledge among financial professionals and educators about how to mea-sure program impact’’ (Lyons et al. 2006, p. 208). Although research on the format, quality, and content of financial education also ranges, financial education experts recommend that the education be active rather than passive. People tend to learn better when they believe that the material is relevant to their lives and when they are able to practice what they learn (Parrish and Servon 2006). The manner in which material is delivered is also important. Some research suggests that traditional approaches to financial education may do a poor job of connecting with individuals (Ciccotello and Elger 2004) and low-income individuals in particular (Shirer and Tobe n.d.) Other research highlights a new approach called ‘‘andragogy,’’ a learner-centric approach that is more flexible and less lecture oriented than tradi-tional classes and that may work better for adults than traditional pedagogical approaches (National Endowment for Financial Education 2004). Shirer and Tobe (2004) found that traditional budgeting classes did not do a good job of retaining participants, and therefore piloted a model curriculum incorporating ‘‘stages of change theory’’ which they found to be effective for motivating people with few financial resources to pursue a healthy financial lifestyle.</w:t>
      </w:r>
    </w:p>
    <w:p>
      <w:pPr>
        <w:sectPr>
          <w:pgSz w:w="8640" w:h="13320" w:orient="portrait"/>
          <w:cols w:equalWidth="0" w:num="1">
            <w:col w:w="6460"/>
          </w:cols>
          <w:pgMar w:left="1240" w:top="771" w:right="940" w:bottom="685" w:gutter="0" w:footer="0" w:header="0"/>
        </w:sectPr>
      </w:pPr>
    </w:p>
    <w:bookmarkStart w:id="9" w:name="page10"/>
    <w:bookmarkEnd w:id="9"/>
    <w:p>
      <w:pPr>
        <w:spacing w:after="0"/>
        <w:tabs>
          <w:tab w:leader="none" w:pos="3460" w:val="left"/>
        </w:tabs>
        <w:rPr>
          <w:sz w:val="20"/>
          <w:szCs w:val="20"/>
          <w:color w:val="auto"/>
        </w:rPr>
      </w:pPr>
      <w:r>
        <w:rPr>
          <w:rFonts w:ascii="Times New Roman" w:cs="Times New Roman" w:eastAsia="Times New Roman" w:hAnsi="Times New Roman"/>
          <w:sz w:val="20"/>
          <w:szCs w:val="20"/>
          <w:color w:val="auto"/>
        </w:rPr>
        <w:t>280</w:t>
      </w:r>
      <w:r>
        <w:rPr>
          <w:sz w:val="20"/>
          <w:szCs w:val="20"/>
          <w:color w:val="auto"/>
        </w:rPr>
        <w:tab/>
      </w:r>
      <w:r>
        <w:rPr>
          <w:rFonts w:ascii="Times New Roman" w:cs="Times New Roman" w:eastAsia="Times New Roman" w:hAnsi="Times New Roman"/>
          <w:sz w:val="16"/>
          <w:szCs w:val="16"/>
          <w:color w:val="auto"/>
        </w:rPr>
        <w:t>THE JOURNAL OF CONSUMER AFFAIRS</w:t>
      </w:r>
    </w:p>
    <w:p>
      <w:pPr>
        <w:spacing w:after="0" w:line="200" w:lineRule="exact"/>
        <w:rPr>
          <w:sz w:val="20"/>
          <w:szCs w:val="20"/>
          <w:color w:val="auto"/>
        </w:rPr>
      </w:pPr>
    </w:p>
    <w:p>
      <w:pPr>
        <w:spacing w:after="0" w:line="305" w:lineRule="exact"/>
        <w:rPr>
          <w:sz w:val="20"/>
          <w:szCs w:val="20"/>
          <w:color w:val="auto"/>
        </w:rPr>
      </w:pPr>
    </w:p>
    <w:p>
      <w:pPr>
        <w:spacing w:after="0"/>
        <w:rPr>
          <w:sz w:val="20"/>
          <w:szCs w:val="20"/>
          <w:color w:val="auto"/>
        </w:rPr>
      </w:pPr>
      <w:r>
        <w:rPr>
          <w:rFonts w:ascii="Arial" w:cs="Arial" w:eastAsia="Arial" w:hAnsi="Arial"/>
          <w:sz w:val="22"/>
          <w:szCs w:val="22"/>
          <w:color w:val="auto"/>
        </w:rPr>
        <w:t>The Digital Divide</w:t>
      </w:r>
    </w:p>
    <w:p>
      <w:pPr>
        <w:spacing w:after="0" w:line="305" w:lineRule="exact"/>
        <w:rPr>
          <w:sz w:val="20"/>
          <w:szCs w:val="20"/>
          <w:color w:val="auto"/>
        </w:rPr>
      </w:pPr>
    </w:p>
    <w:p>
      <w:pPr>
        <w:jc w:val="both"/>
        <w:ind w:firstLine="239"/>
        <w:spacing w:after="0" w:line="241" w:lineRule="auto"/>
        <w:rPr>
          <w:sz w:val="20"/>
          <w:szCs w:val="20"/>
          <w:color w:val="auto"/>
        </w:rPr>
      </w:pPr>
      <w:r>
        <w:rPr>
          <w:rFonts w:ascii="Times New Roman" w:cs="Times New Roman" w:eastAsia="Times New Roman" w:hAnsi="Times New Roman"/>
          <w:sz w:val="22"/>
          <w:szCs w:val="22"/>
          <w:color w:val="auto"/>
        </w:rPr>
        <w:t>Low-income people and people of color tend to have less access (in terms of quantity and quality) to IT than do whites and higher-income people. Overall, access to IT is increasing at a rapid rate (National Tele-communications and Information Administration 2004). Although some groups of people, namely African Americans, Latinos, and the disabled remain persistently and disproportionately on the wrong side of the digital divide, the gaps between those who have access to IT and those who do not are rapidly closing. Gaps between rural and nonrural households and between seniors and younger people have begun to narrow. Some divides, such as that between women and men, have disappeared altogether.</w:t>
      </w:r>
    </w:p>
    <w:p>
      <w:pPr>
        <w:spacing w:after="0" w:line="55" w:lineRule="exact"/>
        <w:rPr>
          <w:sz w:val="20"/>
          <w:szCs w:val="20"/>
          <w:color w:val="auto"/>
        </w:rPr>
      </w:pPr>
    </w:p>
    <w:p>
      <w:pPr>
        <w:jc w:val="both"/>
        <w:ind w:firstLine="239"/>
        <w:spacing w:after="0" w:line="242" w:lineRule="auto"/>
        <w:rPr>
          <w:sz w:val="20"/>
          <w:szCs w:val="20"/>
          <w:color w:val="auto"/>
        </w:rPr>
      </w:pPr>
      <w:r>
        <w:rPr>
          <w:rFonts w:ascii="Times New Roman" w:cs="Times New Roman" w:eastAsia="Times New Roman" w:hAnsi="Times New Roman"/>
          <w:sz w:val="22"/>
          <w:szCs w:val="22"/>
          <w:color w:val="auto"/>
        </w:rPr>
        <w:t>Increases in online banking correlate with the spread of faster broadband connections. Sixty-three percent of people with broadband connections at home have tried online banking, whereas only 32 percent of people with dial-up connections have tried online banking (Fox 2005). More compli-cated financial applications tend to work much more smoothly with high-speed Internet connections. Although the proportion of U.S. households with broadband Internet connections more than doubled between 2001 and 2003, broadband remains too expensive for many potential users. Of the 80 percent of households that did not have broadband connections in 2003, nearly 40 percent said their reason was that it is too expensive (New America Foundation, U.S. Department of Commerce, National Tele-communications and Information Administration 2004). Broadband access is much more the norm for wealthier and better-educated Americans (Horrigan 2004).</w:t>
      </w:r>
    </w:p>
    <w:p>
      <w:pPr>
        <w:spacing w:after="0" w:line="56" w:lineRule="exact"/>
        <w:rPr>
          <w:sz w:val="20"/>
          <w:szCs w:val="20"/>
          <w:color w:val="auto"/>
        </w:rPr>
      </w:pPr>
    </w:p>
    <w:p>
      <w:pPr>
        <w:jc w:val="both"/>
        <w:ind w:firstLine="239"/>
        <w:spacing w:after="0" w:line="237" w:lineRule="auto"/>
        <w:rPr>
          <w:sz w:val="20"/>
          <w:szCs w:val="20"/>
          <w:color w:val="auto"/>
        </w:rPr>
      </w:pPr>
      <w:r>
        <w:rPr>
          <w:rFonts w:ascii="Times New Roman" w:cs="Times New Roman" w:eastAsia="Times New Roman" w:hAnsi="Times New Roman"/>
          <w:sz w:val="22"/>
          <w:szCs w:val="22"/>
          <w:color w:val="auto"/>
        </w:rPr>
        <w:t>Taken together, these three bodies of literature paint a vivid picture of the context out of which the Program was generated. LMI groups stand to gain a great deal from financial and technological literacy and from elec-tronic banking but are consistently excluded from the benefits these advan-ces offer. The rationale for the kind of program launched by the Bank was clear.</w:t>
      </w:r>
    </w:p>
    <w:p>
      <w:pPr>
        <w:spacing w:after="0" w:line="267"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2"/>
          <w:szCs w:val="22"/>
          <w:color w:val="auto"/>
        </w:rPr>
        <w:t>THE PROGRAM</w:t>
      </w:r>
    </w:p>
    <w:p>
      <w:pPr>
        <w:spacing w:after="0" w:line="313" w:lineRule="exact"/>
        <w:rPr>
          <w:sz w:val="20"/>
          <w:szCs w:val="20"/>
          <w:color w:val="auto"/>
        </w:rPr>
      </w:pPr>
    </w:p>
    <w:p>
      <w:pPr>
        <w:jc w:val="both"/>
        <w:ind w:firstLine="239"/>
        <w:spacing w:after="0" w:line="248" w:lineRule="auto"/>
        <w:rPr>
          <w:sz w:val="20"/>
          <w:szCs w:val="20"/>
          <w:color w:val="auto"/>
        </w:rPr>
      </w:pPr>
      <w:r>
        <w:rPr>
          <w:rFonts w:ascii="Times New Roman" w:cs="Times New Roman" w:eastAsia="Times New Roman" w:hAnsi="Times New Roman"/>
          <w:sz w:val="21"/>
          <w:szCs w:val="21"/>
          <w:color w:val="auto"/>
        </w:rPr>
        <w:t>In its materials, the Bank describes the Program as ‘‘a comprehensive community economic development initiative to stimulate wealth creation through digital inclusion and greater access to online financial services in low and moderate-income (LMI) communities.’’ The Program is innovative because it jointly addresses the digital divide and financial literacy issues.</w:t>
      </w:r>
    </w:p>
    <w:p>
      <w:pPr>
        <w:sectPr>
          <w:pgSz w:w="8640" w:h="13320" w:orient="portrait"/>
          <w:cols w:equalWidth="0" w:num="1">
            <w:col w:w="6460"/>
          </w:cols>
          <w:pgMar w:left="940" w:top="731" w:right="1240" w:bottom="676" w:gutter="0" w:footer="0" w:header="0"/>
        </w:sectPr>
      </w:pPr>
    </w:p>
    <w:bookmarkStart w:id="10" w:name="page11"/>
    <w:bookmarkEnd w:id="10"/>
    <w:p>
      <w:pPr>
        <w:spacing w:after="0"/>
        <w:tabs>
          <w:tab w:leader="none" w:pos="2320" w:val="left"/>
          <w:tab w:leader="none" w:pos="6140" w:val="left"/>
        </w:tabs>
        <w:rPr>
          <w:sz w:val="20"/>
          <w:szCs w:val="20"/>
          <w:color w:val="auto"/>
        </w:rPr>
      </w:pPr>
      <w:r>
        <w:rPr>
          <w:rFonts w:ascii="Times New Roman" w:cs="Times New Roman" w:eastAsia="Times New Roman" w:hAnsi="Times New Roman"/>
          <w:sz w:val="16"/>
          <w:szCs w:val="16"/>
          <w:color w:val="auto"/>
        </w:rPr>
        <w:t>SUMMER 2008</w:t>
      </w:r>
      <w:r>
        <w:rPr>
          <w:sz w:val="20"/>
          <w:szCs w:val="20"/>
          <w:color w:val="auto"/>
        </w:rPr>
        <w:tab/>
      </w:r>
      <w:r>
        <w:rPr>
          <w:rFonts w:ascii="Times New Roman" w:cs="Times New Roman" w:eastAsia="Times New Roman" w:hAnsi="Times New Roman"/>
          <w:sz w:val="16"/>
          <w:szCs w:val="16"/>
          <w:color w:val="auto"/>
        </w:rPr>
        <w:t>VOLUME 42, NUMBER 2</w:t>
      </w:r>
      <w:r>
        <w:rPr>
          <w:sz w:val="20"/>
          <w:szCs w:val="20"/>
          <w:color w:val="auto"/>
        </w:rPr>
        <w:tab/>
      </w:r>
      <w:r>
        <w:rPr>
          <w:rFonts w:ascii="Times New Roman" w:cs="Times New Roman" w:eastAsia="Times New Roman" w:hAnsi="Times New Roman"/>
          <w:sz w:val="20"/>
          <w:szCs w:val="20"/>
          <w:color w:val="auto"/>
        </w:rPr>
        <w:t>281</w:t>
      </w:r>
    </w:p>
    <w:p>
      <w:pPr>
        <w:spacing w:after="0" w:line="200" w:lineRule="exact"/>
        <w:rPr>
          <w:sz w:val="20"/>
          <w:szCs w:val="20"/>
          <w:color w:val="auto"/>
        </w:rPr>
      </w:pPr>
    </w:p>
    <w:p>
      <w:pPr>
        <w:spacing w:after="0" w:line="304" w:lineRule="exact"/>
        <w:rPr>
          <w:sz w:val="20"/>
          <w:szCs w:val="20"/>
          <w:color w:val="auto"/>
        </w:rPr>
      </w:pPr>
    </w:p>
    <w:p>
      <w:pPr>
        <w:jc w:val="both"/>
        <w:spacing w:after="0"/>
        <w:rPr>
          <w:sz w:val="20"/>
          <w:szCs w:val="20"/>
          <w:color w:val="auto"/>
        </w:rPr>
      </w:pPr>
      <w:r>
        <w:rPr>
          <w:rFonts w:ascii="Times New Roman" w:cs="Times New Roman" w:eastAsia="Times New Roman" w:hAnsi="Times New Roman"/>
          <w:sz w:val="22"/>
          <w:szCs w:val="22"/>
          <w:color w:val="auto"/>
        </w:rPr>
        <w:t>Broadly, the goals of the Program are to increase the financial literacy of participants, enhance the ability of participants to obtain assets, and help bridge the digital divide. The stakeholders of the program—which include the Bank itself, partner community-based organizations (CBOs), and pro-gram participants—are somewhat diverse, however, which has created a set of overlapping, but not entirely consistent goals. This was a demonstration program; the Bank deployed it in five LMI communities in three Northeast-ern cities—Boston (three sites), Newark, NJ (one site), and New York City (one site).</w:t>
      </w:r>
    </w:p>
    <w:p>
      <w:pPr>
        <w:spacing w:after="0" w:line="56" w:lineRule="exact"/>
        <w:rPr>
          <w:sz w:val="20"/>
          <w:szCs w:val="20"/>
          <w:color w:val="auto"/>
        </w:rPr>
      </w:pPr>
    </w:p>
    <w:p>
      <w:pPr>
        <w:jc w:val="both"/>
        <w:ind w:firstLine="239"/>
        <w:spacing w:after="0" w:line="248" w:lineRule="auto"/>
        <w:rPr>
          <w:sz w:val="20"/>
          <w:szCs w:val="20"/>
          <w:color w:val="auto"/>
        </w:rPr>
      </w:pPr>
      <w:r>
        <w:rPr>
          <w:rFonts w:ascii="Times New Roman" w:cs="Times New Roman" w:eastAsia="Times New Roman" w:hAnsi="Times New Roman"/>
          <w:sz w:val="21"/>
          <w:szCs w:val="21"/>
          <w:color w:val="auto"/>
        </w:rPr>
        <w:t>Clearly, the Bank had other goals in addition to those stated above. These included: (1) getting people to move from tellers and ATMs to online banking, which is much less expensive for the banks; (2) customer reten-tion; and (3) converting customers with savings or checking accounts to become users of other investment products and loans.</w:t>
      </w:r>
    </w:p>
    <w:p>
      <w:pPr>
        <w:spacing w:after="0" w:line="47" w:lineRule="exact"/>
        <w:rPr>
          <w:sz w:val="20"/>
          <w:szCs w:val="20"/>
          <w:color w:val="auto"/>
        </w:rPr>
      </w:pPr>
    </w:p>
    <w:p>
      <w:pPr>
        <w:jc w:val="both"/>
        <w:ind w:firstLine="239"/>
        <w:spacing w:after="0" w:line="255" w:lineRule="auto"/>
        <w:rPr>
          <w:sz w:val="20"/>
          <w:szCs w:val="20"/>
          <w:color w:val="auto"/>
        </w:rPr>
      </w:pPr>
      <w:r>
        <w:rPr>
          <w:rFonts w:ascii="Times New Roman" w:cs="Times New Roman" w:eastAsia="Times New Roman" w:hAnsi="Times New Roman"/>
          <w:sz w:val="21"/>
          <w:szCs w:val="21"/>
          <w:color w:val="auto"/>
        </w:rPr>
        <w:t>Unlike many programs designed to bring technology to LMI groups, which focus primarily on access to computers and the Internet, the Program intended to address all three components of the digital divide: access, train-ing, and content. The Bank addressed the access component by providing all Program participants with free computers, printers, and one year of Internet access. The Bank used the term ‘‘comfort’’ to refer to training and technical assistance both with respect to computer and Internet skills and to financial literacy. Recognizing the importance of the forum for the delivery of material, as discussed above, the Bank partnered with local CBOs to provide financial literacy training and training in both computer and Internet skills. The Bank believed that CBOs would best know their communities and that participants might be more comfortable attending classes at a CBO than at a bank. From a practical perspective, the chosen CBOs were already set up to deliver classes using computers (unlike bank branches). Chosen CBOs were already operating as community technology centers, providing computer literacy training to their constituents. Com-puter classes were mandatory for beginners and optional for those who had had some experience with computers. The Bank gave potential partic-ipants written questionnaires to complete to gauge participants’ level of experience with technology; responses to these questionnaires determined participants’ technology level. The Program attempted to address the con-tent aspect of the digital divide problem by creating Web sites for the com-munities the program targets.</w:t>
      </w:r>
    </w:p>
    <w:p>
      <w:pPr>
        <w:spacing w:after="0" w:line="313" w:lineRule="exact"/>
        <w:rPr>
          <w:sz w:val="20"/>
          <w:szCs w:val="20"/>
          <w:color w:val="auto"/>
        </w:rPr>
      </w:pPr>
    </w:p>
    <w:p>
      <w:pPr>
        <w:jc w:val="both"/>
        <w:ind w:firstLine="239"/>
        <w:spacing w:after="0" w:line="245" w:lineRule="auto"/>
        <w:rPr>
          <w:sz w:val="20"/>
          <w:szCs w:val="20"/>
          <w:color w:val="auto"/>
        </w:rPr>
      </w:pPr>
      <w:r>
        <w:rPr>
          <w:rFonts w:ascii="Times New Roman" w:cs="Times New Roman" w:eastAsia="Times New Roman" w:hAnsi="Times New Roman"/>
          <w:sz w:val="21"/>
          <w:szCs w:val="21"/>
          <w:color w:val="auto"/>
        </w:rPr>
        <w:t>The Bank contracted with a third party to create a financial literacy cur-riculum tailored to this population. The interactive curriculum was deliv-ered by the CBOs in computer labs and consisted of six 2-hour sessions. The financial literacy component of the Program was designed to teach</w:t>
      </w:r>
    </w:p>
    <w:p>
      <w:pPr>
        <w:sectPr>
          <w:pgSz w:w="8640" w:h="13320" w:orient="portrait"/>
          <w:cols w:equalWidth="0" w:num="1">
            <w:col w:w="6460"/>
          </w:cols>
          <w:pgMar w:left="1240" w:top="771" w:right="940" w:bottom="679" w:gutter="0" w:footer="0" w:header="0"/>
        </w:sectPr>
      </w:pPr>
    </w:p>
    <w:bookmarkStart w:id="11" w:name="page12"/>
    <w:bookmarkEnd w:id="11"/>
    <w:p>
      <w:pPr>
        <w:spacing w:after="0"/>
        <w:tabs>
          <w:tab w:leader="none" w:pos="3460" w:val="left"/>
        </w:tabs>
        <w:rPr>
          <w:sz w:val="20"/>
          <w:szCs w:val="20"/>
          <w:color w:val="auto"/>
        </w:rPr>
      </w:pPr>
      <w:r>
        <w:rPr>
          <w:rFonts w:ascii="Times New Roman" w:cs="Times New Roman" w:eastAsia="Times New Roman" w:hAnsi="Times New Roman"/>
          <w:sz w:val="20"/>
          <w:szCs w:val="20"/>
          <w:color w:val="auto"/>
        </w:rPr>
        <w:t>282</w:t>
      </w:r>
      <w:r>
        <w:rPr>
          <w:sz w:val="20"/>
          <w:szCs w:val="20"/>
          <w:color w:val="auto"/>
        </w:rPr>
        <w:tab/>
      </w:r>
      <w:r>
        <w:rPr>
          <w:rFonts w:ascii="Times New Roman" w:cs="Times New Roman" w:eastAsia="Times New Roman" w:hAnsi="Times New Roman"/>
          <w:sz w:val="16"/>
          <w:szCs w:val="16"/>
          <w:color w:val="auto"/>
        </w:rPr>
        <w:t>THE JOURNAL OF CONSUMER AFFAIRS</w:t>
      </w:r>
    </w:p>
    <w:p>
      <w:pPr>
        <w:spacing w:after="0" w:line="200" w:lineRule="exact"/>
        <w:rPr>
          <w:sz w:val="20"/>
          <w:szCs w:val="20"/>
          <w:color w:val="auto"/>
        </w:rPr>
      </w:pPr>
    </w:p>
    <w:p>
      <w:pPr>
        <w:spacing w:after="0" w:line="344" w:lineRule="exact"/>
        <w:rPr>
          <w:sz w:val="20"/>
          <w:szCs w:val="20"/>
          <w:color w:val="auto"/>
        </w:rPr>
      </w:pPr>
    </w:p>
    <w:p>
      <w:pPr>
        <w:jc w:val="both"/>
        <w:spacing w:after="0" w:line="228" w:lineRule="auto"/>
        <w:rPr>
          <w:sz w:val="20"/>
          <w:szCs w:val="20"/>
          <w:color w:val="auto"/>
        </w:rPr>
      </w:pPr>
      <w:r>
        <w:rPr>
          <w:rFonts w:ascii="Times New Roman" w:cs="Times New Roman" w:eastAsia="Times New Roman" w:hAnsi="Times New Roman"/>
          <w:sz w:val="22"/>
          <w:szCs w:val="22"/>
          <w:color w:val="auto"/>
        </w:rPr>
        <w:t>participants basic financial concepts such as how to balance their check-books and how to use credit, as well as how to conduct their banking electronically.</w:t>
      </w:r>
    </w:p>
    <w:p>
      <w:pPr>
        <w:spacing w:after="0" w:line="57" w:lineRule="exact"/>
        <w:rPr>
          <w:sz w:val="20"/>
          <w:szCs w:val="20"/>
          <w:color w:val="auto"/>
        </w:rPr>
      </w:pPr>
    </w:p>
    <w:p>
      <w:pPr>
        <w:jc w:val="both"/>
        <w:ind w:firstLine="239"/>
        <w:spacing w:after="0" w:line="235" w:lineRule="auto"/>
        <w:rPr>
          <w:sz w:val="20"/>
          <w:szCs w:val="20"/>
          <w:color w:val="auto"/>
        </w:rPr>
      </w:pPr>
      <w:r>
        <w:rPr>
          <w:rFonts w:ascii="Times New Roman" w:cs="Times New Roman" w:eastAsia="Times New Roman" w:hAnsi="Times New Roman"/>
          <w:sz w:val="22"/>
          <w:szCs w:val="22"/>
          <w:color w:val="auto"/>
        </w:rPr>
        <w:t>All outreach was done through Bank branches; Bank personnel at branches in the targeted communities were to tell customers about the program and recruit those who met the eligibility requirements. To be eli-gible to participate in the Program, applicants had to meet the following criteria:</w:t>
      </w:r>
    </w:p>
    <w:p>
      <w:pPr>
        <w:spacing w:after="0" w:line="268" w:lineRule="exact"/>
        <w:rPr>
          <w:sz w:val="20"/>
          <w:szCs w:val="20"/>
          <w:color w:val="auto"/>
        </w:rPr>
      </w:pPr>
    </w:p>
    <w:p>
      <w:pPr>
        <w:ind w:left="420" w:hanging="184"/>
        <w:spacing w:after="0"/>
        <w:tabs>
          <w:tab w:leader="none" w:pos="420" w:val="left"/>
        </w:tabs>
        <w:numPr>
          <w:ilvl w:val="0"/>
          <w:numId w:val="5"/>
        </w:numPr>
        <w:rPr>
          <w:rFonts w:ascii="Times New Roman" w:cs="Times New Roman" w:eastAsia="Times New Roman" w:hAnsi="Times New Roman"/>
          <w:sz w:val="8"/>
          <w:szCs w:val="8"/>
          <w:color w:val="auto"/>
        </w:rPr>
      </w:pPr>
      <w:r>
        <w:rPr>
          <w:rFonts w:ascii="Times New Roman" w:cs="Times New Roman" w:eastAsia="Times New Roman" w:hAnsi="Times New Roman"/>
          <w:sz w:val="22"/>
          <w:szCs w:val="22"/>
          <w:color w:val="auto"/>
        </w:rPr>
        <w:t>Bank customer for at least six months</w:t>
      </w:r>
    </w:p>
    <w:p>
      <w:pPr>
        <w:spacing w:after="0" w:line="5" w:lineRule="exact"/>
        <w:rPr>
          <w:rFonts w:ascii="Times New Roman" w:cs="Times New Roman" w:eastAsia="Times New Roman" w:hAnsi="Times New Roman"/>
          <w:sz w:val="8"/>
          <w:szCs w:val="8"/>
          <w:color w:val="auto"/>
        </w:rPr>
      </w:pPr>
    </w:p>
    <w:p>
      <w:pPr>
        <w:ind w:left="420" w:hanging="184"/>
        <w:spacing w:after="0"/>
        <w:tabs>
          <w:tab w:leader="none" w:pos="420" w:val="left"/>
        </w:tabs>
        <w:numPr>
          <w:ilvl w:val="0"/>
          <w:numId w:val="5"/>
        </w:numPr>
        <w:rPr>
          <w:rFonts w:ascii="Times New Roman" w:cs="Times New Roman" w:eastAsia="Times New Roman" w:hAnsi="Times New Roman"/>
          <w:sz w:val="8"/>
          <w:szCs w:val="8"/>
          <w:color w:val="auto"/>
        </w:rPr>
      </w:pPr>
      <w:r>
        <w:rPr>
          <w:rFonts w:ascii="Times New Roman" w:cs="Times New Roman" w:eastAsia="Times New Roman" w:hAnsi="Times New Roman"/>
          <w:sz w:val="22"/>
          <w:szCs w:val="22"/>
          <w:color w:val="auto"/>
        </w:rPr>
        <w:t>be LMI (self-reported)</w:t>
      </w:r>
    </w:p>
    <w:p>
      <w:pPr>
        <w:spacing w:after="0" w:line="5" w:lineRule="exact"/>
        <w:rPr>
          <w:rFonts w:ascii="Times New Roman" w:cs="Times New Roman" w:eastAsia="Times New Roman" w:hAnsi="Times New Roman"/>
          <w:sz w:val="8"/>
          <w:szCs w:val="8"/>
          <w:color w:val="auto"/>
        </w:rPr>
      </w:pPr>
    </w:p>
    <w:p>
      <w:pPr>
        <w:ind w:left="420" w:hanging="184"/>
        <w:spacing w:after="0"/>
        <w:tabs>
          <w:tab w:leader="none" w:pos="420" w:val="left"/>
        </w:tabs>
        <w:numPr>
          <w:ilvl w:val="0"/>
          <w:numId w:val="5"/>
        </w:numPr>
        <w:rPr>
          <w:rFonts w:ascii="Times New Roman" w:cs="Times New Roman" w:eastAsia="Times New Roman" w:hAnsi="Times New Roman"/>
          <w:sz w:val="8"/>
          <w:szCs w:val="8"/>
          <w:color w:val="auto"/>
        </w:rPr>
      </w:pPr>
      <w:r>
        <w:rPr>
          <w:rFonts w:ascii="Times New Roman" w:cs="Times New Roman" w:eastAsia="Times New Roman" w:hAnsi="Times New Roman"/>
          <w:sz w:val="22"/>
          <w:szCs w:val="22"/>
          <w:color w:val="auto"/>
        </w:rPr>
        <w:t>live in the target area served by the branch</w:t>
      </w:r>
    </w:p>
    <w:p>
      <w:pPr>
        <w:ind w:left="420" w:hanging="184"/>
        <w:spacing w:after="0" w:line="212" w:lineRule="auto"/>
        <w:tabs>
          <w:tab w:leader="none" w:pos="420" w:val="left"/>
        </w:tabs>
        <w:numPr>
          <w:ilvl w:val="0"/>
          <w:numId w:val="5"/>
        </w:numPr>
        <w:rPr>
          <w:rFonts w:ascii="Times New Roman" w:cs="Times New Roman" w:eastAsia="Times New Roman" w:hAnsi="Times New Roman"/>
          <w:sz w:val="8"/>
          <w:szCs w:val="8"/>
          <w:color w:val="auto"/>
        </w:rPr>
      </w:pPr>
      <w:r>
        <w:rPr>
          <w:rFonts w:ascii="Times New Roman" w:cs="Times New Roman" w:eastAsia="Times New Roman" w:hAnsi="Times New Roman"/>
          <w:sz w:val="22"/>
          <w:szCs w:val="22"/>
          <w:color w:val="auto"/>
        </w:rPr>
        <w:t>not currently have a computer at home.</w:t>
      </w:r>
      <w:r>
        <w:rPr>
          <w:rFonts w:ascii="Times New Roman" w:cs="Times New Roman" w:eastAsia="Times New Roman" w:hAnsi="Times New Roman"/>
          <w:sz w:val="29"/>
          <w:szCs w:val="29"/>
          <w:color w:val="auto"/>
          <w:vertAlign w:val="superscript"/>
        </w:rPr>
        <w:t>4</w:t>
      </w:r>
    </w:p>
    <w:p>
      <w:pPr>
        <w:spacing w:after="0" w:line="278" w:lineRule="exact"/>
        <w:rPr>
          <w:sz w:val="20"/>
          <w:szCs w:val="20"/>
          <w:color w:val="auto"/>
        </w:rPr>
      </w:pPr>
    </w:p>
    <w:p>
      <w:pPr>
        <w:jc w:val="both"/>
        <w:ind w:firstLine="239"/>
        <w:spacing w:after="0" w:line="242" w:lineRule="auto"/>
        <w:rPr>
          <w:sz w:val="20"/>
          <w:szCs w:val="20"/>
          <w:color w:val="auto"/>
        </w:rPr>
      </w:pPr>
      <w:r>
        <w:rPr>
          <w:rFonts w:ascii="Times New Roman" w:cs="Times New Roman" w:eastAsia="Times New Roman" w:hAnsi="Times New Roman"/>
          <w:sz w:val="22"/>
          <w:szCs w:val="22"/>
          <w:color w:val="auto"/>
        </w:rPr>
        <w:t>We chose to study this Program because it represented an uncommon partnership between a Bank and CBOs to effect positive change in LMI communities. It also provided a unique opportunity to study a financial literacy intervention from beginning to end, enabling us to gain important insight into key planning and implementation issues such as the impor-tance of defining success and connecting this definition to program design. We discussed the difficulties involved in providing financial lit-eracy education to adults in an earlier section; we believed that the incen-tive environment created by the Program might encourage LMI individuals to obtain financial literacy education because of the free com-puter and training. In addition, if the Program moved significant numbers of people from teller and ATM banking to online banking, it might incen-tivize banks to do more on the financial literacy front. In effect, the Pro-gram represented a potential way for the bank to ‘‘do well while doing good,’’ achieving a double bottom line. For these reasons, we believed that the Program warranted study.</w:t>
      </w:r>
    </w:p>
    <w:p>
      <w:pPr>
        <w:spacing w:after="0" w:line="274"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2"/>
          <w:szCs w:val="22"/>
          <w:color w:val="auto"/>
        </w:rPr>
        <w:t>METHOD</w:t>
      </w:r>
    </w:p>
    <w:p>
      <w:pPr>
        <w:spacing w:after="0" w:line="313" w:lineRule="exact"/>
        <w:rPr>
          <w:sz w:val="20"/>
          <w:szCs w:val="20"/>
          <w:color w:val="auto"/>
        </w:rPr>
      </w:pPr>
    </w:p>
    <w:p>
      <w:pPr>
        <w:jc w:val="both"/>
        <w:ind w:firstLine="239"/>
        <w:spacing w:after="0" w:line="228" w:lineRule="auto"/>
        <w:rPr>
          <w:sz w:val="20"/>
          <w:szCs w:val="20"/>
          <w:color w:val="auto"/>
        </w:rPr>
      </w:pPr>
      <w:r>
        <w:rPr>
          <w:rFonts w:ascii="Times New Roman" w:cs="Times New Roman" w:eastAsia="Times New Roman" w:hAnsi="Times New Roman"/>
          <w:sz w:val="22"/>
          <w:szCs w:val="22"/>
          <w:color w:val="auto"/>
        </w:rPr>
        <w:t>Given that the Program was a pilot, it was important to document both processes and outcomes to understand what changes could be built into a replicable model and to understand whether and how implementation</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-1270</wp:posOffset>
            </wp:positionH>
            <wp:positionV relativeFrom="paragraph">
              <wp:posOffset>260350</wp:posOffset>
            </wp:positionV>
            <wp:extent cx="1518285" cy="4763"/>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extLst>
                    </a:blip>
                    <a:srcRect/>
                    <a:stretch>
                      <a:fillRect/>
                    </a:stretch>
                  </pic:blipFill>
                  <pic:spPr bwMode="auto">
                    <a:xfrm>
                      <a:off x="0" y="0"/>
                      <a:ext cx="1518285" cy="4763"/>
                    </a:xfrm>
                    <a:prstGeom prst="rect">
                      <a:avLst/>
                    </a:prstGeom>
                    <a:noFill/>
                  </pic:spPr>
                </pic:pic>
              </a:graphicData>
            </a:graphic>
          </wp:anchor>
        </w:drawing>
      </w:r>
    </w:p>
    <w:p>
      <w:pPr>
        <w:spacing w:after="0" w:line="200" w:lineRule="exact"/>
        <w:rPr>
          <w:sz w:val="20"/>
          <w:szCs w:val="20"/>
          <w:color w:val="auto"/>
        </w:rPr>
      </w:pPr>
    </w:p>
    <w:p>
      <w:pPr>
        <w:spacing w:after="0" w:line="321" w:lineRule="exact"/>
        <w:rPr>
          <w:sz w:val="20"/>
          <w:szCs w:val="20"/>
          <w:color w:val="auto"/>
        </w:rPr>
      </w:pPr>
    </w:p>
    <w:p>
      <w:pPr>
        <w:jc w:val="both"/>
        <w:ind w:firstLine="177"/>
        <w:spacing w:after="0" w:line="244" w:lineRule="auto"/>
        <w:tabs>
          <w:tab w:leader="none" w:pos="379" w:val="left"/>
        </w:tabs>
        <w:numPr>
          <w:ilvl w:val="0"/>
          <w:numId w:val="6"/>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The Bank changed these requirements somewhat for site 5 because the bank was opening a new branch there. Therefore, the Bank allowed people to apply for the program and open an account at the same time; these applicants had to wait six months before receiving their computers. The Bank hoped to recruit two hundred participants for the Program in site 5 and did so very quickly.</w:t>
      </w:r>
    </w:p>
    <w:p>
      <w:pPr>
        <w:sectPr>
          <w:pgSz w:w="8640" w:h="13320" w:orient="portrait"/>
          <w:cols w:equalWidth="0" w:num="1">
            <w:col w:w="6460"/>
          </w:cols>
          <w:pgMar w:left="940" w:top="731" w:right="1240" w:bottom="691" w:gutter="0" w:footer="0" w:header="0"/>
        </w:sectPr>
      </w:pPr>
    </w:p>
    <w:bookmarkStart w:id="12" w:name="page13"/>
    <w:bookmarkEnd w:id="12"/>
    <w:p>
      <w:pPr>
        <w:spacing w:after="0"/>
        <w:tabs>
          <w:tab w:leader="none" w:pos="2320" w:val="left"/>
          <w:tab w:leader="none" w:pos="6140" w:val="left"/>
        </w:tabs>
        <w:rPr>
          <w:sz w:val="20"/>
          <w:szCs w:val="20"/>
          <w:color w:val="auto"/>
        </w:rPr>
      </w:pPr>
      <w:r>
        <w:rPr>
          <w:rFonts w:ascii="Times New Roman" w:cs="Times New Roman" w:eastAsia="Times New Roman" w:hAnsi="Times New Roman"/>
          <w:sz w:val="16"/>
          <w:szCs w:val="16"/>
          <w:color w:val="auto"/>
        </w:rPr>
        <w:t>SUMMER 2008</w:t>
      </w:r>
      <w:r>
        <w:rPr>
          <w:sz w:val="20"/>
          <w:szCs w:val="20"/>
          <w:color w:val="auto"/>
        </w:rPr>
        <w:tab/>
      </w:r>
      <w:r>
        <w:rPr>
          <w:rFonts w:ascii="Times New Roman" w:cs="Times New Roman" w:eastAsia="Times New Roman" w:hAnsi="Times New Roman"/>
          <w:sz w:val="16"/>
          <w:szCs w:val="16"/>
          <w:color w:val="auto"/>
        </w:rPr>
        <w:t>VOLUME 42, NUMBER 2</w:t>
      </w:r>
      <w:r>
        <w:rPr>
          <w:sz w:val="20"/>
          <w:szCs w:val="20"/>
          <w:color w:val="auto"/>
        </w:rPr>
        <w:tab/>
      </w:r>
      <w:r>
        <w:rPr>
          <w:rFonts w:ascii="Times New Roman" w:cs="Times New Roman" w:eastAsia="Times New Roman" w:hAnsi="Times New Roman"/>
          <w:sz w:val="20"/>
          <w:szCs w:val="20"/>
          <w:color w:val="auto"/>
        </w:rPr>
        <w:t>283</w:t>
      </w:r>
    </w:p>
    <w:p>
      <w:pPr>
        <w:spacing w:after="0" w:line="200" w:lineRule="exact"/>
        <w:rPr>
          <w:sz w:val="20"/>
          <w:szCs w:val="20"/>
          <w:color w:val="auto"/>
        </w:rPr>
      </w:pPr>
    </w:p>
    <w:p>
      <w:pPr>
        <w:spacing w:after="0" w:line="304" w:lineRule="exact"/>
        <w:rPr>
          <w:sz w:val="20"/>
          <w:szCs w:val="20"/>
          <w:color w:val="auto"/>
        </w:rPr>
      </w:pPr>
    </w:p>
    <w:p>
      <w:pPr>
        <w:jc w:val="both"/>
        <w:spacing w:after="0" w:line="254" w:lineRule="auto"/>
        <w:rPr>
          <w:sz w:val="20"/>
          <w:szCs w:val="20"/>
          <w:color w:val="auto"/>
        </w:rPr>
      </w:pPr>
      <w:r>
        <w:rPr>
          <w:rFonts w:ascii="Times New Roman" w:cs="Times New Roman" w:eastAsia="Times New Roman" w:hAnsi="Times New Roman"/>
          <w:sz w:val="21"/>
          <w:szCs w:val="21"/>
          <w:color w:val="auto"/>
        </w:rPr>
        <w:t>may have affected results. This research combines aspects of both forma-tive and summative evaluation (Fox, Bartholomae, and Lee 2005) and relies on data from quantitative and qualitative methods. Quantitative data from baseline and follow-up telephone surveys create the bones of the story to be told from participants’ background and experiences in this program, while qualitative data from interviews and focus groups help to put flesh on the bones. The ‘‘process’’ piece, in particular, which is critical to understand in a pilot, could only be addressed using qualitative methods. Understand-ing implementation issues would help us to evaluate whether outcomes were the result of the intervention and to what extent implementation issues played a role in the ultimate effects of the Program. We used both quan-titative and qualitative methods to study outcomes.</w:t>
      </w:r>
    </w:p>
    <w:p>
      <w:pPr>
        <w:spacing w:after="0" w:line="42" w:lineRule="exact"/>
        <w:rPr>
          <w:sz w:val="20"/>
          <w:szCs w:val="20"/>
          <w:color w:val="auto"/>
        </w:rPr>
      </w:pPr>
    </w:p>
    <w:p>
      <w:pPr>
        <w:jc w:val="both"/>
        <w:ind w:firstLine="239"/>
        <w:spacing w:after="0" w:line="242" w:lineRule="auto"/>
        <w:rPr>
          <w:sz w:val="20"/>
          <w:szCs w:val="20"/>
          <w:color w:val="auto"/>
        </w:rPr>
      </w:pPr>
      <w:r>
        <w:rPr>
          <w:rFonts w:ascii="Times New Roman" w:cs="Times New Roman" w:eastAsia="Times New Roman" w:hAnsi="Times New Roman"/>
          <w:sz w:val="22"/>
          <w:szCs w:val="22"/>
          <w:color w:val="auto"/>
        </w:rPr>
        <w:t>The first two sites to host the Program—site 1 and site 2—were initiated before the evaluation began and were therefore ineligible for the quantita-tive component of this study as it was not possible to collect baseline data. For site 3 and site 4, we employed a random sample control group meth-odology. Half of all applicants at each site were randomly assigned to either the participant or the control group. Controls were told that they would receive their computers nine months after becoming eligible. We recognize that the sample population may not be representative of the LMI population overall because participants and controls had bank accounts and because the eligible population had uneven access to information about the pro-gram. Despite this issue, we maintain that the sample is of interest from a policy perspective. It represents a key segment of the LMI popula-tion that could benefit from financial literacy. Those who never bank are in a different category and may require different and more remedial interventions.</w:t>
      </w:r>
    </w:p>
    <w:p>
      <w:pPr>
        <w:spacing w:after="0" w:line="60" w:lineRule="exact"/>
        <w:rPr>
          <w:sz w:val="20"/>
          <w:szCs w:val="20"/>
          <w:color w:val="auto"/>
        </w:rPr>
      </w:pPr>
    </w:p>
    <w:p>
      <w:pPr>
        <w:jc w:val="both"/>
        <w:ind w:firstLine="239"/>
        <w:spacing w:after="0" w:line="254" w:lineRule="auto"/>
        <w:rPr>
          <w:sz w:val="20"/>
          <w:szCs w:val="20"/>
          <w:color w:val="auto"/>
        </w:rPr>
      </w:pPr>
      <w:r>
        <w:rPr>
          <w:rFonts w:ascii="Times New Roman" w:cs="Times New Roman" w:eastAsia="Times New Roman" w:hAnsi="Times New Roman"/>
          <w:sz w:val="21"/>
          <w:szCs w:val="21"/>
          <w:color w:val="auto"/>
        </w:rPr>
        <w:t>The baseline survey was administered by telephone by the Center for Survey Research and Analysis at the University of Connecticut. In addition to basic demographic data, we asked participants two kinds of questions. One set related to their financial literacy (i.e., knowledge of basic financial concepts). The other set asked for personal information about their assets, banking habits, use of technology, and savings patterns. There is consider-able variation in how financial literacy programs are evaluated and a general lack of consensus about how to measure program outcomes, with many simply counting the number of participants who attend sessions (Lyons et al. 2006). Following consensus from a 2004 U.S. Government Account-ability Office forum that ‘‘evaluation should focus on behavior change rather than just changes in knowledge and skills’’ (Lyons et al. 2006, p. 211), the financial literacy questions we employed attempted to gauge both participants’ knowledge (e.g., ‘‘Mutual funds pay a guaranteed rate of</w:t>
      </w:r>
    </w:p>
    <w:p>
      <w:pPr>
        <w:sectPr>
          <w:pgSz w:w="8640" w:h="13320" w:orient="portrait"/>
          <w:cols w:equalWidth="0" w:num="1">
            <w:col w:w="6460"/>
          </w:cols>
          <w:pgMar w:left="1240" w:top="771" w:right="940" w:bottom="677" w:gutter="0" w:footer="0" w:header="0"/>
        </w:sectPr>
      </w:pPr>
    </w:p>
    <w:bookmarkStart w:id="13" w:name="page14"/>
    <w:bookmarkEnd w:id="13"/>
    <w:p>
      <w:pPr>
        <w:spacing w:after="0"/>
        <w:tabs>
          <w:tab w:leader="none" w:pos="3460" w:val="left"/>
        </w:tabs>
        <w:rPr>
          <w:sz w:val="20"/>
          <w:szCs w:val="20"/>
          <w:color w:val="auto"/>
        </w:rPr>
      </w:pPr>
      <w:r>
        <w:rPr>
          <w:rFonts w:ascii="Times New Roman" w:cs="Times New Roman" w:eastAsia="Times New Roman" w:hAnsi="Times New Roman"/>
          <w:sz w:val="20"/>
          <w:szCs w:val="20"/>
          <w:color w:val="auto"/>
        </w:rPr>
        <w:t>284</w:t>
      </w:r>
      <w:r>
        <w:rPr>
          <w:sz w:val="20"/>
          <w:szCs w:val="20"/>
          <w:color w:val="auto"/>
        </w:rPr>
        <w:tab/>
      </w:r>
      <w:r>
        <w:rPr>
          <w:rFonts w:ascii="Times New Roman" w:cs="Times New Roman" w:eastAsia="Times New Roman" w:hAnsi="Times New Roman"/>
          <w:sz w:val="16"/>
          <w:szCs w:val="16"/>
          <w:color w:val="auto"/>
        </w:rPr>
        <w:t>THE JOURNAL OF CONSUMER AFFAIRS</w:t>
      </w:r>
    </w:p>
    <w:p>
      <w:pPr>
        <w:spacing w:after="0" w:line="200" w:lineRule="exact"/>
        <w:rPr>
          <w:sz w:val="20"/>
          <w:szCs w:val="20"/>
          <w:color w:val="auto"/>
        </w:rPr>
      </w:pPr>
    </w:p>
    <w:p>
      <w:pPr>
        <w:spacing w:after="0" w:line="344" w:lineRule="exact"/>
        <w:rPr>
          <w:sz w:val="20"/>
          <w:szCs w:val="20"/>
          <w:color w:val="auto"/>
        </w:rPr>
      </w:pPr>
    </w:p>
    <w:p>
      <w:pPr>
        <w:jc w:val="both"/>
        <w:spacing w:after="0" w:line="230" w:lineRule="auto"/>
        <w:rPr>
          <w:sz w:val="20"/>
          <w:szCs w:val="20"/>
          <w:color w:val="auto"/>
        </w:rPr>
      </w:pPr>
      <w:r>
        <w:rPr>
          <w:rFonts w:ascii="Times New Roman" w:cs="Times New Roman" w:eastAsia="Times New Roman" w:hAnsi="Times New Roman"/>
          <w:sz w:val="22"/>
          <w:szCs w:val="22"/>
          <w:color w:val="auto"/>
        </w:rPr>
        <w:t>return’’ [True or False]) and their behavior (e.g., ‘‘Do you save money for emergency expenses?’’, ‘‘Do you have written spending goals for this year?’’). We conducted a follow-up survey via telephone one year after baseline to measure whether and how both knowledge and behavior had changed.</w:t>
      </w:r>
      <w:r>
        <w:rPr>
          <w:rFonts w:ascii="Times New Roman" w:cs="Times New Roman" w:eastAsia="Times New Roman" w:hAnsi="Times New Roman"/>
          <w:sz w:val="29"/>
          <w:szCs w:val="29"/>
          <w:color w:val="auto"/>
          <w:vertAlign w:val="superscript"/>
        </w:rPr>
        <w:t>5</w:t>
      </w:r>
      <w:r>
        <w:rPr>
          <w:rFonts w:ascii="Times New Roman" w:cs="Times New Roman" w:eastAsia="Times New Roman" w:hAnsi="Times New Roman"/>
          <w:sz w:val="22"/>
          <w:szCs w:val="22"/>
          <w:color w:val="auto"/>
        </w:rPr>
        <w:t xml:space="preserve"> For the knowledge questions, we looked at whether they answered questions correctly that they had answered incorrectly at baseline. For the behavior questions, we looked for changes such as paying off credit cards in full and saving regularly.</w:t>
      </w:r>
    </w:p>
    <w:p>
      <w:pPr>
        <w:spacing w:after="0" w:line="56" w:lineRule="exact"/>
        <w:rPr>
          <w:sz w:val="20"/>
          <w:szCs w:val="20"/>
          <w:color w:val="auto"/>
        </w:rPr>
      </w:pPr>
    </w:p>
    <w:p>
      <w:pPr>
        <w:jc w:val="both"/>
        <w:ind w:firstLine="239"/>
        <w:spacing w:after="0" w:line="253" w:lineRule="auto"/>
        <w:rPr>
          <w:sz w:val="20"/>
          <w:szCs w:val="20"/>
          <w:color w:val="auto"/>
        </w:rPr>
      </w:pPr>
      <w:r>
        <w:rPr>
          <w:rFonts w:ascii="Times New Roman" w:cs="Times New Roman" w:eastAsia="Times New Roman" w:hAnsi="Times New Roman"/>
          <w:sz w:val="21"/>
          <w:szCs w:val="21"/>
          <w:color w:val="auto"/>
        </w:rPr>
        <w:t>In addition to the baseline and follow-up surveys, we conducted a total of twenty-eight telephone interviews with key staff at the Bank, relevant staff at Program partner CBOs at all five sites, and other partners. These inter-views focused on each actor’s perspective on and history with the Program. Given the stature of the interviewees and the kind of information we sought, we conducted the interviews as ‘‘guided conversations,’’ using the inter-viewees’ responses to direct the flow of the interview (Rubin and Rubin 2004). We analyzed the text of our interview notes to discern trends and to ensure that quotes used to illustrate points typified interviewees’ comments. At each site, we held one focus group for participants who had used the Bank’s electronic banking Web site and one for those who had not, for a total of ten focus groups across the five sites. Focus group questions complemented the telephone surveys. In addition to asking par-ticipants about their financial and technological knowledge and use, we also asked them about their experiences with the Program, suggestions for changes, and perceptions about whether and how their behaviors had changed as a result of participating in the program. At each group, we held a drawing for $100 which we used as an incentive for people to participate. We also attended a meeting called by the Bank’s foundation, which brought together all the CBO partners. Finally, we conducted an extensive literature review in the following areas: community development banking, banking and technology, financial literacy, and digital divide.</w:t>
      </w:r>
      <w:r>
        <w:rPr>
          <w:rFonts w:ascii="Times New Roman" w:cs="Times New Roman" w:eastAsia="Times New Roman" w:hAnsi="Times New Roman"/>
          <w:sz w:val="28"/>
          <w:szCs w:val="28"/>
          <w:color w:val="auto"/>
          <w:vertAlign w:val="superscript"/>
        </w:rPr>
        <w:t>6</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-1270</wp:posOffset>
            </wp:positionH>
            <wp:positionV relativeFrom="paragraph">
              <wp:posOffset>586740</wp:posOffset>
            </wp:positionV>
            <wp:extent cx="1518285" cy="4763"/>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extLst>
                    </a:blip>
                    <a:srcRect/>
                    <a:stretch>
                      <a:fillRect/>
                    </a:stretch>
                  </pic:blipFill>
                  <pic:spPr bwMode="auto">
                    <a:xfrm>
                      <a:off x="0" y="0"/>
                      <a:ext cx="1518285" cy="4763"/>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37" w:lineRule="exact"/>
        <w:rPr>
          <w:sz w:val="20"/>
          <w:szCs w:val="20"/>
          <w:color w:val="auto"/>
        </w:rPr>
      </w:pPr>
    </w:p>
    <w:p>
      <w:pPr>
        <w:jc w:val="both"/>
        <w:ind w:firstLine="177"/>
        <w:spacing w:after="0" w:line="250" w:lineRule="auto"/>
        <w:tabs>
          <w:tab w:leader="none" w:pos="379" w:val="left"/>
        </w:tabs>
        <w:numPr>
          <w:ilvl w:val="0"/>
          <w:numId w:val="7"/>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It is possible that waiting longer than one year to conduct the follow-up survey would have enabled us to see greater Program effects. We decided against waiting longer for several reasons. First, it would have added significantly to the cost of the study. Second, given that LMI individuals tend to be mobile and difficult to keep track of, we would have lost many participants and controls. And finally, we would also have had to defer giving the control group computers, Internet access, and training; the Bank believed doing so would upset its customers and was unwilling to do so.</w:t>
      </w:r>
    </w:p>
    <w:p>
      <w:pPr>
        <w:spacing w:after="0" w:line="45" w:lineRule="exact"/>
        <w:rPr>
          <w:rFonts w:ascii="Times New Roman" w:cs="Times New Roman" w:eastAsia="Times New Roman" w:hAnsi="Times New Roman"/>
          <w:sz w:val="16"/>
          <w:szCs w:val="16"/>
          <w:color w:val="auto"/>
        </w:rPr>
      </w:pPr>
    </w:p>
    <w:p>
      <w:pPr>
        <w:jc w:val="both"/>
        <w:ind w:firstLine="177"/>
        <w:spacing w:after="0" w:line="238" w:lineRule="auto"/>
        <w:tabs>
          <w:tab w:leader="none" w:pos="379" w:val="left"/>
        </w:tabs>
        <w:numPr>
          <w:ilvl w:val="0"/>
          <w:numId w:val="7"/>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The Bank would not allow the use of random control group survey methodology in site 5. This fact, combined with the difference in the structure of this site keeps us from combining data from the site 5 with data from the other two sites.</w:t>
      </w:r>
    </w:p>
    <w:p>
      <w:pPr>
        <w:sectPr>
          <w:pgSz w:w="8640" w:h="13320" w:orient="portrait"/>
          <w:cols w:equalWidth="0" w:num="1">
            <w:col w:w="6460"/>
          </w:cols>
          <w:pgMar w:left="940" w:top="731" w:right="1240" w:bottom="692" w:gutter="0" w:footer="0" w:header="0"/>
        </w:sectPr>
      </w:pPr>
    </w:p>
    <w:bookmarkStart w:id="14" w:name="page15"/>
    <w:bookmarkEnd w:id="14"/>
    <w:p>
      <w:pPr>
        <w:spacing w:after="0"/>
        <w:tabs>
          <w:tab w:leader="none" w:pos="2320" w:val="left"/>
          <w:tab w:leader="none" w:pos="6140" w:val="left"/>
        </w:tabs>
        <w:rPr>
          <w:sz w:val="20"/>
          <w:szCs w:val="20"/>
          <w:color w:val="auto"/>
        </w:rPr>
      </w:pPr>
      <w:r>
        <w:rPr>
          <w:rFonts w:ascii="Times New Roman" w:cs="Times New Roman" w:eastAsia="Times New Roman" w:hAnsi="Times New Roman"/>
          <w:sz w:val="16"/>
          <w:szCs w:val="16"/>
          <w:color w:val="auto"/>
        </w:rPr>
        <w:t>SUMMER 2008</w:t>
      </w:r>
      <w:r>
        <w:rPr>
          <w:sz w:val="20"/>
          <w:szCs w:val="20"/>
          <w:color w:val="auto"/>
        </w:rPr>
        <w:tab/>
      </w:r>
      <w:r>
        <w:rPr>
          <w:rFonts w:ascii="Times New Roman" w:cs="Times New Roman" w:eastAsia="Times New Roman" w:hAnsi="Times New Roman"/>
          <w:sz w:val="16"/>
          <w:szCs w:val="16"/>
          <w:color w:val="auto"/>
        </w:rPr>
        <w:t>VOLUME 42, NUMBER 2</w:t>
      </w:r>
      <w:r>
        <w:rPr>
          <w:sz w:val="20"/>
          <w:szCs w:val="20"/>
          <w:color w:val="auto"/>
        </w:rPr>
        <w:tab/>
      </w:r>
      <w:r>
        <w:rPr>
          <w:rFonts w:ascii="Times New Roman" w:cs="Times New Roman" w:eastAsia="Times New Roman" w:hAnsi="Times New Roman"/>
          <w:sz w:val="20"/>
          <w:szCs w:val="20"/>
          <w:color w:val="auto"/>
        </w:rPr>
        <w:t>285</w:t>
      </w:r>
    </w:p>
    <w:p>
      <w:pPr>
        <w:spacing w:after="0" w:line="200" w:lineRule="exact"/>
        <w:rPr>
          <w:sz w:val="20"/>
          <w:szCs w:val="20"/>
          <w:color w:val="auto"/>
        </w:rPr>
      </w:pPr>
    </w:p>
    <w:p>
      <w:pPr>
        <w:spacing w:after="0" w:line="256"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2"/>
          <w:szCs w:val="22"/>
          <w:color w:val="auto"/>
        </w:rPr>
        <w:t>ANALYSIS</w:t>
      </w:r>
    </w:p>
    <w:p>
      <w:pPr>
        <w:spacing w:after="0" w:line="265"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2"/>
          <w:szCs w:val="22"/>
          <w:color w:val="auto"/>
        </w:rPr>
        <w:t>Findings from Survey Research</w:t>
      </w:r>
    </w:p>
    <w:p>
      <w:pPr>
        <w:spacing w:after="0" w:line="273" w:lineRule="exact"/>
        <w:rPr>
          <w:sz w:val="20"/>
          <w:szCs w:val="20"/>
          <w:color w:val="auto"/>
        </w:rPr>
      </w:pPr>
    </w:p>
    <w:p>
      <w:pPr>
        <w:spacing w:after="0"/>
        <w:rPr>
          <w:sz w:val="20"/>
          <w:szCs w:val="20"/>
          <w:color w:val="auto"/>
        </w:rPr>
      </w:pPr>
      <w:r>
        <w:rPr>
          <w:rFonts w:ascii="Arial" w:cs="Arial" w:eastAsia="Arial" w:hAnsi="Arial"/>
          <w:sz w:val="22"/>
          <w:szCs w:val="22"/>
          <w:color w:val="auto"/>
        </w:rPr>
        <w:t>Baseline Survey Findings</w:t>
      </w:r>
    </w:p>
    <w:p>
      <w:pPr>
        <w:spacing w:after="0" w:line="305" w:lineRule="exact"/>
        <w:rPr>
          <w:sz w:val="20"/>
          <w:szCs w:val="20"/>
          <w:color w:val="auto"/>
        </w:rPr>
      </w:pPr>
    </w:p>
    <w:p>
      <w:pPr>
        <w:jc w:val="both"/>
        <w:ind w:firstLine="239"/>
        <w:spacing w:after="0" w:line="223" w:lineRule="auto"/>
        <w:rPr>
          <w:sz w:val="20"/>
          <w:szCs w:val="20"/>
          <w:color w:val="auto"/>
        </w:rPr>
      </w:pPr>
      <w:r>
        <w:rPr>
          <w:rFonts w:ascii="Times New Roman" w:cs="Times New Roman" w:eastAsia="Times New Roman" w:hAnsi="Times New Roman"/>
          <w:sz w:val="22"/>
          <w:szCs w:val="22"/>
          <w:color w:val="auto"/>
        </w:rPr>
        <w:t>Table 1 documents numbers of participants and controls at site 3 and site 4 along with response rates for the baseline survey. The relatively low num-bers of participants compromise our ability to do analysis beyond differ-ences between participants and controls.</w:t>
      </w:r>
      <w:r>
        <w:rPr>
          <w:rFonts w:ascii="Times New Roman" w:cs="Times New Roman" w:eastAsia="Times New Roman" w:hAnsi="Times New Roman"/>
          <w:sz w:val="29"/>
          <w:szCs w:val="29"/>
          <w:color w:val="auto"/>
          <w:vertAlign w:val="superscript"/>
        </w:rPr>
        <w:t>7</w:t>
      </w:r>
    </w:p>
    <w:p>
      <w:pPr>
        <w:spacing w:after="0" w:line="21" w:lineRule="exact"/>
        <w:rPr>
          <w:sz w:val="20"/>
          <w:szCs w:val="20"/>
          <w:color w:val="auto"/>
        </w:rPr>
      </w:pPr>
    </w:p>
    <w:p>
      <w:pPr>
        <w:jc w:val="both"/>
        <w:ind w:firstLine="239"/>
        <w:spacing w:after="0" w:line="251" w:lineRule="auto"/>
        <w:rPr>
          <w:sz w:val="20"/>
          <w:szCs w:val="20"/>
          <w:color w:val="auto"/>
        </w:rPr>
      </w:pPr>
      <w:r>
        <w:rPr>
          <w:rFonts w:ascii="Times New Roman" w:cs="Times New Roman" w:eastAsia="Times New Roman" w:hAnsi="Times New Roman"/>
          <w:sz w:val="21"/>
          <w:szCs w:val="21"/>
          <w:color w:val="auto"/>
        </w:rPr>
        <w:t>We do not believe that the low numbers reflect lack of interest in the program; more likely, they result from early marketing decisions. The Pro-gram budget did not allow for extensive marketing. In addition, given that this was the first program of its kind, Bank staff had no way to gauge the potential response. Believing that giving away free computers could be a huge draw, bank staff understandably wanted to avoid a situation in which the Bank was flooded with applicants who would ultimately be turned away. The Bank therefore conducted outreach only through its branches. However, branch staff were not fully briefed on the program and had no real incentive to tell customers about it. Most of the participants we spoke with heard about the program from friends or family members. In addition, the window of time during which people could apply for the program was rel-atively small—six months. Finally, the fact that the Bank restricted the pro-gram to current customers also shrunk the potential participant pool. The Bank opened the applicant pool to those without a Bank account in site 5 and quickly had more applicants than it could take.</w:t>
      </w:r>
      <w:r>
        <w:rPr>
          <w:rFonts w:ascii="Times New Roman" w:cs="Times New Roman" w:eastAsia="Times New Roman" w:hAnsi="Times New Roman"/>
          <w:sz w:val="28"/>
          <w:szCs w:val="28"/>
          <w:color w:val="auto"/>
          <w:vertAlign w:val="superscript"/>
        </w:rPr>
        <w:t>8</w:t>
      </w:r>
    </w:p>
    <w:p>
      <w:pPr>
        <w:spacing w:after="0" w:line="239" w:lineRule="exact"/>
        <w:rPr>
          <w:sz w:val="20"/>
          <w:szCs w:val="20"/>
          <w:color w:val="auto"/>
        </w:rPr>
      </w:pPr>
    </w:p>
    <w:p>
      <w:pPr>
        <w:spacing w:after="0"/>
        <w:rPr>
          <w:sz w:val="20"/>
          <w:szCs w:val="20"/>
          <w:color w:val="auto"/>
        </w:rPr>
      </w:pPr>
      <w:r>
        <w:rPr>
          <w:rFonts w:ascii="Arial" w:cs="Arial" w:eastAsia="Arial" w:hAnsi="Arial"/>
          <w:sz w:val="22"/>
          <w:szCs w:val="22"/>
          <w:color w:val="auto"/>
        </w:rPr>
        <w:t>Sample Descriptive Statistics</w:t>
      </w:r>
    </w:p>
    <w:p>
      <w:pPr>
        <w:spacing w:after="0" w:line="305" w:lineRule="exact"/>
        <w:rPr>
          <w:sz w:val="20"/>
          <w:szCs w:val="20"/>
          <w:color w:val="auto"/>
        </w:rPr>
      </w:pPr>
    </w:p>
    <w:p>
      <w:pPr>
        <w:jc w:val="both"/>
        <w:ind w:firstLine="239"/>
        <w:spacing w:after="0" w:line="252" w:lineRule="auto"/>
        <w:rPr>
          <w:sz w:val="20"/>
          <w:szCs w:val="20"/>
          <w:color w:val="auto"/>
        </w:rPr>
      </w:pPr>
      <w:r>
        <w:rPr>
          <w:rFonts w:ascii="Times New Roman" w:cs="Times New Roman" w:eastAsia="Times New Roman" w:hAnsi="Times New Roman"/>
          <w:sz w:val="21"/>
          <w:szCs w:val="21"/>
          <w:color w:val="auto"/>
        </w:rPr>
        <w:t>Table 2 presents sample means of baseline survey responses. The table is divided by experimental group status (treatment versus control), by neighborhood (site 3 and site 4), and by experimental status within neigh-borhood. We begin with a description of the complete sample. Survey par-ticipants are mostly female (80%), unmarried (80%), and African American (70%). Single parents make up approximately half the sample and approx-imately half the sample has 12 or fewer years of education. The labor mar-ket attachment and earnings of the sample are consistent with the research</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4445</wp:posOffset>
            </wp:positionH>
            <wp:positionV relativeFrom="paragraph">
              <wp:posOffset>213360</wp:posOffset>
            </wp:positionV>
            <wp:extent cx="1518285" cy="4763"/>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extLst>
                    </a:blip>
                    <a:srcRect/>
                    <a:stretch>
                      <a:fillRect/>
                    </a:stretch>
                  </pic:blipFill>
                  <pic:spPr bwMode="auto">
                    <a:xfrm>
                      <a:off x="0" y="0"/>
                      <a:ext cx="1518285" cy="4763"/>
                    </a:xfrm>
                    <a:prstGeom prst="rect">
                      <a:avLst/>
                    </a:prstGeom>
                    <a:noFill/>
                  </pic:spPr>
                </pic:pic>
              </a:graphicData>
            </a:graphic>
          </wp:anchor>
        </w:drawing>
      </w:r>
    </w:p>
    <w:p>
      <w:pPr>
        <w:sectPr>
          <w:pgSz w:w="8640" w:h="13320" w:orient="portrait"/>
          <w:cols w:equalWidth="0" w:num="1">
            <w:col w:w="6460"/>
          </w:cols>
          <w:pgMar w:left="1240" w:top="771" w:right="940" w:bottom="692" w:gutter="0" w:footer="0" w:header="0"/>
        </w:sectPr>
      </w:pPr>
    </w:p>
    <w:p>
      <w:pPr>
        <w:spacing w:after="0" w:line="200" w:lineRule="exact"/>
        <w:rPr>
          <w:sz w:val="20"/>
          <w:szCs w:val="20"/>
          <w:color w:val="auto"/>
        </w:rPr>
      </w:pPr>
    </w:p>
    <w:p>
      <w:pPr>
        <w:spacing w:after="0" w:line="269" w:lineRule="exact"/>
        <w:rPr>
          <w:sz w:val="20"/>
          <w:szCs w:val="20"/>
          <w:color w:val="auto"/>
        </w:rPr>
      </w:pPr>
    </w:p>
    <w:p>
      <w:pPr>
        <w:ind w:firstLine="186"/>
        <w:spacing w:after="0" w:line="227" w:lineRule="auto"/>
        <w:tabs>
          <w:tab w:leader="none" w:pos="378" w:val="left"/>
        </w:tabs>
        <w:numPr>
          <w:ilvl w:val="0"/>
          <w:numId w:val="8"/>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The Bank originally hoped to enroll a total of three thousand participants in the Program. The actual number of participants enrolled was much lower.</w:t>
      </w:r>
    </w:p>
    <w:p>
      <w:pPr>
        <w:spacing w:after="0" w:line="15" w:lineRule="exact"/>
        <w:rPr>
          <w:rFonts w:ascii="Times New Roman" w:cs="Times New Roman" w:eastAsia="Times New Roman" w:hAnsi="Times New Roman"/>
          <w:sz w:val="16"/>
          <w:szCs w:val="16"/>
          <w:color w:val="auto"/>
        </w:rPr>
      </w:pPr>
    </w:p>
    <w:p>
      <w:pPr>
        <w:ind w:left="380" w:hanging="194"/>
        <w:spacing w:after="0"/>
        <w:tabs>
          <w:tab w:leader="none" w:pos="380" w:val="left"/>
        </w:tabs>
        <w:numPr>
          <w:ilvl w:val="0"/>
          <w:numId w:val="8"/>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They decided to do this because it was a brand-new branch with no existing customers.</w:t>
      </w:r>
    </w:p>
    <w:p>
      <w:pPr>
        <w:sectPr>
          <w:pgSz w:w="8640" w:h="13320" w:orient="portrait"/>
          <w:cols w:equalWidth="0" w:num="1">
            <w:col w:w="6460"/>
          </w:cols>
          <w:pgMar w:left="1240" w:top="771" w:right="940" w:bottom="692" w:gutter="0" w:footer="0" w:header="0"/>
          <w:type w:val="continuous"/>
        </w:sectPr>
      </w:pPr>
    </w:p>
    <w:bookmarkStart w:id="15" w:name="page16"/>
    <w:bookmarkEnd w:id="15"/>
    <w:tbl>
      <w:tblPr>
        <w:tblLayout w:type="fixed"/>
        <w:tblInd w:w="0" w:type="dxa"/>
        <w:tblCellMar>
          <w:top w:w="0" w:type="dxa"/>
          <w:left w:w="0" w:type="dxa"/>
          <w:bottom w:w="0" w:type="dxa"/>
          <w:right w:w="0" w:type="dxa"/>
        </w:tblCellMar>
      </w:tblPr>
      <w:tr>
        <w:trPr>
          <w:trHeight w:val="230"/>
        </w:trPr>
        <w:tc>
          <w:tcPr>
            <w:tcW w:w="1680" w:type="dxa"/>
            <w:vAlign w:val="bottom"/>
          </w:tcPr>
          <w:p>
            <w:pPr>
              <w:spacing w:after="0"/>
              <w:rPr>
                <w:sz w:val="20"/>
                <w:szCs w:val="20"/>
                <w:color w:val="auto"/>
              </w:rPr>
            </w:pPr>
            <w:r>
              <w:rPr>
                <w:rFonts w:ascii="Times New Roman" w:cs="Times New Roman" w:eastAsia="Times New Roman" w:hAnsi="Times New Roman"/>
                <w:sz w:val="20"/>
                <w:szCs w:val="20"/>
                <w:color w:val="auto"/>
              </w:rPr>
              <w:t>286</w:t>
            </w:r>
          </w:p>
        </w:tc>
        <w:tc>
          <w:tcPr>
            <w:tcW w:w="320" w:type="dxa"/>
            <w:vAlign w:val="bottom"/>
          </w:tcPr>
          <w:p>
            <w:pPr>
              <w:spacing w:after="0"/>
              <w:rPr>
                <w:sz w:val="19"/>
                <w:szCs w:val="19"/>
                <w:color w:val="auto"/>
              </w:rPr>
            </w:pPr>
          </w:p>
        </w:tc>
        <w:tc>
          <w:tcPr>
            <w:tcW w:w="1260" w:type="dxa"/>
            <w:vAlign w:val="bottom"/>
          </w:tcPr>
          <w:p>
            <w:pPr>
              <w:spacing w:after="0"/>
              <w:rPr>
                <w:sz w:val="19"/>
                <w:szCs w:val="19"/>
                <w:color w:val="auto"/>
              </w:rPr>
            </w:pPr>
          </w:p>
        </w:tc>
        <w:tc>
          <w:tcPr>
            <w:tcW w:w="3200" w:type="dxa"/>
            <w:vAlign w:val="bottom"/>
            <w:gridSpan w:val="5"/>
          </w:tcPr>
          <w:p>
            <w:pPr>
              <w:jc w:val="right"/>
              <w:spacing w:after="0"/>
              <w:rPr>
                <w:sz w:val="20"/>
                <w:szCs w:val="20"/>
                <w:color w:val="auto"/>
              </w:rPr>
            </w:pPr>
            <w:r>
              <w:rPr>
                <w:rFonts w:ascii="Times New Roman" w:cs="Times New Roman" w:eastAsia="Times New Roman" w:hAnsi="Times New Roman"/>
                <w:sz w:val="16"/>
                <w:szCs w:val="16"/>
                <w:color w:val="auto"/>
              </w:rPr>
              <w:t>THE JOURNAL OF CONSUMER AFFAIRS</w:t>
            </w:r>
          </w:p>
        </w:tc>
      </w:tr>
      <w:tr>
        <w:trPr>
          <w:trHeight w:val="679"/>
        </w:trPr>
        <w:tc>
          <w:tcPr>
            <w:tcW w:w="1680" w:type="dxa"/>
            <w:vAlign w:val="bottom"/>
          </w:tcPr>
          <w:p>
            <w:pPr>
              <w:spacing w:after="0"/>
              <w:rPr>
                <w:sz w:val="20"/>
                <w:szCs w:val="20"/>
                <w:color w:val="auto"/>
              </w:rPr>
            </w:pPr>
            <w:r>
              <w:rPr>
                <w:rFonts w:ascii="Times New Roman" w:cs="Times New Roman" w:eastAsia="Times New Roman" w:hAnsi="Times New Roman"/>
                <w:sz w:val="18"/>
                <w:szCs w:val="18"/>
                <w:color w:val="auto"/>
              </w:rPr>
              <w:t>TABLE 1</w:t>
            </w:r>
          </w:p>
        </w:tc>
        <w:tc>
          <w:tcPr>
            <w:tcW w:w="320" w:type="dxa"/>
            <w:vAlign w:val="bottom"/>
          </w:tcPr>
          <w:p>
            <w:pPr>
              <w:spacing w:after="0"/>
              <w:rPr>
                <w:sz w:val="24"/>
                <w:szCs w:val="24"/>
                <w:color w:val="auto"/>
              </w:rPr>
            </w:pPr>
          </w:p>
        </w:tc>
        <w:tc>
          <w:tcPr>
            <w:tcW w:w="1260" w:type="dxa"/>
            <w:vAlign w:val="bottom"/>
          </w:tcPr>
          <w:p>
            <w:pPr>
              <w:spacing w:after="0"/>
              <w:rPr>
                <w:sz w:val="24"/>
                <w:szCs w:val="24"/>
                <w:color w:val="auto"/>
              </w:rPr>
            </w:pPr>
          </w:p>
        </w:tc>
        <w:tc>
          <w:tcPr>
            <w:tcW w:w="660" w:type="dxa"/>
            <w:vAlign w:val="bottom"/>
          </w:tcPr>
          <w:p>
            <w:pPr>
              <w:spacing w:after="0"/>
              <w:rPr>
                <w:sz w:val="24"/>
                <w:szCs w:val="24"/>
                <w:color w:val="auto"/>
              </w:rPr>
            </w:pPr>
          </w:p>
        </w:tc>
        <w:tc>
          <w:tcPr>
            <w:tcW w:w="300" w:type="dxa"/>
            <w:vAlign w:val="bottom"/>
          </w:tcPr>
          <w:p>
            <w:pPr>
              <w:spacing w:after="0"/>
              <w:rPr>
                <w:sz w:val="24"/>
                <w:szCs w:val="24"/>
                <w:color w:val="auto"/>
              </w:rPr>
            </w:pPr>
          </w:p>
        </w:tc>
        <w:tc>
          <w:tcPr>
            <w:tcW w:w="320" w:type="dxa"/>
            <w:vAlign w:val="bottom"/>
          </w:tcPr>
          <w:p>
            <w:pPr>
              <w:spacing w:after="0"/>
              <w:rPr>
                <w:sz w:val="24"/>
                <w:szCs w:val="24"/>
                <w:color w:val="auto"/>
              </w:rPr>
            </w:pPr>
          </w:p>
        </w:tc>
        <w:tc>
          <w:tcPr>
            <w:tcW w:w="760" w:type="dxa"/>
            <w:vAlign w:val="bottom"/>
          </w:tcPr>
          <w:p>
            <w:pPr>
              <w:spacing w:after="0"/>
              <w:rPr>
                <w:sz w:val="24"/>
                <w:szCs w:val="24"/>
                <w:color w:val="auto"/>
              </w:rPr>
            </w:pPr>
          </w:p>
        </w:tc>
        <w:tc>
          <w:tcPr>
            <w:tcW w:w="1160" w:type="dxa"/>
            <w:vAlign w:val="bottom"/>
          </w:tcPr>
          <w:p>
            <w:pPr>
              <w:spacing w:after="0"/>
              <w:rPr>
                <w:sz w:val="24"/>
                <w:szCs w:val="24"/>
                <w:color w:val="auto"/>
              </w:rPr>
            </w:pPr>
          </w:p>
        </w:tc>
      </w:tr>
      <w:tr>
        <w:trPr>
          <w:trHeight w:val="225"/>
        </w:trPr>
        <w:tc>
          <w:tcPr>
            <w:tcW w:w="3260" w:type="dxa"/>
            <w:vAlign w:val="bottom"/>
            <w:gridSpan w:val="3"/>
          </w:tcPr>
          <w:p>
            <w:pPr>
              <w:spacing w:after="0"/>
              <w:rPr>
                <w:sz w:val="20"/>
                <w:szCs w:val="20"/>
                <w:color w:val="auto"/>
              </w:rPr>
            </w:pPr>
            <w:r>
              <w:rPr>
                <w:rFonts w:ascii="Arial" w:cs="Arial" w:eastAsia="Arial" w:hAnsi="Arial"/>
                <w:sz w:val="18"/>
                <w:szCs w:val="18"/>
                <w:color w:val="auto"/>
              </w:rPr>
              <w:t>Interviews Attempted and Completed</w:t>
            </w:r>
          </w:p>
        </w:tc>
        <w:tc>
          <w:tcPr>
            <w:tcW w:w="660" w:type="dxa"/>
            <w:vAlign w:val="bottom"/>
          </w:tcPr>
          <w:p>
            <w:pPr>
              <w:spacing w:after="0"/>
              <w:rPr>
                <w:sz w:val="19"/>
                <w:szCs w:val="19"/>
                <w:color w:val="auto"/>
              </w:rPr>
            </w:pPr>
          </w:p>
        </w:tc>
        <w:tc>
          <w:tcPr>
            <w:tcW w:w="300" w:type="dxa"/>
            <w:vAlign w:val="bottom"/>
          </w:tcPr>
          <w:p>
            <w:pPr>
              <w:spacing w:after="0"/>
              <w:rPr>
                <w:sz w:val="19"/>
                <w:szCs w:val="19"/>
                <w:color w:val="auto"/>
              </w:rPr>
            </w:pPr>
          </w:p>
        </w:tc>
        <w:tc>
          <w:tcPr>
            <w:tcW w:w="320" w:type="dxa"/>
            <w:vAlign w:val="bottom"/>
          </w:tcPr>
          <w:p>
            <w:pPr>
              <w:spacing w:after="0"/>
              <w:rPr>
                <w:sz w:val="19"/>
                <w:szCs w:val="19"/>
                <w:color w:val="auto"/>
              </w:rPr>
            </w:pPr>
          </w:p>
        </w:tc>
        <w:tc>
          <w:tcPr>
            <w:tcW w:w="760" w:type="dxa"/>
            <w:vAlign w:val="bottom"/>
          </w:tcPr>
          <w:p>
            <w:pPr>
              <w:spacing w:after="0"/>
              <w:rPr>
                <w:sz w:val="19"/>
                <w:szCs w:val="19"/>
                <w:color w:val="auto"/>
              </w:rPr>
            </w:pPr>
          </w:p>
        </w:tc>
        <w:tc>
          <w:tcPr>
            <w:tcW w:w="1160" w:type="dxa"/>
            <w:vAlign w:val="bottom"/>
          </w:tcPr>
          <w:p>
            <w:pPr>
              <w:spacing w:after="0"/>
              <w:rPr>
                <w:sz w:val="19"/>
                <w:szCs w:val="19"/>
                <w:color w:val="auto"/>
              </w:rPr>
            </w:pPr>
          </w:p>
        </w:tc>
      </w:tr>
      <w:tr>
        <w:trPr>
          <w:trHeight w:val="74"/>
        </w:trPr>
        <w:tc>
          <w:tcPr>
            <w:tcW w:w="1680" w:type="dxa"/>
            <w:vAlign w:val="bottom"/>
            <w:tcBorders>
              <w:bottom w:val="single" w:sz="8" w:color="auto"/>
            </w:tcBorders>
          </w:tcPr>
          <w:p>
            <w:pPr>
              <w:spacing w:after="0"/>
              <w:rPr>
                <w:sz w:val="6"/>
                <w:szCs w:val="6"/>
                <w:color w:val="auto"/>
              </w:rPr>
            </w:pPr>
          </w:p>
        </w:tc>
        <w:tc>
          <w:tcPr>
            <w:tcW w:w="320" w:type="dxa"/>
            <w:vAlign w:val="bottom"/>
            <w:tcBorders>
              <w:bottom w:val="single" w:sz="8" w:color="auto"/>
            </w:tcBorders>
          </w:tcPr>
          <w:p>
            <w:pPr>
              <w:spacing w:after="0"/>
              <w:rPr>
                <w:sz w:val="6"/>
                <w:szCs w:val="6"/>
                <w:color w:val="auto"/>
              </w:rPr>
            </w:pPr>
          </w:p>
        </w:tc>
        <w:tc>
          <w:tcPr>
            <w:tcW w:w="1260" w:type="dxa"/>
            <w:vAlign w:val="bottom"/>
            <w:tcBorders>
              <w:bottom w:val="single" w:sz="8" w:color="auto"/>
            </w:tcBorders>
          </w:tcPr>
          <w:p>
            <w:pPr>
              <w:spacing w:after="0"/>
              <w:rPr>
                <w:sz w:val="6"/>
                <w:szCs w:val="6"/>
                <w:color w:val="auto"/>
              </w:rPr>
            </w:pPr>
          </w:p>
        </w:tc>
        <w:tc>
          <w:tcPr>
            <w:tcW w:w="660" w:type="dxa"/>
            <w:vAlign w:val="bottom"/>
            <w:tcBorders>
              <w:bottom w:val="single" w:sz="8" w:color="auto"/>
            </w:tcBorders>
          </w:tcPr>
          <w:p>
            <w:pPr>
              <w:spacing w:after="0"/>
              <w:rPr>
                <w:sz w:val="6"/>
                <w:szCs w:val="6"/>
                <w:color w:val="auto"/>
              </w:rPr>
            </w:pPr>
          </w:p>
        </w:tc>
        <w:tc>
          <w:tcPr>
            <w:tcW w:w="300" w:type="dxa"/>
            <w:vAlign w:val="bottom"/>
            <w:tcBorders>
              <w:bottom w:val="single" w:sz="8" w:color="auto"/>
            </w:tcBorders>
          </w:tcPr>
          <w:p>
            <w:pPr>
              <w:spacing w:after="0"/>
              <w:rPr>
                <w:sz w:val="6"/>
                <w:szCs w:val="6"/>
                <w:color w:val="auto"/>
              </w:rPr>
            </w:pPr>
          </w:p>
        </w:tc>
        <w:tc>
          <w:tcPr>
            <w:tcW w:w="320" w:type="dxa"/>
            <w:vAlign w:val="bottom"/>
            <w:tcBorders>
              <w:bottom w:val="single" w:sz="8" w:color="auto"/>
            </w:tcBorders>
          </w:tcPr>
          <w:p>
            <w:pPr>
              <w:spacing w:after="0"/>
              <w:rPr>
                <w:sz w:val="6"/>
                <w:szCs w:val="6"/>
                <w:color w:val="auto"/>
              </w:rPr>
            </w:pPr>
          </w:p>
        </w:tc>
        <w:tc>
          <w:tcPr>
            <w:tcW w:w="760" w:type="dxa"/>
            <w:vAlign w:val="bottom"/>
            <w:tcBorders>
              <w:bottom w:val="single" w:sz="8" w:color="auto"/>
            </w:tcBorders>
          </w:tcPr>
          <w:p>
            <w:pPr>
              <w:spacing w:after="0"/>
              <w:rPr>
                <w:sz w:val="6"/>
                <w:szCs w:val="6"/>
                <w:color w:val="auto"/>
              </w:rPr>
            </w:pPr>
          </w:p>
        </w:tc>
        <w:tc>
          <w:tcPr>
            <w:tcW w:w="1160" w:type="dxa"/>
            <w:vAlign w:val="bottom"/>
            <w:tcBorders>
              <w:bottom w:val="single" w:sz="8" w:color="auto"/>
            </w:tcBorders>
          </w:tcPr>
          <w:p>
            <w:pPr>
              <w:spacing w:after="0"/>
              <w:rPr>
                <w:sz w:val="6"/>
                <w:szCs w:val="6"/>
                <w:color w:val="auto"/>
              </w:rPr>
            </w:pPr>
          </w:p>
        </w:tc>
      </w:tr>
      <w:tr>
        <w:trPr>
          <w:trHeight w:val="202"/>
        </w:trPr>
        <w:tc>
          <w:tcPr>
            <w:tcW w:w="1680" w:type="dxa"/>
            <w:vAlign w:val="bottom"/>
          </w:tcPr>
          <w:p>
            <w:pPr>
              <w:spacing w:after="0"/>
              <w:rPr>
                <w:sz w:val="17"/>
                <w:szCs w:val="17"/>
                <w:color w:val="auto"/>
              </w:rPr>
            </w:pPr>
          </w:p>
        </w:tc>
        <w:tc>
          <w:tcPr>
            <w:tcW w:w="320" w:type="dxa"/>
            <w:vAlign w:val="bottom"/>
          </w:tcPr>
          <w:p>
            <w:pPr>
              <w:spacing w:after="0"/>
              <w:rPr>
                <w:sz w:val="17"/>
                <w:szCs w:val="17"/>
                <w:color w:val="auto"/>
              </w:rPr>
            </w:pPr>
          </w:p>
        </w:tc>
        <w:tc>
          <w:tcPr>
            <w:tcW w:w="1260" w:type="dxa"/>
            <w:vAlign w:val="bottom"/>
          </w:tcPr>
          <w:p>
            <w:pPr>
              <w:jc w:val="right"/>
              <w:ind w:right="40"/>
              <w:spacing w:after="0"/>
              <w:rPr>
                <w:sz w:val="20"/>
                <w:szCs w:val="20"/>
                <w:color w:val="auto"/>
              </w:rPr>
            </w:pPr>
            <w:r>
              <w:rPr>
                <w:rFonts w:ascii="Times New Roman" w:cs="Times New Roman" w:eastAsia="Times New Roman" w:hAnsi="Times New Roman"/>
                <w:sz w:val="16"/>
                <w:szCs w:val="16"/>
                <w:color w:val="auto"/>
              </w:rPr>
              <w:t>Site 3</w:t>
            </w:r>
          </w:p>
        </w:tc>
        <w:tc>
          <w:tcPr>
            <w:tcW w:w="660" w:type="dxa"/>
            <w:vAlign w:val="bottom"/>
          </w:tcPr>
          <w:p>
            <w:pPr>
              <w:spacing w:after="0"/>
              <w:rPr>
                <w:sz w:val="17"/>
                <w:szCs w:val="17"/>
                <w:color w:val="auto"/>
              </w:rPr>
            </w:pPr>
          </w:p>
        </w:tc>
        <w:tc>
          <w:tcPr>
            <w:tcW w:w="300" w:type="dxa"/>
            <w:vAlign w:val="bottom"/>
          </w:tcPr>
          <w:p>
            <w:pPr>
              <w:spacing w:after="0"/>
              <w:rPr>
                <w:sz w:val="17"/>
                <w:szCs w:val="17"/>
                <w:color w:val="auto"/>
              </w:rPr>
            </w:pPr>
          </w:p>
        </w:tc>
        <w:tc>
          <w:tcPr>
            <w:tcW w:w="320" w:type="dxa"/>
            <w:vAlign w:val="bottom"/>
          </w:tcPr>
          <w:p>
            <w:pPr>
              <w:spacing w:after="0"/>
              <w:rPr>
                <w:sz w:val="17"/>
                <w:szCs w:val="17"/>
                <w:color w:val="auto"/>
              </w:rPr>
            </w:pPr>
          </w:p>
        </w:tc>
        <w:tc>
          <w:tcPr>
            <w:tcW w:w="760" w:type="dxa"/>
            <w:vAlign w:val="bottom"/>
          </w:tcPr>
          <w:p>
            <w:pPr>
              <w:spacing w:after="0"/>
              <w:rPr>
                <w:sz w:val="17"/>
                <w:szCs w:val="17"/>
                <w:color w:val="auto"/>
              </w:rPr>
            </w:pPr>
          </w:p>
        </w:tc>
        <w:tc>
          <w:tcPr>
            <w:tcW w:w="1160" w:type="dxa"/>
            <w:vAlign w:val="bottom"/>
          </w:tcPr>
          <w:p>
            <w:pPr>
              <w:spacing w:after="0"/>
              <w:rPr>
                <w:sz w:val="20"/>
                <w:szCs w:val="20"/>
                <w:color w:val="auto"/>
              </w:rPr>
            </w:pPr>
            <w:r>
              <w:rPr>
                <w:rFonts w:ascii="Times New Roman" w:cs="Times New Roman" w:eastAsia="Times New Roman" w:hAnsi="Times New Roman"/>
                <w:sz w:val="16"/>
                <w:szCs w:val="16"/>
                <w:color w:val="auto"/>
              </w:rPr>
              <w:t>Site 4</w:t>
            </w:r>
          </w:p>
        </w:tc>
      </w:tr>
      <w:tr>
        <w:trPr>
          <w:trHeight w:val="43"/>
        </w:trPr>
        <w:tc>
          <w:tcPr>
            <w:tcW w:w="1680" w:type="dxa"/>
            <w:vAlign w:val="bottom"/>
          </w:tcPr>
          <w:p>
            <w:pPr>
              <w:spacing w:after="0"/>
              <w:rPr>
                <w:sz w:val="3"/>
                <w:szCs w:val="3"/>
                <w:color w:val="auto"/>
              </w:rPr>
            </w:pPr>
          </w:p>
        </w:tc>
        <w:tc>
          <w:tcPr>
            <w:tcW w:w="320" w:type="dxa"/>
            <w:vAlign w:val="bottom"/>
          </w:tcPr>
          <w:p>
            <w:pPr>
              <w:spacing w:after="0"/>
              <w:rPr>
                <w:sz w:val="3"/>
                <w:szCs w:val="3"/>
                <w:color w:val="auto"/>
              </w:rPr>
            </w:pPr>
          </w:p>
        </w:tc>
        <w:tc>
          <w:tcPr>
            <w:tcW w:w="1260" w:type="dxa"/>
            <w:vAlign w:val="bottom"/>
            <w:tcBorders>
              <w:bottom w:val="single" w:sz="8" w:color="auto"/>
            </w:tcBorders>
          </w:tcPr>
          <w:p>
            <w:pPr>
              <w:spacing w:after="0"/>
              <w:rPr>
                <w:sz w:val="3"/>
                <w:szCs w:val="3"/>
                <w:color w:val="auto"/>
              </w:rPr>
            </w:pPr>
          </w:p>
        </w:tc>
        <w:tc>
          <w:tcPr>
            <w:tcW w:w="660" w:type="dxa"/>
            <w:vAlign w:val="bottom"/>
            <w:tcBorders>
              <w:bottom w:val="single" w:sz="8" w:color="auto"/>
            </w:tcBorders>
          </w:tcPr>
          <w:p>
            <w:pPr>
              <w:spacing w:after="0"/>
              <w:rPr>
                <w:sz w:val="3"/>
                <w:szCs w:val="3"/>
                <w:color w:val="auto"/>
              </w:rPr>
            </w:pPr>
          </w:p>
        </w:tc>
        <w:tc>
          <w:tcPr>
            <w:tcW w:w="300" w:type="dxa"/>
            <w:vAlign w:val="bottom"/>
          </w:tcPr>
          <w:p>
            <w:pPr>
              <w:spacing w:after="0"/>
              <w:rPr>
                <w:sz w:val="3"/>
                <w:szCs w:val="3"/>
                <w:color w:val="auto"/>
              </w:rPr>
            </w:pPr>
          </w:p>
        </w:tc>
        <w:tc>
          <w:tcPr>
            <w:tcW w:w="320" w:type="dxa"/>
            <w:vAlign w:val="bottom"/>
          </w:tcPr>
          <w:p>
            <w:pPr>
              <w:spacing w:after="0"/>
              <w:rPr>
                <w:sz w:val="3"/>
                <w:szCs w:val="3"/>
                <w:color w:val="auto"/>
              </w:rPr>
            </w:pPr>
          </w:p>
        </w:tc>
        <w:tc>
          <w:tcPr>
            <w:tcW w:w="760" w:type="dxa"/>
            <w:vAlign w:val="bottom"/>
            <w:tcBorders>
              <w:bottom w:val="single" w:sz="8" w:color="auto"/>
            </w:tcBorders>
          </w:tcPr>
          <w:p>
            <w:pPr>
              <w:spacing w:after="0"/>
              <w:rPr>
                <w:sz w:val="3"/>
                <w:szCs w:val="3"/>
                <w:color w:val="auto"/>
              </w:rPr>
            </w:pPr>
          </w:p>
        </w:tc>
        <w:tc>
          <w:tcPr>
            <w:tcW w:w="1160" w:type="dxa"/>
            <w:vAlign w:val="bottom"/>
            <w:tcBorders>
              <w:bottom w:val="single" w:sz="8" w:color="auto"/>
            </w:tcBorders>
          </w:tcPr>
          <w:p>
            <w:pPr>
              <w:spacing w:after="0"/>
              <w:rPr>
                <w:sz w:val="3"/>
                <w:szCs w:val="3"/>
                <w:color w:val="auto"/>
              </w:rPr>
            </w:pPr>
          </w:p>
        </w:tc>
      </w:tr>
      <w:tr>
        <w:trPr>
          <w:trHeight w:val="209"/>
        </w:trPr>
        <w:tc>
          <w:tcPr>
            <w:tcW w:w="1680" w:type="dxa"/>
            <w:vAlign w:val="bottom"/>
          </w:tcPr>
          <w:p>
            <w:pPr>
              <w:spacing w:after="0"/>
              <w:rPr>
                <w:sz w:val="18"/>
                <w:szCs w:val="18"/>
                <w:color w:val="auto"/>
              </w:rPr>
            </w:pPr>
          </w:p>
        </w:tc>
        <w:tc>
          <w:tcPr>
            <w:tcW w:w="1580" w:type="dxa"/>
            <w:vAlign w:val="bottom"/>
            <w:gridSpan w:val="2"/>
          </w:tcPr>
          <w:p>
            <w:pPr>
              <w:jc w:val="right"/>
              <w:ind w:right="440"/>
              <w:spacing w:after="0"/>
              <w:rPr>
                <w:sz w:val="20"/>
                <w:szCs w:val="20"/>
                <w:color w:val="auto"/>
              </w:rPr>
            </w:pPr>
            <w:r>
              <w:rPr>
                <w:rFonts w:ascii="Times New Roman" w:cs="Times New Roman" w:eastAsia="Times New Roman" w:hAnsi="Times New Roman"/>
                <w:sz w:val="16"/>
                <w:szCs w:val="16"/>
                <w:color w:val="auto"/>
              </w:rPr>
              <w:t>Participants</w:t>
            </w:r>
          </w:p>
        </w:tc>
        <w:tc>
          <w:tcPr>
            <w:tcW w:w="960" w:type="dxa"/>
            <w:vAlign w:val="bottom"/>
            <w:gridSpan w:val="2"/>
          </w:tcPr>
          <w:p>
            <w:pPr>
              <w:ind w:left="100"/>
              <w:spacing w:after="0"/>
              <w:rPr>
                <w:sz w:val="20"/>
                <w:szCs w:val="20"/>
                <w:color w:val="auto"/>
              </w:rPr>
            </w:pPr>
            <w:r>
              <w:rPr>
                <w:rFonts w:ascii="Times New Roman" w:cs="Times New Roman" w:eastAsia="Times New Roman" w:hAnsi="Times New Roman"/>
                <w:sz w:val="16"/>
                <w:szCs w:val="16"/>
                <w:color w:val="auto"/>
              </w:rPr>
              <w:t>Controls</w:t>
            </w:r>
          </w:p>
        </w:tc>
        <w:tc>
          <w:tcPr>
            <w:tcW w:w="1080" w:type="dxa"/>
            <w:vAlign w:val="bottom"/>
            <w:gridSpan w:val="2"/>
          </w:tcPr>
          <w:p>
            <w:pPr>
              <w:ind w:left="320"/>
              <w:spacing w:after="0"/>
              <w:rPr>
                <w:sz w:val="20"/>
                <w:szCs w:val="20"/>
                <w:color w:val="auto"/>
              </w:rPr>
            </w:pPr>
            <w:r>
              <w:rPr>
                <w:rFonts w:ascii="Times New Roman" w:cs="Times New Roman" w:eastAsia="Times New Roman" w:hAnsi="Times New Roman"/>
                <w:sz w:val="16"/>
                <w:szCs w:val="16"/>
                <w:color w:val="auto"/>
                <w:w w:val="97"/>
              </w:rPr>
              <w:t>Participants</w:t>
            </w:r>
          </w:p>
        </w:tc>
        <w:tc>
          <w:tcPr>
            <w:tcW w:w="1160" w:type="dxa"/>
            <w:vAlign w:val="bottom"/>
          </w:tcPr>
          <w:p>
            <w:pPr>
              <w:jc w:val="right"/>
              <w:spacing w:after="0"/>
              <w:rPr>
                <w:sz w:val="20"/>
                <w:szCs w:val="20"/>
                <w:color w:val="auto"/>
              </w:rPr>
            </w:pPr>
            <w:r>
              <w:rPr>
                <w:rFonts w:ascii="Times New Roman" w:cs="Times New Roman" w:eastAsia="Times New Roman" w:hAnsi="Times New Roman"/>
                <w:sz w:val="16"/>
                <w:szCs w:val="16"/>
                <w:color w:val="auto"/>
              </w:rPr>
              <w:t>Controls</w:t>
            </w:r>
          </w:p>
        </w:tc>
      </w:tr>
      <w:tr>
        <w:trPr>
          <w:trHeight w:val="50"/>
        </w:trPr>
        <w:tc>
          <w:tcPr>
            <w:tcW w:w="1680" w:type="dxa"/>
            <w:vAlign w:val="bottom"/>
            <w:tcBorders>
              <w:bottom w:val="single" w:sz="8" w:color="auto"/>
            </w:tcBorders>
          </w:tcPr>
          <w:p>
            <w:pPr>
              <w:spacing w:after="0"/>
              <w:rPr>
                <w:sz w:val="4"/>
                <w:szCs w:val="4"/>
                <w:color w:val="auto"/>
              </w:rPr>
            </w:pPr>
          </w:p>
        </w:tc>
        <w:tc>
          <w:tcPr>
            <w:tcW w:w="1580" w:type="dxa"/>
            <w:vAlign w:val="bottom"/>
            <w:tcBorders>
              <w:bottom w:val="single" w:sz="8" w:color="auto"/>
            </w:tcBorders>
            <w:gridSpan w:val="2"/>
          </w:tcPr>
          <w:p>
            <w:pPr>
              <w:spacing w:after="0"/>
              <w:rPr>
                <w:sz w:val="4"/>
                <w:szCs w:val="4"/>
                <w:color w:val="auto"/>
              </w:rPr>
            </w:pPr>
          </w:p>
        </w:tc>
        <w:tc>
          <w:tcPr>
            <w:tcW w:w="660" w:type="dxa"/>
            <w:vAlign w:val="bottom"/>
            <w:tcBorders>
              <w:bottom w:val="single" w:sz="8" w:color="auto"/>
            </w:tcBorders>
          </w:tcPr>
          <w:p>
            <w:pPr>
              <w:spacing w:after="0"/>
              <w:rPr>
                <w:sz w:val="4"/>
                <w:szCs w:val="4"/>
                <w:color w:val="auto"/>
              </w:rPr>
            </w:pPr>
          </w:p>
        </w:tc>
        <w:tc>
          <w:tcPr>
            <w:tcW w:w="300" w:type="dxa"/>
            <w:vAlign w:val="bottom"/>
            <w:tcBorders>
              <w:bottom w:val="single" w:sz="8" w:color="auto"/>
            </w:tcBorders>
          </w:tcPr>
          <w:p>
            <w:pPr>
              <w:spacing w:after="0"/>
              <w:rPr>
                <w:sz w:val="4"/>
                <w:szCs w:val="4"/>
                <w:color w:val="auto"/>
              </w:rPr>
            </w:pPr>
          </w:p>
        </w:tc>
        <w:tc>
          <w:tcPr>
            <w:tcW w:w="1080" w:type="dxa"/>
            <w:vAlign w:val="bottom"/>
            <w:tcBorders>
              <w:bottom w:val="single" w:sz="8" w:color="auto"/>
            </w:tcBorders>
            <w:gridSpan w:val="2"/>
          </w:tcPr>
          <w:p>
            <w:pPr>
              <w:spacing w:after="0"/>
              <w:rPr>
                <w:sz w:val="4"/>
                <w:szCs w:val="4"/>
                <w:color w:val="auto"/>
              </w:rPr>
            </w:pPr>
          </w:p>
        </w:tc>
        <w:tc>
          <w:tcPr>
            <w:tcW w:w="1160" w:type="dxa"/>
            <w:vAlign w:val="bottom"/>
            <w:tcBorders>
              <w:bottom w:val="single" w:sz="8" w:color="auto"/>
            </w:tcBorders>
          </w:tcPr>
          <w:p>
            <w:pPr>
              <w:spacing w:after="0"/>
              <w:rPr>
                <w:sz w:val="4"/>
                <w:szCs w:val="4"/>
                <w:color w:val="auto"/>
              </w:rPr>
            </w:pPr>
          </w:p>
        </w:tc>
      </w:tr>
      <w:tr>
        <w:trPr>
          <w:trHeight w:val="214"/>
        </w:trPr>
        <w:tc>
          <w:tcPr>
            <w:tcW w:w="1680" w:type="dxa"/>
            <w:vAlign w:val="bottom"/>
          </w:tcPr>
          <w:p>
            <w:pPr>
              <w:spacing w:after="0"/>
              <w:rPr>
                <w:sz w:val="20"/>
                <w:szCs w:val="20"/>
                <w:color w:val="auto"/>
              </w:rPr>
            </w:pPr>
            <w:r>
              <w:rPr>
                <w:rFonts w:ascii="Times New Roman" w:cs="Times New Roman" w:eastAsia="Times New Roman" w:hAnsi="Times New Roman"/>
                <w:sz w:val="16"/>
                <w:szCs w:val="16"/>
                <w:color w:val="auto"/>
              </w:rPr>
              <w:t>Total called</w:t>
            </w:r>
          </w:p>
        </w:tc>
        <w:tc>
          <w:tcPr>
            <w:tcW w:w="1580" w:type="dxa"/>
            <w:vAlign w:val="bottom"/>
            <w:gridSpan w:val="2"/>
          </w:tcPr>
          <w:p>
            <w:pPr>
              <w:jc w:val="right"/>
              <w:ind w:right="760"/>
              <w:spacing w:after="0"/>
              <w:rPr>
                <w:sz w:val="20"/>
                <w:szCs w:val="20"/>
                <w:color w:val="auto"/>
              </w:rPr>
            </w:pPr>
            <w:r>
              <w:rPr>
                <w:rFonts w:ascii="Times New Roman" w:cs="Times New Roman" w:eastAsia="Times New Roman" w:hAnsi="Times New Roman"/>
                <w:sz w:val="16"/>
                <w:szCs w:val="16"/>
                <w:color w:val="auto"/>
              </w:rPr>
              <w:t>182</w:t>
            </w:r>
          </w:p>
        </w:tc>
        <w:tc>
          <w:tcPr>
            <w:tcW w:w="660" w:type="dxa"/>
            <w:vAlign w:val="bottom"/>
          </w:tcPr>
          <w:p>
            <w:pPr>
              <w:ind w:left="240"/>
              <w:spacing w:after="0"/>
              <w:rPr>
                <w:sz w:val="20"/>
                <w:szCs w:val="20"/>
                <w:color w:val="auto"/>
              </w:rPr>
            </w:pPr>
            <w:r>
              <w:rPr>
                <w:rFonts w:ascii="Times New Roman" w:cs="Times New Roman" w:eastAsia="Times New Roman" w:hAnsi="Times New Roman"/>
                <w:sz w:val="16"/>
                <w:szCs w:val="16"/>
                <w:color w:val="auto"/>
              </w:rPr>
              <w:t>98</w:t>
            </w:r>
          </w:p>
        </w:tc>
        <w:tc>
          <w:tcPr>
            <w:tcW w:w="300" w:type="dxa"/>
            <w:vAlign w:val="bottom"/>
          </w:tcPr>
          <w:p>
            <w:pPr>
              <w:spacing w:after="0"/>
              <w:rPr>
                <w:sz w:val="18"/>
                <w:szCs w:val="18"/>
                <w:color w:val="auto"/>
              </w:rPr>
            </w:pPr>
          </w:p>
        </w:tc>
        <w:tc>
          <w:tcPr>
            <w:tcW w:w="1080" w:type="dxa"/>
            <w:vAlign w:val="bottom"/>
            <w:gridSpan w:val="2"/>
          </w:tcPr>
          <w:p>
            <w:pPr>
              <w:ind w:left="560"/>
              <w:spacing w:after="0"/>
              <w:rPr>
                <w:sz w:val="20"/>
                <w:szCs w:val="20"/>
                <w:color w:val="auto"/>
              </w:rPr>
            </w:pPr>
            <w:r>
              <w:rPr>
                <w:rFonts w:ascii="Times New Roman" w:cs="Times New Roman" w:eastAsia="Times New Roman" w:hAnsi="Times New Roman"/>
                <w:sz w:val="16"/>
                <w:szCs w:val="16"/>
                <w:color w:val="auto"/>
              </w:rPr>
              <w:t>40</w:t>
            </w:r>
          </w:p>
        </w:tc>
        <w:tc>
          <w:tcPr>
            <w:tcW w:w="1160" w:type="dxa"/>
            <w:vAlign w:val="bottom"/>
          </w:tcPr>
          <w:p>
            <w:pPr>
              <w:ind w:left="740"/>
              <w:spacing w:after="0"/>
              <w:rPr>
                <w:sz w:val="20"/>
                <w:szCs w:val="20"/>
                <w:color w:val="auto"/>
              </w:rPr>
            </w:pPr>
            <w:r>
              <w:rPr>
                <w:rFonts w:ascii="Times New Roman" w:cs="Times New Roman" w:eastAsia="Times New Roman" w:hAnsi="Times New Roman"/>
                <w:sz w:val="16"/>
                <w:szCs w:val="16"/>
                <w:color w:val="auto"/>
              </w:rPr>
              <w:t>36</w:t>
            </w:r>
          </w:p>
        </w:tc>
      </w:tr>
      <w:tr>
        <w:trPr>
          <w:trHeight w:val="200"/>
        </w:trPr>
        <w:tc>
          <w:tcPr>
            <w:tcW w:w="1680" w:type="dxa"/>
            <w:vAlign w:val="bottom"/>
          </w:tcPr>
          <w:p>
            <w:pPr>
              <w:spacing w:after="0"/>
              <w:rPr>
                <w:sz w:val="20"/>
                <w:szCs w:val="20"/>
                <w:color w:val="auto"/>
              </w:rPr>
            </w:pPr>
            <w:r>
              <w:rPr>
                <w:rFonts w:ascii="Times New Roman" w:cs="Times New Roman" w:eastAsia="Times New Roman" w:hAnsi="Times New Roman"/>
                <w:sz w:val="16"/>
                <w:szCs w:val="16"/>
                <w:color w:val="auto"/>
              </w:rPr>
              <w:t>Interviews completed</w:t>
            </w:r>
          </w:p>
        </w:tc>
        <w:tc>
          <w:tcPr>
            <w:tcW w:w="1580" w:type="dxa"/>
            <w:vAlign w:val="bottom"/>
            <w:gridSpan w:val="2"/>
          </w:tcPr>
          <w:p>
            <w:pPr>
              <w:jc w:val="right"/>
              <w:ind w:right="760"/>
              <w:spacing w:after="0"/>
              <w:rPr>
                <w:sz w:val="20"/>
                <w:szCs w:val="20"/>
                <w:color w:val="auto"/>
              </w:rPr>
            </w:pPr>
            <w:r>
              <w:rPr>
                <w:rFonts w:ascii="Times New Roman" w:cs="Times New Roman" w:eastAsia="Times New Roman" w:hAnsi="Times New Roman"/>
                <w:sz w:val="16"/>
                <w:szCs w:val="16"/>
                <w:color w:val="auto"/>
              </w:rPr>
              <w:t>134</w:t>
            </w:r>
          </w:p>
        </w:tc>
        <w:tc>
          <w:tcPr>
            <w:tcW w:w="660" w:type="dxa"/>
            <w:vAlign w:val="bottom"/>
          </w:tcPr>
          <w:p>
            <w:pPr>
              <w:ind w:left="240"/>
              <w:spacing w:after="0"/>
              <w:rPr>
                <w:sz w:val="20"/>
                <w:szCs w:val="20"/>
                <w:color w:val="auto"/>
              </w:rPr>
            </w:pPr>
            <w:r>
              <w:rPr>
                <w:rFonts w:ascii="Times New Roman" w:cs="Times New Roman" w:eastAsia="Times New Roman" w:hAnsi="Times New Roman"/>
                <w:sz w:val="16"/>
                <w:szCs w:val="16"/>
                <w:color w:val="auto"/>
              </w:rPr>
              <w:t>62</w:t>
            </w:r>
          </w:p>
        </w:tc>
        <w:tc>
          <w:tcPr>
            <w:tcW w:w="300" w:type="dxa"/>
            <w:vAlign w:val="bottom"/>
          </w:tcPr>
          <w:p>
            <w:pPr>
              <w:spacing w:after="0"/>
              <w:rPr>
                <w:sz w:val="17"/>
                <w:szCs w:val="17"/>
                <w:color w:val="auto"/>
              </w:rPr>
            </w:pPr>
          </w:p>
        </w:tc>
        <w:tc>
          <w:tcPr>
            <w:tcW w:w="1080" w:type="dxa"/>
            <w:vAlign w:val="bottom"/>
            <w:gridSpan w:val="2"/>
          </w:tcPr>
          <w:p>
            <w:pPr>
              <w:ind w:left="560"/>
              <w:spacing w:after="0"/>
              <w:rPr>
                <w:sz w:val="20"/>
                <w:szCs w:val="20"/>
                <w:color w:val="auto"/>
              </w:rPr>
            </w:pPr>
            <w:r>
              <w:rPr>
                <w:rFonts w:ascii="Times New Roman" w:cs="Times New Roman" w:eastAsia="Times New Roman" w:hAnsi="Times New Roman"/>
                <w:sz w:val="16"/>
                <w:szCs w:val="16"/>
                <w:color w:val="auto"/>
              </w:rPr>
              <w:t>25</w:t>
            </w:r>
          </w:p>
        </w:tc>
        <w:tc>
          <w:tcPr>
            <w:tcW w:w="1160" w:type="dxa"/>
            <w:vAlign w:val="bottom"/>
          </w:tcPr>
          <w:p>
            <w:pPr>
              <w:ind w:left="740"/>
              <w:spacing w:after="0"/>
              <w:rPr>
                <w:sz w:val="20"/>
                <w:szCs w:val="20"/>
                <w:color w:val="auto"/>
              </w:rPr>
            </w:pPr>
            <w:r>
              <w:rPr>
                <w:rFonts w:ascii="Times New Roman" w:cs="Times New Roman" w:eastAsia="Times New Roman" w:hAnsi="Times New Roman"/>
                <w:sz w:val="16"/>
                <w:szCs w:val="16"/>
                <w:color w:val="auto"/>
              </w:rPr>
              <w:t>22</w:t>
            </w:r>
          </w:p>
        </w:tc>
      </w:tr>
      <w:tr>
        <w:trPr>
          <w:trHeight w:val="198"/>
        </w:trPr>
        <w:tc>
          <w:tcPr>
            <w:tcW w:w="1680" w:type="dxa"/>
            <w:vAlign w:val="bottom"/>
          </w:tcPr>
          <w:p>
            <w:pPr>
              <w:spacing w:after="0"/>
              <w:rPr>
                <w:sz w:val="20"/>
                <w:szCs w:val="20"/>
                <w:color w:val="auto"/>
              </w:rPr>
            </w:pPr>
            <w:r>
              <w:rPr>
                <w:rFonts w:ascii="Times New Roman" w:cs="Times New Roman" w:eastAsia="Times New Roman" w:hAnsi="Times New Roman"/>
                <w:sz w:val="16"/>
                <w:szCs w:val="16"/>
                <w:color w:val="auto"/>
              </w:rPr>
              <w:t>% of total completed</w:t>
            </w:r>
          </w:p>
        </w:tc>
        <w:tc>
          <w:tcPr>
            <w:tcW w:w="1580" w:type="dxa"/>
            <w:vAlign w:val="bottom"/>
            <w:gridSpan w:val="2"/>
          </w:tcPr>
          <w:p>
            <w:pPr>
              <w:jc w:val="right"/>
              <w:ind w:right="640"/>
              <w:spacing w:after="0"/>
              <w:rPr>
                <w:sz w:val="20"/>
                <w:szCs w:val="20"/>
                <w:color w:val="auto"/>
              </w:rPr>
            </w:pPr>
            <w:r>
              <w:rPr>
                <w:rFonts w:ascii="Times New Roman" w:cs="Times New Roman" w:eastAsia="Times New Roman" w:hAnsi="Times New Roman"/>
                <w:sz w:val="16"/>
                <w:szCs w:val="16"/>
                <w:color w:val="auto"/>
              </w:rPr>
              <w:t>73.6</w:t>
            </w:r>
          </w:p>
        </w:tc>
        <w:tc>
          <w:tcPr>
            <w:tcW w:w="660" w:type="dxa"/>
            <w:vAlign w:val="bottom"/>
          </w:tcPr>
          <w:p>
            <w:pPr>
              <w:ind w:left="240"/>
              <w:spacing w:after="0"/>
              <w:rPr>
                <w:sz w:val="20"/>
                <w:szCs w:val="20"/>
                <w:color w:val="auto"/>
              </w:rPr>
            </w:pPr>
            <w:r>
              <w:rPr>
                <w:rFonts w:ascii="Times New Roman" w:cs="Times New Roman" w:eastAsia="Times New Roman" w:hAnsi="Times New Roman"/>
                <w:sz w:val="16"/>
                <w:szCs w:val="16"/>
                <w:color w:val="auto"/>
              </w:rPr>
              <w:t>63.3</w:t>
            </w:r>
          </w:p>
        </w:tc>
        <w:tc>
          <w:tcPr>
            <w:tcW w:w="300" w:type="dxa"/>
            <w:vAlign w:val="bottom"/>
          </w:tcPr>
          <w:p>
            <w:pPr>
              <w:spacing w:after="0"/>
              <w:rPr>
                <w:sz w:val="17"/>
                <w:szCs w:val="17"/>
                <w:color w:val="auto"/>
              </w:rPr>
            </w:pPr>
          </w:p>
        </w:tc>
        <w:tc>
          <w:tcPr>
            <w:tcW w:w="1080" w:type="dxa"/>
            <w:vAlign w:val="bottom"/>
            <w:gridSpan w:val="2"/>
          </w:tcPr>
          <w:p>
            <w:pPr>
              <w:ind w:left="560"/>
              <w:spacing w:after="0"/>
              <w:rPr>
                <w:sz w:val="20"/>
                <w:szCs w:val="20"/>
                <w:color w:val="auto"/>
              </w:rPr>
            </w:pPr>
            <w:r>
              <w:rPr>
                <w:rFonts w:ascii="Times New Roman" w:cs="Times New Roman" w:eastAsia="Times New Roman" w:hAnsi="Times New Roman"/>
                <w:sz w:val="16"/>
                <w:szCs w:val="16"/>
                <w:color w:val="auto"/>
              </w:rPr>
              <w:t>62.5</w:t>
            </w:r>
          </w:p>
        </w:tc>
        <w:tc>
          <w:tcPr>
            <w:tcW w:w="1160" w:type="dxa"/>
            <w:vAlign w:val="bottom"/>
          </w:tcPr>
          <w:p>
            <w:pPr>
              <w:ind w:left="740"/>
              <w:spacing w:after="0"/>
              <w:rPr>
                <w:sz w:val="20"/>
                <w:szCs w:val="20"/>
                <w:color w:val="auto"/>
              </w:rPr>
            </w:pPr>
            <w:r>
              <w:rPr>
                <w:rFonts w:ascii="Times New Roman" w:cs="Times New Roman" w:eastAsia="Times New Roman" w:hAnsi="Times New Roman"/>
                <w:sz w:val="16"/>
                <w:szCs w:val="16"/>
                <w:color w:val="auto"/>
              </w:rPr>
              <w:t>61.1</w:t>
            </w:r>
          </w:p>
        </w:tc>
      </w:tr>
      <w:tr>
        <w:trPr>
          <w:trHeight w:val="44"/>
        </w:trPr>
        <w:tc>
          <w:tcPr>
            <w:tcW w:w="1680" w:type="dxa"/>
            <w:vAlign w:val="bottom"/>
            <w:tcBorders>
              <w:bottom w:val="single" w:sz="8" w:color="auto"/>
            </w:tcBorders>
          </w:tcPr>
          <w:p>
            <w:pPr>
              <w:spacing w:after="0"/>
              <w:rPr>
                <w:sz w:val="3"/>
                <w:szCs w:val="3"/>
                <w:color w:val="auto"/>
              </w:rPr>
            </w:pPr>
          </w:p>
        </w:tc>
        <w:tc>
          <w:tcPr>
            <w:tcW w:w="320" w:type="dxa"/>
            <w:vAlign w:val="bottom"/>
            <w:tcBorders>
              <w:bottom w:val="single" w:sz="8" w:color="auto"/>
            </w:tcBorders>
          </w:tcPr>
          <w:p>
            <w:pPr>
              <w:spacing w:after="0"/>
              <w:rPr>
                <w:sz w:val="3"/>
                <w:szCs w:val="3"/>
                <w:color w:val="auto"/>
              </w:rPr>
            </w:pPr>
          </w:p>
        </w:tc>
        <w:tc>
          <w:tcPr>
            <w:tcW w:w="1260" w:type="dxa"/>
            <w:vAlign w:val="bottom"/>
            <w:tcBorders>
              <w:bottom w:val="single" w:sz="8" w:color="auto"/>
            </w:tcBorders>
          </w:tcPr>
          <w:p>
            <w:pPr>
              <w:spacing w:after="0"/>
              <w:rPr>
                <w:sz w:val="3"/>
                <w:szCs w:val="3"/>
                <w:color w:val="auto"/>
              </w:rPr>
            </w:pPr>
          </w:p>
        </w:tc>
        <w:tc>
          <w:tcPr>
            <w:tcW w:w="660" w:type="dxa"/>
            <w:vAlign w:val="bottom"/>
            <w:tcBorders>
              <w:bottom w:val="single" w:sz="8" w:color="auto"/>
            </w:tcBorders>
          </w:tcPr>
          <w:p>
            <w:pPr>
              <w:spacing w:after="0"/>
              <w:rPr>
                <w:sz w:val="3"/>
                <w:szCs w:val="3"/>
                <w:color w:val="auto"/>
              </w:rPr>
            </w:pPr>
          </w:p>
        </w:tc>
        <w:tc>
          <w:tcPr>
            <w:tcW w:w="300" w:type="dxa"/>
            <w:vAlign w:val="bottom"/>
            <w:tcBorders>
              <w:bottom w:val="single" w:sz="8" w:color="auto"/>
            </w:tcBorders>
          </w:tcPr>
          <w:p>
            <w:pPr>
              <w:spacing w:after="0"/>
              <w:rPr>
                <w:sz w:val="3"/>
                <w:szCs w:val="3"/>
                <w:color w:val="auto"/>
              </w:rPr>
            </w:pPr>
          </w:p>
        </w:tc>
        <w:tc>
          <w:tcPr>
            <w:tcW w:w="320" w:type="dxa"/>
            <w:vAlign w:val="bottom"/>
            <w:tcBorders>
              <w:bottom w:val="single" w:sz="8" w:color="auto"/>
            </w:tcBorders>
          </w:tcPr>
          <w:p>
            <w:pPr>
              <w:spacing w:after="0"/>
              <w:rPr>
                <w:sz w:val="3"/>
                <w:szCs w:val="3"/>
                <w:color w:val="auto"/>
              </w:rPr>
            </w:pPr>
          </w:p>
        </w:tc>
        <w:tc>
          <w:tcPr>
            <w:tcW w:w="760" w:type="dxa"/>
            <w:vAlign w:val="bottom"/>
            <w:tcBorders>
              <w:bottom w:val="single" w:sz="8" w:color="auto"/>
            </w:tcBorders>
          </w:tcPr>
          <w:p>
            <w:pPr>
              <w:spacing w:after="0"/>
              <w:rPr>
                <w:sz w:val="3"/>
                <w:szCs w:val="3"/>
                <w:color w:val="auto"/>
              </w:rPr>
            </w:pPr>
          </w:p>
        </w:tc>
        <w:tc>
          <w:tcPr>
            <w:tcW w:w="1160" w:type="dxa"/>
            <w:vAlign w:val="bottom"/>
            <w:tcBorders>
              <w:bottom w:val="single" w:sz="8" w:color="auto"/>
            </w:tcBorders>
          </w:tcPr>
          <w:p>
            <w:pPr>
              <w:spacing w:after="0"/>
              <w:rPr>
                <w:sz w:val="3"/>
                <w:szCs w:val="3"/>
                <w:color w:val="auto"/>
              </w:rPr>
            </w:pPr>
          </w:p>
        </w:tc>
      </w:tr>
    </w:tbl>
    <w:p>
      <w:pPr>
        <w:spacing w:after="0" w:line="200" w:lineRule="exact"/>
        <w:rPr>
          <w:sz w:val="20"/>
          <w:szCs w:val="20"/>
          <w:color w:val="auto"/>
        </w:rPr>
      </w:pPr>
    </w:p>
    <w:p>
      <w:pPr>
        <w:spacing w:after="0" w:line="200" w:lineRule="exact"/>
        <w:rPr>
          <w:sz w:val="20"/>
          <w:szCs w:val="20"/>
          <w:color w:val="auto"/>
        </w:rPr>
      </w:pPr>
    </w:p>
    <w:p>
      <w:pPr>
        <w:spacing w:after="0" w:line="224" w:lineRule="exact"/>
        <w:rPr>
          <w:sz w:val="20"/>
          <w:szCs w:val="20"/>
          <w:color w:val="auto"/>
        </w:rPr>
      </w:pPr>
    </w:p>
    <w:p>
      <w:pPr>
        <w:jc w:val="both"/>
        <w:spacing w:after="0" w:line="241" w:lineRule="auto"/>
        <w:rPr>
          <w:sz w:val="20"/>
          <w:szCs w:val="20"/>
          <w:color w:val="auto"/>
        </w:rPr>
      </w:pPr>
      <w:r>
        <w:rPr>
          <w:rFonts w:ascii="Times New Roman" w:cs="Times New Roman" w:eastAsia="Times New Roman" w:hAnsi="Times New Roman"/>
          <w:sz w:val="22"/>
          <w:szCs w:val="22"/>
          <w:color w:val="auto"/>
        </w:rPr>
        <w:t>objective of focusing on low-income populations. A nontrivial portion of the sample, 20 percent, did not work at all in the past year and only 46 percent worked full time and full year. The average earnings of the sample were approximately $20,000 per year and 15 percent of the sample received public assistance. In general, the sample population is unsophisticated when it comes to banking and finances. About one-quarter of the sample has a checking and savings account, but few (12%) own stocks or bonds. Slightly more than half (52%) the sample has a credit card. Participants’ financial knowledge is also limited; for example, only 32 percent of the sample understood that mutual funds are risky investments. Finally, approximately 40 percent of the sample used the Internet sometimes or often, but only 17 percent bank online.</w:t>
      </w:r>
    </w:p>
    <w:p>
      <w:pPr>
        <w:spacing w:after="0" w:line="61" w:lineRule="exact"/>
        <w:rPr>
          <w:sz w:val="20"/>
          <w:szCs w:val="20"/>
          <w:color w:val="auto"/>
        </w:rPr>
      </w:pPr>
    </w:p>
    <w:p>
      <w:pPr>
        <w:jc w:val="both"/>
        <w:ind w:firstLine="239"/>
        <w:spacing w:after="0" w:line="253" w:lineRule="auto"/>
        <w:rPr>
          <w:sz w:val="20"/>
          <w:szCs w:val="20"/>
          <w:color w:val="auto"/>
        </w:rPr>
      </w:pPr>
      <w:r>
        <w:rPr>
          <w:rFonts w:ascii="Times New Roman" w:cs="Times New Roman" w:eastAsia="Times New Roman" w:hAnsi="Times New Roman"/>
          <w:sz w:val="21"/>
          <w:szCs w:val="21"/>
          <w:color w:val="auto"/>
        </w:rPr>
        <w:t>From a research perspective, one of the most important issues is whether the random assignment of study participants resulted in treatment and con-trol groups that are similar. To investigate this, we show sample means by experimental group status in columns 2 (treatment group) and 3 (control group). Surprisingly, there are some statistically significant differences between the groups. Members of the treatment group are more likely to be female, are less educated, are more likely to bank by phone or online, and are more likely to use the Internet than members of the control group. These significant differences are most likely due to the relatively small sam-ple sizes of the treatment (</w:t>
      </w:r>
      <w:r>
        <w:rPr>
          <w:rFonts w:ascii="Arial" w:cs="Arial" w:eastAsia="Arial" w:hAnsi="Arial"/>
          <w:sz w:val="21"/>
          <w:szCs w:val="21"/>
          <w:color w:val="auto"/>
        </w:rPr>
        <w:t>N</w:t>
      </w:r>
      <w:r>
        <w:rPr>
          <w:rFonts w:ascii="Times New Roman" w:cs="Times New Roman" w:eastAsia="Times New Roman" w:hAnsi="Times New Roman"/>
          <w:sz w:val="21"/>
          <w:szCs w:val="21"/>
          <w:color w:val="auto"/>
        </w:rPr>
        <w:t xml:space="preserve"> </w:t>
      </w:r>
      <w:r>
        <w:rPr>
          <w:rFonts w:ascii="Arial" w:cs="Arial" w:eastAsia="Arial" w:hAnsi="Arial"/>
          <w:sz w:val="21"/>
          <w:szCs w:val="21"/>
          <w:color w:val="auto"/>
        </w:rPr>
        <w:t>¼</w:t>
      </w:r>
      <w:r>
        <w:rPr>
          <w:rFonts w:ascii="Times New Roman" w:cs="Times New Roman" w:eastAsia="Times New Roman" w:hAnsi="Times New Roman"/>
          <w:sz w:val="21"/>
          <w:szCs w:val="21"/>
          <w:color w:val="auto"/>
        </w:rPr>
        <w:t xml:space="preserve"> 159) and control (</w:t>
      </w:r>
      <w:r>
        <w:rPr>
          <w:rFonts w:ascii="Arial" w:cs="Arial" w:eastAsia="Arial" w:hAnsi="Arial"/>
          <w:sz w:val="21"/>
          <w:szCs w:val="21"/>
          <w:color w:val="auto"/>
        </w:rPr>
        <w:t>N</w:t>
      </w:r>
      <w:r>
        <w:rPr>
          <w:rFonts w:ascii="Times New Roman" w:cs="Times New Roman" w:eastAsia="Times New Roman" w:hAnsi="Times New Roman"/>
          <w:sz w:val="21"/>
          <w:szCs w:val="21"/>
          <w:color w:val="auto"/>
        </w:rPr>
        <w:t xml:space="preserve"> </w:t>
      </w:r>
      <w:r>
        <w:rPr>
          <w:rFonts w:ascii="Arial" w:cs="Arial" w:eastAsia="Arial" w:hAnsi="Arial"/>
          <w:sz w:val="21"/>
          <w:szCs w:val="21"/>
          <w:color w:val="auto"/>
        </w:rPr>
        <w:t>¼</w:t>
      </w:r>
      <w:r>
        <w:rPr>
          <w:rFonts w:ascii="Times New Roman" w:cs="Times New Roman" w:eastAsia="Times New Roman" w:hAnsi="Times New Roman"/>
          <w:sz w:val="21"/>
          <w:szCs w:val="21"/>
          <w:color w:val="auto"/>
        </w:rPr>
        <w:t xml:space="preserve"> 84) groups; they do not necessarily indicate a nonrandom assignment.</w:t>
      </w:r>
    </w:p>
    <w:p>
      <w:pPr>
        <w:spacing w:after="0" w:line="48" w:lineRule="exact"/>
        <w:rPr>
          <w:sz w:val="20"/>
          <w:szCs w:val="20"/>
          <w:color w:val="auto"/>
        </w:rPr>
      </w:pPr>
    </w:p>
    <w:p>
      <w:pPr>
        <w:jc w:val="both"/>
        <w:ind w:firstLine="239"/>
        <w:spacing w:after="0" w:line="248" w:lineRule="auto"/>
        <w:rPr>
          <w:sz w:val="20"/>
          <w:szCs w:val="20"/>
          <w:color w:val="auto"/>
        </w:rPr>
      </w:pPr>
      <w:r>
        <w:rPr>
          <w:rFonts w:ascii="Times New Roman" w:cs="Times New Roman" w:eastAsia="Times New Roman" w:hAnsi="Times New Roman"/>
          <w:sz w:val="21"/>
          <w:szCs w:val="21"/>
          <w:color w:val="auto"/>
        </w:rPr>
        <w:t>There are also some significant differences by neighborhood. Survey participants from site 4 tend to have larger families and are more likely to be single parents than survey participants from site 3. Participants in site 4 also have fewer financial accounts, such as checking and savings, and are less likely to bank online or by phone than are participants from site 3.</w:t>
      </w:r>
    </w:p>
    <w:p>
      <w:pPr>
        <w:spacing w:after="0" w:line="47" w:lineRule="exact"/>
        <w:rPr>
          <w:sz w:val="20"/>
          <w:szCs w:val="20"/>
          <w:color w:val="auto"/>
        </w:rPr>
      </w:pPr>
    </w:p>
    <w:p>
      <w:pPr>
        <w:jc w:val="both"/>
        <w:ind w:firstLine="239"/>
        <w:spacing w:after="0" w:line="245" w:lineRule="auto"/>
        <w:rPr>
          <w:sz w:val="20"/>
          <w:szCs w:val="20"/>
          <w:color w:val="auto"/>
        </w:rPr>
      </w:pPr>
      <w:r>
        <w:rPr>
          <w:rFonts w:ascii="Times New Roman" w:cs="Times New Roman" w:eastAsia="Times New Roman" w:hAnsi="Times New Roman"/>
          <w:sz w:val="21"/>
          <w:szCs w:val="21"/>
          <w:color w:val="auto"/>
        </w:rPr>
        <w:t>Within neighborhood, there are some differences by experimental group status. In site 3, members of the treatment group are more likely to be female, are less educated, are more likely to bank by phone or online, and are more likely to use the Internet than members of the control group.</w:t>
      </w:r>
    </w:p>
    <w:p>
      <w:pPr>
        <w:sectPr>
          <w:pgSz w:w="8640" w:h="13320" w:orient="portrait"/>
          <w:cols w:equalWidth="0" w:num="1">
            <w:col w:w="6460"/>
          </w:cols>
          <w:pgMar w:left="940" w:top="768" w:right="1240" w:bottom="686" w:gutter="0" w:footer="0" w:header="0"/>
        </w:sectPr>
      </w:pPr>
    </w:p>
    <w:bookmarkStart w:id="16" w:name="page17"/>
    <w:bookmarkEnd w:id="16"/>
    <w:p>
      <w:pPr>
        <w:spacing w:after="0"/>
        <w:tabs>
          <w:tab w:leader="none" w:pos="2320" w:val="left"/>
          <w:tab w:leader="none" w:pos="6140" w:val="left"/>
        </w:tabs>
        <w:rPr>
          <w:sz w:val="20"/>
          <w:szCs w:val="20"/>
          <w:color w:val="auto"/>
        </w:rPr>
      </w:pPr>
      <w:r>
        <w:rPr>
          <w:rFonts w:ascii="Times New Roman" w:cs="Times New Roman" w:eastAsia="Times New Roman" w:hAnsi="Times New Roman"/>
          <w:sz w:val="16"/>
          <w:szCs w:val="16"/>
          <w:color w:val="auto"/>
        </w:rPr>
        <w:t>SUMMER 2008</w:t>
      </w:r>
      <w:r>
        <w:rPr>
          <w:sz w:val="20"/>
          <w:szCs w:val="20"/>
          <w:color w:val="auto"/>
        </w:rPr>
        <w:tab/>
      </w:r>
      <w:r>
        <w:rPr>
          <w:rFonts w:ascii="Times New Roman" w:cs="Times New Roman" w:eastAsia="Times New Roman" w:hAnsi="Times New Roman"/>
          <w:sz w:val="16"/>
          <w:szCs w:val="16"/>
          <w:color w:val="auto"/>
        </w:rPr>
        <w:t>VOLUME 42, NUMBER 2</w:t>
      </w:r>
      <w:r>
        <w:rPr>
          <w:sz w:val="20"/>
          <w:szCs w:val="20"/>
          <w:color w:val="auto"/>
        </w:rPr>
        <w:tab/>
      </w:r>
      <w:r>
        <w:rPr>
          <w:rFonts w:ascii="Times New Roman" w:cs="Times New Roman" w:eastAsia="Times New Roman" w:hAnsi="Times New Roman"/>
          <w:sz w:val="20"/>
          <w:szCs w:val="20"/>
          <w:color w:val="auto"/>
        </w:rPr>
        <w:t>287</w:t>
      </w:r>
    </w:p>
    <w:p>
      <w:pPr>
        <w:spacing w:after="0" w:line="200" w:lineRule="exact"/>
        <w:rPr>
          <w:sz w:val="20"/>
          <w:szCs w:val="20"/>
          <w:color w:val="auto"/>
        </w:rPr>
      </w:pPr>
    </w:p>
    <w:p>
      <w:pPr>
        <w:spacing w:after="0" w:line="268" w:lineRule="exact"/>
        <w:rPr>
          <w:sz w:val="20"/>
          <w:szCs w:val="20"/>
          <w:color w:val="auto"/>
        </w:rPr>
      </w:pPr>
    </w:p>
    <w:p>
      <w:pPr>
        <w:spacing w:after="0"/>
        <w:rPr>
          <w:sz w:val="20"/>
          <w:szCs w:val="20"/>
          <w:color w:val="auto"/>
        </w:rPr>
      </w:pPr>
      <w:r>
        <w:rPr>
          <w:rFonts w:ascii="Times New Roman" w:cs="Times New Roman" w:eastAsia="Times New Roman" w:hAnsi="Times New Roman"/>
          <w:sz w:val="18"/>
          <w:szCs w:val="18"/>
          <w:color w:val="auto"/>
        </w:rPr>
        <w:t>TABLE 2</w:t>
      </w:r>
    </w:p>
    <w:p>
      <w:pPr>
        <w:spacing w:after="0" w:line="48" w:lineRule="exact"/>
        <w:rPr>
          <w:sz w:val="20"/>
          <w:szCs w:val="20"/>
          <w:color w:val="auto"/>
        </w:rPr>
      </w:pPr>
    </w:p>
    <w:p>
      <w:pPr>
        <w:ind w:right="320"/>
        <w:spacing w:after="0" w:line="229" w:lineRule="auto"/>
        <w:rPr>
          <w:sz w:val="20"/>
          <w:szCs w:val="20"/>
          <w:color w:val="auto"/>
        </w:rPr>
      </w:pPr>
      <w:r>
        <w:rPr>
          <w:rFonts w:ascii="Arial" w:cs="Arial" w:eastAsia="Arial" w:hAnsi="Arial"/>
          <w:sz w:val="18"/>
          <w:szCs w:val="18"/>
          <w:color w:val="auto"/>
        </w:rPr>
        <w:t>Descriptive Statistics of Baseline Characteristics by Experimental Group Status and Experimental Group Status within Facility</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4445</wp:posOffset>
                </wp:positionH>
                <wp:positionV relativeFrom="paragraph">
                  <wp:posOffset>50800</wp:posOffset>
                </wp:positionV>
                <wp:extent cx="4099560" cy="0"/>
                <wp:wrapNone/>
                <wp:docPr id="10" name="Shape 1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99560" cy="4763"/>
                        </a:xfrm>
                        <a:prstGeom prst="line">
                          <a:avLst/>
                        </a:prstGeom>
                        <a:solidFill>
                          <a:srgbClr val="FFFFFF"/>
                        </a:solidFill>
                        <a:ln w="6477">
                          <a:solidFill>
                            <a:srgbClr val="000000"/>
                          </a:solidFill>
                          <a:miter lim="800000"/>
                          <a:headEnd/>
                          <a:tailEnd/>
                        </a:ln>
                      </wps:spPr>
                      <wps:bodyPr/>
                    </wps:wsp>
                  </a:graphicData>
                </a:graphic>
              </wp:anchor>
            </w:drawing>
          </mc:Choice>
          <mc:Fallback>
            <w:pict>
              <v:line id="Shape 10" o:spid="_x0000_s103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35pt,4pt" to="323.15pt,4pt" o:allowincell="f" strokecolor="#000000" strokeweight="0.51pt"/>
            </w:pict>
          </mc:Fallback>
        </mc:AlternateContent>
      </w:r>
    </w:p>
    <w:p>
      <w:pPr>
        <w:spacing w:after="0" w:line="94" w:lineRule="exact"/>
        <w:rPr>
          <w:sz w:val="20"/>
          <w:szCs w:val="20"/>
          <w:color w:val="auto"/>
        </w:rPr>
      </w:pPr>
    </w:p>
    <w:tbl>
      <w:tblPr>
        <w:tblLayout w:type="fixed"/>
        <w:tblInd w:w="0" w:type="dxa"/>
        <w:tblCellMar>
          <w:top w:w="0" w:type="dxa"/>
          <w:left w:w="0" w:type="dxa"/>
          <w:bottom w:w="0" w:type="dxa"/>
          <w:right w:w="0" w:type="dxa"/>
        </w:tblCellMar>
      </w:tblPr>
      <w:tr>
        <w:trPr>
          <w:trHeight w:val="172"/>
        </w:trPr>
        <w:tc>
          <w:tcPr>
            <w:tcW w:w="1800" w:type="dxa"/>
            <w:vAlign w:val="bottom"/>
          </w:tcPr>
          <w:p>
            <w:pPr>
              <w:spacing w:after="0"/>
              <w:rPr>
                <w:sz w:val="15"/>
                <w:szCs w:val="15"/>
                <w:color w:val="auto"/>
              </w:rPr>
            </w:pPr>
          </w:p>
        </w:tc>
        <w:tc>
          <w:tcPr>
            <w:tcW w:w="800" w:type="dxa"/>
            <w:vAlign w:val="bottom"/>
          </w:tcPr>
          <w:p>
            <w:pPr>
              <w:spacing w:after="0"/>
              <w:rPr>
                <w:sz w:val="15"/>
                <w:szCs w:val="15"/>
                <w:color w:val="auto"/>
              </w:rPr>
            </w:pPr>
          </w:p>
        </w:tc>
        <w:tc>
          <w:tcPr>
            <w:tcW w:w="1240" w:type="dxa"/>
            <w:vAlign w:val="bottom"/>
            <w:gridSpan w:val="2"/>
          </w:tcPr>
          <w:p>
            <w:pPr>
              <w:ind w:left="220"/>
              <w:spacing w:after="0"/>
              <w:rPr>
                <w:sz w:val="20"/>
                <w:szCs w:val="20"/>
                <w:color w:val="auto"/>
              </w:rPr>
            </w:pPr>
            <w:r>
              <w:rPr>
                <w:rFonts w:ascii="Times New Roman" w:cs="Times New Roman" w:eastAsia="Times New Roman" w:hAnsi="Times New Roman"/>
                <w:sz w:val="15"/>
                <w:szCs w:val="15"/>
                <w:color w:val="auto"/>
              </w:rPr>
              <w:t>Total Sample</w:t>
            </w:r>
          </w:p>
        </w:tc>
        <w:tc>
          <w:tcPr>
            <w:tcW w:w="80" w:type="dxa"/>
            <w:vAlign w:val="bottom"/>
          </w:tcPr>
          <w:p>
            <w:pPr>
              <w:spacing w:after="0"/>
              <w:rPr>
                <w:sz w:val="15"/>
                <w:szCs w:val="15"/>
                <w:color w:val="auto"/>
              </w:rPr>
            </w:pPr>
          </w:p>
        </w:tc>
        <w:tc>
          <w:tcPr>
            <w:tcW w:w="1280" w:type="dxa"/>
            <w:vAlign w:val="bottom"/>
            <w:gridSpan w:val="2"/>
          </w:tcPr>
          <w:p>
            <w:pPr>
              <w:ind w:left="460"/>
              <w:spacing w:after="0"/>
              <w:rPr>
                <w:sz w:val="20"/>
                <w:szCs w:val="20"/>
                <w:color w:val="auto"/>
              </w:rPr>
            </w:pPr>
            <w:r>
              <w:rPr>
                <w:rFonts w:ascii="Times New Roman" w:cs="Times New Roman" w:eastAsia="Times New Roman" w:hAnsi="Times New Roman"/>
                <w:sz w:val="15"/>
                <w:szCs w:val="15"/>
                <w:color w:val="auto"/>
              </w:rPr>
              <w:t>Site 3</w:t>
            </w:r>
          </w:p>
        </w:tc>
        <w:tc>
          <w:tcPr>
            <w:tcW w:w="60" w:type="dxa"/>
            <w:vAlign w:val="bottom"/>
          </w:tcPr>
          <w:p>
            <w:pPr>
              <w:spacing w:after="0"/>
              <w:rPr>
                <w:sz w:val="15"/>
                <w:szCs w:val="15"/>
                <w:color w:val="auto"/>
              </w:rPr>
            </w:pPr>
          </w:p>
        </w:tc>
        <w:tc>
          <w:tcPr>
            <w:tcW w:w="1200" w:type="dxa"/>
            <w:vAlign w:val="bottom"/>
            <w:gridSpan w:val="2"/>
          </w:tcPr>
          <w:p>
            <w:pPr>
              <w:ind w:left="420"/>
              <w:spacing w:after="0"/>
              <w:rPr>
                <w:sz w:val="20"/>
                <w:szCs w:val="20"/>
                <w:color w:val="auto"/>
              </w:rPr>
            </w:pPr>
            <w:r>
              <w:rPr>
                <w:rFonts w:ascii="Times New Roman" w:cs="Times New Roman" w:eastAsia="Times New Roman" w:hAnsi="Times New Roman"/>
                <w:sz w:val="15"/>
                <w:szCs w:val="15"/>
                <w:color w:val="auto"/>
              </w:rPr>
              <w:t>Site 4</w:t>
            </w:r>
          </w:p>
        </w:tc>
        <w:tc>
          <w:tcPr>
            <w:tcW w:w="0" w:type="dxa"/>
            <w:vAlign w:val="bottom"/>
          </w:tcPr>
          <w:p>
            <w:pPr>
              <w:spacing w:after="0"/>
              <w:rPr>
                <w:sz w:val="1"/>
                <w:szCs w:val="1"/>
                <w:color w:val="auto"/>
              </w:rPr>
            </w:pPr>
          </w:p>
        </w:tc>
      </w:tr>
      <w:tr>
        <w:trPr>
          <w:trHeight w:val="44"/>
        </w:trPr>
        <w:tc>
          <w:tcPr>
            <w:tcW w:w="1800" w:type="dxa"/>
            <w:vAlign w:val="bottom"/>
          </w:tcPr>
          <w:p>
            <w:pPr>
              <w:spacing w:after="0"/>
              <w:rPr>
                <w:sz w:val="3"/>
                <w:szCs w:val="3"/>
                <w:color w:val="auto"/>
              </w:rPr>
            </w:pPr>
          </w:p>
        </w:tc>
        <w:tc>
          <w:tcPr>
            <w:tcW w:w="800" w:type="dxa"/>
            <w:vAlign w:val="bottom"/>
            <w:vMerge w:val="restart"/>
          </w:tcPr>
          <w:p>
            <w:pPr>
              <w:jc w:val="center"/>
              <w:spacing w:after="0"/>
              <w:rPr>
                <w:sz w:val="20"/>
                <w:szCs w:val="20"/>
                <w:color w:val="auto"/>
              </w:rPr>
            </w:pPr>
            <w:r>
              <w:rPr>
                <w:rFonts w:ascii="Times New Roman" w:cs="Times New Roman" w:eastAsia="Times New Roman" w:hAnsi="Times New Roman"/>
                <w:sz w:val="15"/>
                <w:szCs w:val="15"/>
                <w:color w:val="auto"/>
              </w:rPr>
              <w:t>Total</w:t>
            </w:r>
          </w:p>
        </w:tc>
        <w:tc>
          <w:tcPr>
            <w:tcW w:w="660" w:type="dxa"/>
            <w:vAlign w:val="bottom"/>
            <w:tcBorders>
              <w:bottom w:val="single" w:sz="8" w:color="auto"/>
            </w:tcBorders>
          </w:tcPr>
          <w:p>
            <w:pPr>
              <w:spacing w:after="0"/>
              <w:rPr>
                <w:sz w:val="3"/>
                <w:szCs w:val="3"/>
                <w:color w:val="auto"/>
              </w:rPr>
            </w:pPr>
          </w:p>
        </w:tc>
        <w:tc>
          <w:tcPr>
            <w:tcW w:w="580" w:type="dxa"/>
            <w:vAlign w:val="bottom"/>
            <w:tcBorders>
              <w:bottom w:val="single" w:sz="8" w:color="auto"/>
            </w:tcBorders>
          </w:tcPr>
          <w:p>
            <w:pPr>
              <w:spacing w:after="0"/>
              <w:rPr>
                <w:sz w:val="3"/>
                <w:szCs w:val="3"/>
                <w:color w:val="auto"/>
              </w:rPr>
            </w:pPr>
          </w:p>
        </w:tc>
        <w:tc>
          <w:tcPr>
            <w:tcW w:w="80" w:type="dxa"/>
            <w:vAlign w:val="bottom"/>
          </w:tcPr>
          <w:p>
            <w:pPr>
              <w:spacing w:after="0"/>
              <w:rPr>
                <w:sz w:val="3"/>
                <w:szCs w:val="3"/>
                <w:color w:val="auto"/>
              </w:rPr>
            </w:pPr>
          </w:p>
        </w:tc>
        <w:tc>
          <w:tcPr>
            <w:tcW w:w="620" w:type="dxa"/>
            <w:vAlign w:val="bottom"/>
            <w:tcBorders>
              <w:bottom w:val="single" w:sz="8" w:color="auto"/>
            </w:tcBorders>
          </w:tcPr>
          <w:p>
            <w:pPr>
              <w:spacing w:after="0"/>
              <w:rPr>
                <w:sz w:val="3"/>
                <w:szCs w:val="3"/>
                <w:color w:val="auto"/>
              </w:rPr>
            </w:pPr>
          </w:p>
        </w:tc>
        <w:tc>
          <w:tcPr>
            <w:tcW w:w="660" w:type="dxa"/>
            <w:vAlign w:val="bottom"/>
            <w:tcBorders>
              <w:bottom w:val="single" w:sz="8" w:color="auto"/>
            </w:tcBorders>
          </w:tcPr>
          <w:p>
            <w:pPr>
              <w:spacing w:after="0"/>
              <w:rPr>
                <w:sz w:val="3"/>
                <w:szCs w:val="3"/>
                <w:color w:val="auto"/>
              </w:rPr>
            </w:pPr>
          </w:p>
        </w:tc>
        <w:tc>
          <w:tcPr>
            <w:tcW w:w="60" w:type="dxa"/>
            <w:vAlign w:val="bottom"/>
          </w:tcPr>
          <w:p>
            <w:pPr>
              <w:spacing w:after="0"/>
              <w:rPr>
                <w:sz w:val="3"/>
                <w:szCs w:val="3"/>
                <w:color w:val="auto"/>
              </w:rPr>
            </w:pPr>
          </w:p>
        </w:tc>
        <w:tc>
          <w:tcPr>
            <w:tcW w:w="560" w:type="dxa"/>
            <w:vAlign w:val="bottom"/>
            <w:tcBorders>
              <w:bottom w:val="single" w:sz="8" w:color="auto"/>
            </w:tcBorders>
          </w:tcPr>
          <w:p>
            <w:pPr>
              <w:spacing w:after="0"/>
              <w:rPr>
                <w:sz w:val="3"/>
                <w:szCs w:val="3"/>
                <w:color w:val="auto"/>
              </w:rPr>
            </w:pPr>
          </w:p>
        </w:tc>
        <w:tc>
          <w:tcPr>
            <w:tcW w:w="640" w:type="dxa"/>
            <w:vAlign w:val="bottom"/>
            <w:tcBorders>
              <w:bottom w:val="single" w:sz="8" w:color="auto"/>
            </w:tcBorders>
          </w:tcPr>
          <w:p>
            <w:pPr>
              <w:spacing w:after="0"/>
              <w:rPr>
                <w:sz w:val="3"/>
                <w:szCs w:val="3"/>
                <w:color w:val="auto"/>
              </w:rPr>
            </w:pPr>
          </w:p>
        </w:tc>
        <w:tc>
          <w:tcPr>
            <w:tcW w:w="0" w:type="dxa"/>
            <w:vAlign w:val="bottom"/>
          </w:tcPr>
          <w:p>
            <w:pPr>
              <w:spacing w:after="0"/>
              <w:rPr>
                <w:sz w:val="1"/>
                <w:szCs w:val="1"/>
                <w:color w:val="auto"/>
              </w:rPr>
            </w:pPr>
          </w:p>
        </w:tc>
      </w:tr>
      <w:tr>
        <w:trPr>
          <w:trHeight w:val="199"/>
        </w:trPr>
        <w:tc>
          <w:tcPr>
            <w:tcW w:w="1800" w:type="dxa"/>
            <w:vAlign w:val="bottom"/>
          </w:tcPr>
          <w:p>
            <w:pPr>
              <w:spacing w:after="0"/>
              <w:rPr>
                <w:sz w:val="17"/>
                <w:szCs w:val="17"/>
                <w:color w:val="auto"/>
              </w:rPr>
            </w:pPr>
          </w:p>
        </w:tc>
        <w:tc>
          <w:tcPr>
            <w:tcW w:w="800" w:type="dxa"/>
            <w:vAlign w:val="bottom"/>
            <w:vMerge w:val="continue"/>
          </w:tcPr>
          <w:p>
            <w:pPr>
              <w:spacing w:after="0"/>
              <w:rPr>
                <w:sz w:val="17"/>
                <w:szCs w:val="17"/>
                <w:color w:val="auto"/>
              </w:rPr>
            </w:pPr>
          </w:p>
        </w:tc>
        <w:tc>
          <w:tcPr>
            <w:tcW w:w="660" w:type="dxa"/>
            <w:vAlign w:val="bottom"/>
          </w:tcPr>
          <w:p>
            <w:pPr>
              <w:jc w:val="center"/>
              <w:spacing w:after="0"/>
              <w:rPr>
                <w:sz w:val="20"/>
                <w:szCs w:val="20"/>
                <w:color w:val="auto"/>
              </w:rPr>
            </w:pPr>
            <w:r>
              <w:rPr>
                <w:rFonts w:ascii="Times New Roman" w:cs="Times New Roman" w:eastAsia="Times New Roman" w:hAnsi="Times New Roman"/>
                <w:sz w:val="15"/>
                <w:szCs w:val="15"/>
                <w:color w:val="auto"/>
              </w:rPr>
              <w:t>Treat</w:t>
            </w:r>
          </w:p>
        </w:tc>
        <w:tc>
          <w:tcPr>
            <w:tcW w:w="580" w:type="dxa"/>
            <w:vAlign w:val="bottom"/>
          </w:tcPr>
          <w:p>
            <w:pPr>
              <w:ind w:left="100"/>
              <w:spacing w:after="0"/>
              <w:rPr>
                <w:sz w:val="20"/>
                <w:szCs w:val="20"/>
                <w:color w:val="auto"/>
              </w:rPr>
            </w:pPr>
            <w:r>
              <w:rPr>
                <w:rFonts w:ascii="Times New Roman" w:cs="Times New Roman" w:eastAsia="Times New Roman" w:hAnsi="Times New Roman"/>
                <w:sz w:val="15"/>
                <w:szCs w:val="15"/>
                <w:color w:val="auto"/>
              </w:rPr>
              <w:t>Control</w:t>
            </w:r>
          </w:p>
        </w:tc>
        <w:tc>
          <w:tcPr>
            <w:tcW w:w="80" w:type="dxa"/>
            <w:vAlign w:val="bottom"/>
          </w:tcPr>
          <w:p>
            <w:pPr>
              <w:spacing w:after="0"/>
              <w:rPr>
                <w:sz w:val="17"/>
                <w:szCs w:val="17"/>
                <w:color w:val="auto"/>
              </w:rPr>
            </w:pPr>
          </w:p>
        </w:tc>
        <w:tc>
          <w:tcPr>
            <w:tcW w:w="620" w:type="dxa"/>
            <w:vAlign w:val="bottom"/>
          </w:tcPr>
          <w:p>
            <w:pPr>
              <w:ind w:left="160"/>
              <w:spacing w:after="0"/>
              <w:rPr>
                <w:sz w:val="20"/>
                <w:szCs w:val="20"/>
                <w:color w:val="auto"/>
              </w:rPr>
            </w:pPr>
            <w:r>
              <w:rPr>
                <w:rFonts w:ascii="Times New Roman" w:cs="Times New Roman" w:eastAsia="Times New Roman" w:hAnsi="Times New Roman"/>
                <w:sz w:val="15"/>
                <w:szCs w:val="15"/>
                <w:color w:val="auto"/>
              </w:rPr>
              <w:t>Treat</w:t>
            </w:r>
          </w:p>
        </w:tc>
        <w:tc>
          <w:tcPr>
            <w:tcW w:w="660" w:type="dxa"/>
            <w:vAlign w:val="bottom"/>
          </w:tcPr>
          <w:p>
            <w:pPr>
              <w:ind w:left="140"/>
              <w:spacing w:after="0"/>
              <w:rPr>
                <w:sz w:val="20"/>
                <w:szCs w:val="20"/>
                <w:color w:val="auto"/>
              </w:rPr>
            </w:pPr>
            <w:r>
              <w:rPr>
                <w:rFonts w:ascii="Times New Roman" w:cs="Times New Roman" w:eastAsia="Times New Roman" w:hAnsi="Times New Roman"/>
                <w:sz w:val="15"/>
                <w:szCs w:val="15"/>
                <w:color w:val="auto"/>
              </w:rPr>
              <w:t>Control</w:t>
            </w:r>
          </w:p>
        </w:tc>
        <w:tc>
          <w:tcPr>
            <w:tcW w:w="60" w:type="dxa"/>
            <w:vAlign w:val="bottom"/>
          </w:tcPr>
          <w:p>
            <w:pPr>
              <w:spacing w:after="0"/>
              <w:rPr>
                <w:sz w:val="17"/>
                <w:szCs w:val="17"/>
                <w:color w:val="auto"/>
              </w:rPr>
            </w:pPr>
          </w:p>
        </w:tc>
        <w:tc>
          <w:tcPr>
            <w:tcW w:w="560" w:type="dxa"/>
            <w:vAlign w:val="bottom"/>
          </w:tcPr>
          <w:p>
            <w:pPr>
              <w:ind w:left="140"/>
              <w:spacing w:after="0"/>
              <w:rPr>
                <w:sz w:val="20"/>
                <w:szCs w:val="20"/>
                <w:color w:val="auto"/>
              </w:rPr>
            </w:pPr>
            <w:r>
              <w:rPr>
                <w:rFonts w:ascii="Times New Roman" w:cs="Times New Roman" w:eastAsia="Times New Roman" w:hAnsi="Times New Roman"/>
                <w:sz w:val="15"/>
                <w:szCs w:val="15"/>
                <w:color w:val="auto"/>
              </w:rPr>
              <w:t>Treat</w:t>
            </w:r>
          </w:p>
        </w:tc>
        <w:tc>
          <w:tcPr>
            <w:tcW w:w="640" w:type="dxa"/>
            <w:vAlign w:val="bottom"/>
          </w:tcPr>
          <w:p>
            <w:pPr>
              <w:ind w:left="140"/>
              <w:spacing w:after="0"/>
              <w:rPr>
                <w:sz w:val="20"/>
                <w:szCs w:val="20"/>
                <w:color w:val="auto"/>
              </w:rPr>
            </w:pPr>
            <w:r>
              <w:rPr>
                <w:rFonts w:ascii="Times New Roman" w:cs="Times New Roman" w:eastAsia="Times New Roman" w:hAnsi="Times New Roman"/>
                <w:sz w:val="15"/>
                <w:szCs w:val="15"/>
                <w:color w:val="auto"/>
              </w:rPr>
              <w:t>Control</w:t>
            </w:r>
          </w:p>
        </w:tc>
        <w:tc>
          <w:tcPr>
            <w:tcW w:w="0" w:type="dxa"/>
            <w:vAlign w:val="bottom"/>
          </w:tcPr>
          <w:p>
            <w:pPr>
              <w:spacing w:after="0"/>
              <w:rPr>
                <w:sz w:val="1"/>
                <w:szCs w:val="1"/>
                <w:color w:val="auto"/>
              </w:rPr>
            </w:pPr>
          </w:p>
        </w:tc>
      </w:tr>
      <w:tr>
        <w:trPr>
          <w:trHeight w:val="239"/>
        </w:trPr>
        <w:tc>
          <w:tcPr>
            <w:tcW w:w="1800" w:type="dxa"/>
            <w:vAlign w:val="bottom"/>
            <w:tcBorders>
              <w:bottom w:val="single" w:sz="8" w:color="auto"/>
            </w:tcBorders>
          </w:tcPr>
          <w:p>
            <w:pPr>
              <w:spacing w:after="0"/>
              <w:rPr>
                <w:sz w:val="20"/>
                <w:szCs w:val="20"/>
                <w:color w:val="auto"/>
              </w:rPr>
            </w:pPr>
            <w:r>
              <w:rPr>
                <w:rFonts w:ascii="Times New Roman" w:cs="Times New Roman" w:eastAsia="Times New Roman" w:hAnsi="Times New Roman"/>
                <w:sz w:val="15"/>
                <w:szCs w:val="15"/>
                <w:color w:val="auto"/>
              </w:rPr>
              <w:t>Variable</w:t>
            </w:r>
          </w:p>
        </w:tc>
        <w:tc>
          <w:tcPr>
            <w:tcW w:w="800" w:type="dxa"/>
            <w:vAlign w:val="bottom"/>
            <w:tcBorders>
              <w:bottom w:val="single" w:sz="8" w:color="auto"/>
            </w:tcBorders>
          </w:tcPr>
          <w:p>
            <w:pPr>
              <w:jc w:val="center"/>
              <w:spacing w:after="0"/>
              <w:rPr>
                <w:sz w:val="20"/>
                <w:szCs w:val="20"/>
                <w:color w:val="auto"/>
              </w:rPr>
            </w:pPr>
            <w:r>
              <w:rPr>
                <w:rFonts w:ascii="Times New Roman" w:cs="Times New Roman" w:eastAsia="Times New Roman" w:hAnsi="Times New Roman"/>
                <w:sz w:val="15"/>
                <w:szCs w:val="15"/>
                <w:color w:val="auto"/>
                <w:w w:val="98"/>
              </w:rPr>
              <w:t>(</w:t>
            </w:r>
            <w:r>
              <w:rPr>
                <w:rFonts w:ascii="Arial" w:cs="Arial" w:eastAsia="Arial" w:hAnsi="Arial"/>
                <w:sz w:val="15"/>
                <w:szCs w:val="15"/>
                <w:color w:val="auto"/>
                <w:w w:val="98"/>
              </w:rPr>
              <w:t>N</w:t>
            </w:r>
            <w:r>
              <w:rPr>
                <w:rFonts w:ascii="Times New Roman" w:cs="Times New Roman" w:eastAsia="Times New Roman" w:hAnsi="Times New Roman"/>
                <w:sz w:val="15"/>
                <w:szCs w:val="15"/>
                <w:color w:val="auto"/>
                <w:w w:val="98"/>
              </w:rPr>
              <w:t xml:space="preserve"> </w:t>
            </w:r>
            <w:r>
              <w:rPr>
                <w:rFonts w:ascii="Arial" w:cs="Arial" w:eastAsia="Arial" w:hAnsi="Arial"/>
                <w:sz w:val="15"/>
                <w:szCs w:val="15"/>
                <w:color w:val="auto"/>
                <w:w w:val="98"/>
              </w:rPr>
              <w:t>¼</w:t>
            </w:r>
            <w:r>
              <w:rPr>
                <w:rFonts w:ascii="Times New Roman" w:cs="Times New Roman" w:eastAsia="Times New Roman" w:hAnsi="Times New Roman"/>
                <w:sz w:val="15"/>
                <w:szCs w:val="15"/>
                <w:color w:val="auto"/>
                <w:w w:val="98"/>
              </w:rPr>
              <w:t xml:space="preserve"> 243)</w:t>
            </w:r>
            <w:r>
              <w:rPr>
                <w:rFonts w:ascii="Times New Roman" w:cs="Times New Roman" w:eastAsia="Times New Roman" w:hAnsi="Times New Roman"/>
                <w:sz w:val="19"/>
                <w:szCs w:val="19"/>
                <w:color w:val="auto"/>
                <w:w w:val="98"/>
                <w:vertAlign w:val="superscript"/>
              </w:rPr>
              <w:t>a</w:t>
            </w:r>
          </w:p>
        </w:tc>
        <w:tc>
          <w:tcPr>
            <w:tcW w:w="660" w:type="dxa"/>
            <w:vAlign w:val="bottom"/>
            <w:tcBorders>
              <w:bottom w:val="single" w:sz="8" w:color="auto"/>
            </w:tcBorders>
          </w:tcPr>
          <w:p>
            <w:pPr>
              <w:jc w:val="center"/>
              <w:spacing w:after="0"/>
              <w:rPr>
                <w:sz w:val="20"/>
                <w:szCs w:val="20"/>
                <w:color w:val="auto"/>
              </w:rPr>
            </w:pPr>
            <w:r>
              <w:rPr>
                <w:rFonts w:ascii="Times New Roman" w:cs="Times New Roman" w:eastAsia="Times New Roman" w:hAnsi="Times New Roman"/>
                <w:sz w:val="15"/>
                <w:szCs w:val="15"/>
                <w:color w:val="auto"/>
              </w:rPr>
              <w:t>(</w:t>
            </w:r>
            <w:r>
              <w:rPr>
                <w:rFonts w:ascii="Arial" w:cs="Arial" w:eastAsia="Arial" w:hAnsi="Arial"/>
                <w:sz w:val="15"/>
                <w:szCs w:val="15"/>
                <w:color w:val="auto"/>
              </w:rPr>
              <w:t>N</w:t>
            </w:r>
            <w:r>
              <w:rPr>
                <w:rFonts w:ascii="Times New Roman" w:cs="Times New Roman" w:eastAsia="Times New Roman" w:hAnsi="Times New Roman"/>
                <w:sz w:val="15"/>
                <w:szCs w:val="15"/>
                <w:color w:val="auto"/>
              </w:rPr>
              <w:t xml:space="preserve"> </w:t>
            </w:r>
            <w:r>
              <w:rPr>
                <w:rFonts w:ascii="Arial" w:cs="Arial" w:eastAsia="Arial" w:hAnsi="Arial"/>
                <w:sz w:val="15"/>
                <w:szCs w:val="15"/>
                <w:color w:val="auto"/>
              </w:rPr>
              <w:t>¼</w:t>
            </w:r>
            <w:r>
              <w:rPr>
                <w:rFonts w:ascii="Times New Roman" w:cs="Times New Roman" w:eastAsia="Times New Roman" w:hAnsi="Times New Roman"/>
                <w:sz w:val="15"/>
                <w:szCs w:val="15"/>
                <w:color w:val="auto"/>
              </w:rPr>
              <w:t xml:space="preserve"> 159)</w:t>
            </w:r>
          </w:p>
        </w:tc>
        <w:tc>
          <w:tcPr>
            <w:tcW w:w="580" w:type="dxa"/>
            <w:vAlign w:val="bottom"/>
            <w:tcBorders>
              <w:bottom w:val="single" w:sz="8" w:color="auto"/>
            </w:tcBorders>
          </w:tcPr>
          <w:p>
            <w:pPr>
              <w:ind w:left="60"/>
              <w:spacing w:after="0"/>
              <w:rPr>
                <w:sz w:val="20"/>
                <w:szCs w:val="20"/>
                <w:color w:val="auto"/>
              </w:rPr>
            </w:pPr>
            <w:r>
              <w:rPr>
                <w:rFonts w:ascii="Times New Roman" w:cs="Times New Roman" w:eastAsia="Times New Roman" w:hAnsi="Times New Roman"/>
                <w:sz w:val="15"/>
                <w:szCs w:val="15"/>
                <w:color w:val="auto"/>
                <w:w w:val="93"/>
              </w:rPr>
              <w:t>(</w:t>
            </w:r>
            <w:r>
              <w:rPr>
                <w:rFonts w:ascii="Arial" w:cs="Arial" w:eastAsia="Arial" w:hAnsi="Arial"/>
                <w:sz w:val="15"/>
                <w:szCs w:val="15"/>
                <w:color w:val="auto"/>
                <w:w w:val="93"/>
              </w:rPr>
              <w:t>n</w:t>
            </w:r>
            <w:r>
              <w:rPr>
                <w:rFonts w:ascii="Times New Roman" w:cs="Times New Roman" w:eastAsia="Times New Roman" w:hAnsi="Times New Roman"/>
                <w:sz w:val="15"/>
                <w:szCs w:val="15"/>
                <w:color w:val="auto"/>
                <w:w w:val="93"/>
              </w:rPr>
              <w:t xml:space="preserve"> </w:t>
            </w:r>
            <w:r>
              <w:rPr>
                <w:rFonts w:ascii="Arial" w:cs="Arial" w:eastAsia="Arial" w:hAnsi="Arial"/>
                <w:sz w:val="15"/>
                <w:szCs w:val="15"/>
                <w:color w:val="auto"/>
                <w:w w:val="93"/>
              </w:rPr>
              <w:t>¼</w:t>
            </w:r>
            <w:r>
              <w:rPr>
                <w:rFonts w:ascii="Times New Roman" w:cs="Times New Roman" w:eastAsia="Times New Roman" w:hAnsi="Times New Roman"/>
                <w:sz w:val="15"/>
                <w:szCs w:val="15"/>
                <w:color w:val="auto"/>
                <w:w w:val="93"/>
              </w:rPr>
              <w:t xml:space="preserve"> 84)</w:t>
            </w:r>
          </w:p>
        </w:tc>
        <w:tc>
          <w:tcPr>
            <w:tcW w:w="80" w:type="dxa"/>
            <w:vAlign w:val="bottom"/>
            <w:tcBorders>
              <w:bottom w:val="single" w:sz="8" w:color="auto"/>
            </w:tcBorders>
          </w:tcPr>
          <w:p>
            <w:pPr>
              <w:spacing w:after="0"/>
              <w:rPr>
                <w:sz w:val="20"/>
                <w:szCs w:val="20"/>
                <w:color w:val="auto"/>
              </w:rPr>
            </w:pPr>
          </w:p>
        </w:tc>
        <w:tc>
          <w:tcPr>
            <w:tcW w:w="2540" w:type="dxa"/>
            <w:vAlign w:val="bottom"/>
            <w:tcBorders>
              <w:bottom w:val="single" w:sz="8" w:color="auto"/>
            </w:tcBorders>
            <w:gridSpan w:val="5"/>
          </w:tcPr>
          <w:p>
            <w:pPr>
              <w:spacing w:after="0"/>
              <w:rPr>
                <w:sz w:val="20"/>
                <w:szCs w:val="20"/>
                <w:color w:val="auto"/>
              </w:rPr>
            </w:pPr>
            <w:r>
              <w:rPr>
                <w:rFonts w:ascii="Times New Roman" w:cs="Times New Roman" w:eastAsia="Times New Roman" w:hAnsi="Times New Roman"/>
                <w:sz w:val="15"/>
                <w:szCs w:val="15"/>
                <w:color w:val="auto"/>
              </w:rPr>
              <w:t>(</w:t>
            </w:r>
            <w:r>
              <w:rPr>
                <w:rFonts w:ascii="Arial" w:cs="Arial" w:eastAsia="Arial" w:hAnsi="Arial"/>
                <w:sz w:val="15"/>
                <w:szCs w:val="15"/>
                <w:color w:val="auto"/>
              </w:rPr>
              <w:t>N</w:t>
            </w:r>
            <w:r>
              <w:rPr>
                <w:rFonts w:ascii="Times New Roman" w:cs="Times New Roman" w:eastAsia="Times New Roman" w:hAnsi="Times New Roman"/>
                <w:sz w:val="15"/>
                <w:szCs w:val="15"/>
                <w:color w:val="auto"/>
              </w:rPr>
              <w:t xml:space="preserve"> </w:t>
            </w:r>
            <w:r>
              <w:rPr>
                <w:rFonts w:ascii="Arial" w:cs="Arial" w:eastAsia="Arial" w:hAnsi="Arial"/>
                <w:sz w:val="15"/>
                <w:szCs w:val="15"/>
                <w:color w:val="auto"/>
              </w:rPr>
              <w:t>¼</w:t>
            </w:r>
            <w:r>
              <w:rPr>
                <w:rFonts w:ascii="Times New Roman" w:cs="Times New Roman" w:eastAsia="Times New Roman" w:hAnsi="Times New Roman"/>
                <w:sz w:val="15"/>
                <w:szCs w:val="15"/>
                <w:color w:val="auto"/>
              </w:rPr>
              <w:t xml:space="preserve"> 134) (</w:t>
            </w:r>
            <w:r>
              <w:rPr>
                <w:rFonts w:ascii="Arial" w:cs="Arial" w:eastAsia="Arial" w:hAnsi="Arial"/>
                <w:sz w:val="15"/>
                <w:szCs w:val="15"/>
                <w:color w:val="auto"/>
              </w:rPr>
              <w:t>N</w:t>
            </w:r>
            <w:r>
              <w:rPr>
                <w:rFonts w:ascii="Times New Roman" w:cs="Times New Roman" w:eastAsia="Times New Roman" w:hAnsi="Times New Roman"/>
                <w:sz w:val="15"/>
                <w:szCs w:val="15"/>
                <w:color w:val="auto"/>
              </w:rPr>
              <w:t xml:space="preserve"> </w:t>
            </w:r>
            <w:r>
              <w:rPr>
                <w:rFonts w:ascii="Arial" w:cs="Arial" w:eastAsia="Arial" w:hAnsi="Arial"/>
                <w:sz w:val="15"/>
                <w:szCs w:val="15"/>
                <w:color w:val="auto"/>
              </w:rPr>
              <w:t>¼</w:t>
            </w:r>
            <w:r>
              <w:rPr>
                <w:rFonts w:ascii="Times New Roman" w:cs="Times New Roman" w:eastAsia="Times New Roman" w:hAnsi="Times New Roman"/>
                <w:sz w:val="15"/>
                <w:szCs w:val="15"/>
                <w:color w:val="auto"/>
              </w:rPr>
              <w:t xml:space="preserve"> 62) (</w:t>
            </w:r>
            <w:r>
              <w:rPr>
                <w:rFonts w:ascii="Arial" w:cs="Arial" w:eastAsia="Arial" w:hAnsi="Arial"/>
                <w:sz w:val="15"/>
                <w:szCs w:val="15"/>
                <w:color w:val="auto"/>
              </w:rPr>
              <w:t>N</w:t>
            </w:r>
            <w:r>
              <w:rPr>
                <w:rFonts w:ascii="Times New Roman" w:cs="Times New Roman" w:eastAsia="Times New Roman" w:hAnsi="Times New Roman"/>
                <w:sz w:val="15"/>
                <w:szCs w:val="15"/>
                <w:color w:val="auto"/>
              </w:rPr>
              <w:t xml:space="preserve"> </w:t>
            </w:r>
            <w:r>
              <w:rPr>
                <w:rFonts w:ascii="Arial" w:cs="Arial" w:eastAsia="Arial" w:hAnsi="Arial"/>
                <w:sz w:val="15"/>
                <w:szCs w:val="15"/>
                <w:color w:val="auto"/>
              </w:rPr>
              <w:t>¼</w:t>
            </w:r>
            <w:r>
              <w:rPr>
                <w:rFonts w:ascii="Times New Roman" w:cs="Times New Roman" w:eastAsia="Times New Roman" w:hAnsi="Times New Roman"/>
                <w:sz w:val="15"/>
                <w:szCs w:val="15"/>
                <w:color w:val="auto"/>
              </w:rPr>
              <w:t xml:space="preserve"> 25) (</w:t>
            </w:r>
            <w:r>
              <w:rPr>
                <w:rFonts w:ascii="Arial" w:cs="Arial" w:eastAsia="Arial" w:hAnsi="Arial"/>
                <w:sz w:val="15"/>
                <w:szCs w:val="15"/>
                <w:color w:val="auto"/>
              </w:rPr>
              <w:t>N</w:t>
            </w:r>
            <w:r>
              <w:rPr>
                <w:rFonts w:ascii="Times New Roman" w:cs="Times New Roman" w:eastAsia="Times New Roman" w:hAnsi="Times New Roman"/>
                <w:sz w:val="15"/>
                <w:szCs w:val="15"/>
                <w:color w:val="auto"/>
              </w:rPr>
              <w:t xml:space="preserve"> </w:t>
            </w:r>
            <w:r>
              <w:rPr>
                <w:rFonts w:ascii="Arial" w:cs="Arial" w:eastAsia="Arial" w:hAnsi="Arial"/>
                <w:sz w:val="15"/>
                <w:szCs w:val="15"/>
                <w:color w:val="auto"/>
              </w:rPr>
              <w:t>¼</w:t>
            </w:r>
            <w:r>
              <w:rPr>
                <w:rFonts w:ascii="Times New Roman" w:cs="Times New Roman" w:eastAsia="Times New Roman" w:hAnsi="Times New Roman"/>
                <w:sz w:val="15"/>
                <w:szCs w:val="15"/>
                <w:color w:val="auto"/>
              </w:rPr>
              <w:t xml:space="preserve"> 22)</w:t>
            </w:r>
          </w:p>
        </w:tc>
        <w:tc>
          <w:tcPr>
            <w:tcW w:w="0" w:type="dxa"/>
            <w:vAlign w:val="bottom"/>
          </w:tcPr>
          <w:p>
            <w:pPr>
              <w:spacing w:after="0"/>
              <w:rPr>
                <w:sz w:val="1"/>
                <w:szCs w:val="1"/>
                <w:color w:val="auto"/>
              </w:rPr>
            </w:pPr>
          </w:p>
        </w:tc>
      </w:tr>
      <w:tr>
        <w:trPr>
          <w:trHeight w:val="204"/>
        </w:trPr>
        <w:tc>
          <w:tcPr>
            <w:tcW w:w="1800" w:type="dxa"/>
            <w:vAlign w:val="bottom"/>
          </w:tcPr>
          <w:p>
            <w:pPr>
              <w:spacing w:after="0"/>
              <w:rPr>
                <w:sz w:val="20"/>
                <w:szCs w:val="20"/>
                <w:color w:val="auto"/>
              </w:rPr>
            </w:pPr>
            <w:r>
              <w:rPr>
                <w:rFonts w:ascii="Times New Roman" w:cs="Times New Roman" w:eastAsia="Times New Roman" w:hAnsi="Times New Roman"/>
                <w:sz w:val="15"/>
                <w:szCs w:val="15"/>
                <w:color w:val="auto"/>
              </w:rPr>
              <w:t>Female</w:t>
            </w:r>
          </w:p>
        </w:tc>
        <w:tc>
          <w:tcPr>
            <w:tcW w:w="800" w:type="dxa"/>
            <w:vAlign w:val="bottom"/>
          </w:tcPr>
          <w:p>
            <w:pPr>
              <w:jc w:val="center"/>
              <w:spacing w:after="0"/>
              <w:rPr>
                <w:sz w:val="20"/>
                <w:szCs w:val="20"/>
                <w:color w:val="auto"/>
              </w:rPr>
            </w:pPr>
            <w:r>
              <w:rPr>
                <w:rFonts w:ascii="Times New Roman" w:cs="Times New Roman" w:eastAsia="Times New Roman" w:hAnsi="Times New Roman"/>
                <w:sz w:val="15"/>
                <w:szCs w:val="15"/>
                <w:color w:val="auto"/>
                <w:w w:val="98"/>
              </w:rPr>
              <w:t>0.80</w:t>
            </w:r>
          </w:p>
        </w:tc>
        <w:tc>
          <w:tcPr>
            <w:tcW w:w="660" w:type="dxa"/>
            <w:vAlign w:val="bottom"/>
          </w:tcPr>
          <w:p>
            <w:pPr>
              <w:jc w:val="center"/>
              <w:spacing w:after="0"/>
              <w:rPr>
                <w:sz w:val="20"/>
                <w:szCs w:val="20"/>
                <w:color w:val="auto"/>
              </w:rPr>
            </w:pPr>
            <w:r>
              <w:rPr>
                <w:rFonts w:ascii="Times New Roman" w:cs="Times New Roman" w:eastAsia="Times New Roman" w:hAnsi="Times New Roman"/>
                <w:sz w:val="15"/>
                <w:szCs w:val="15"/>
                <w:color w:val="auto"/>
                <w:w w:val="98"/>
              </w:rPr>
              <w:t>0.83</w:t>
            </w:r>
          </w:p>
        </w:tc>
        <w:tc>
          <w:tcPr>
            <w:tcW w:w="580" w:type="dxa"/>
            <w:vAlign w:val="bottom"/>
          </w:tcPr>
          <w:p>
            <w:pPr>
              <w:ind w:left="120"/>
              <w:spacing w:after="0"/>
              <w:rPr>
                <w:sz w:val="20"/>
                <w:szCs w:val="20"/>
                <w:color w:val="auto"/>
              </w:rPr>
            </w:pPr>
            <w:r>
              <w:rPr>
                <w:rFonts w:ascii="Times New Roman" w:cs="Times New Roman" w:eastAsia="Times New Roman" w:hAnsi="Times New Roman"/>
                <w:sz w:val="15"/>
                <w:szCs w:val="15"/>
                <w:color w:val="auto"/>
              </w:rPr>
              <w:t>0.74*</w:t>
            </w:r>
          </w:p>
        </w:tc>
        <w:tc>
          <w:tcPr>
            <w:tcW w:w="700" w:type="dxa"/>
            <w:vAlign w:val="bottom"/>
            <w:gridSpan w:val="2"/>
          </w:tcPr>
          <w:p>
            <w:pPr>
              <w:jc w:val="center"/>
              <w:ind w:left="5"/>
              <w:spacing w:after="0"/>
              <w:rPr>
                <w:sz w:val="20"/>
                <w:szCs w:val="20"/>
                <w:color w:val="auto"/>
              </w:rPr>
            </w:pPr>
            <w:r>
              <w:rPr>
                <w:rFonts w:ascii="Times New Roman" w:cs="Times New Roman" w:eastAsia="Times New Roman" w:hAnsi="Times New Roman"/>
                <w:sz w:val="15"/>
                <w:szCs w:val="15"/>
                <w:color w:val="auto"/>
                <w:w w:val="98"/>
              </w:rPr>
              <w:t>0.84</w:t>
            </w:r>
          </w:p>
        </w:tc>
        <w:tc>
          <w:tcPr>
            <w:tcW w:w="660" w:type="dxa"/>
            <w:vAlign w:val="bottom"/>
          </w:tcPr>
          <w:p>
            <w:pPr>
              <w:ind w:left="160"/>
              <w:spacing w:after="0"/>
              <w:rPr>
                <w:sz w:val="20"/>
                <w:szCs w:val="20"/>
                <w:color w:val="auto"/>
              </w:rPr>
            </w:pPr>
            <w:r>
              <w:rPr>
                <w:rFonts w:ascii="Times New Roman" w:cs="Times New Roman" w:eastAsia="Times New Roman" w:hAnsi="Times New Roman"/>
                <w:sz w:val="15"/>
                <w:szCs w:val="15"/>
                <w:color w:val="auto"/>
              </w:rPr>
              <w:t>0.74*</w:t>
            </w:r>
          </w:p>
        </w:tc>
        <w:tc>
          <w:tcPr>
            <w:tcW w:w="620" w:type="dxa"/>
            <w:vAlign w:val="bottom"/>
            <w:gridSpan w:val="2"/>
          </w:tcPr>
          <w:p>
            <w:pPr>
              <w:jc w:val="center"/>
              <w:ind w:left="5"/>
              <w:spacing w:after="0"/>
              <w:rPr>
                <w:sz w:val="20"/>
                <w:szCs w:val="20"/>
                <w:color w:val="auto"/>
              </w:rPr>
            </w:pPr>
            <w:r>
              <w:rPr>
                <w:rFonts w:ascii="Times New Roman" w:cs="Times New Roman" w:eastAsia="Times New Roman" w:hAnsi="Times New Roman"/>
                <w:sz w:val="15"/>
                <w:szCs w:val="15"/>
                <w:color w:val="auto"/>
                <w:w w:val="98"/>
              </w:rPr>
              <w:t>0.76</w:t>
            </w:r>
          </w:p>
        </w:tc>
        <w:tc>
          <w:tcPr>
            <w:tcW w:w="640" w:type="dxa"/>
            <w:vAlign w:val="bottom"/>
          </w:tcPr>
          <w:p>
            <w:pPr>
              <w:ind w:left="160"/>
              <w:spacing w:after="0"/>
              <w:rPr>
                <w:sz w:val="20"/>
                <w:szCs w:val="20"/>
                <w:color w:val="auto"/>
              </w:rPr>
            </w:pPr>
            <w:r>
              <w:rPr>
                <w:rFonts w:ascii="Times New Roman" w:cs="Times New Roman" w:eastAsia="Times New Roman" w:hAnsi="Times New Roman"/>
                <w:sz w:val="15"/>
                <w:szCs w:val="15"/>
                <w:color w:val="auto"/>
              </w:rPr>
              <w:t>0.73</w:t>
            </w:r>
          </w:p>
        </w:tc>
        <w:tc>
          <w:tcPr>
            <w:tcW w:w="0" w:type="dxa"/>
            <w:vAlign w:val="bottom"/>
          </w:tcPr>
          <w:p>
            <w:pPr>
              <w:spacing w:after="0"/>
              <w:rPr>
                <w:sz w:val="1"/>
                <w:szCs w:val="1"/>
                <w:color w:val="auto"/>
              </w:rPr>
            </w:pPr>
          </w:p>
        </w:tc>
      </w:tr>
      <w:tr>
        <w:trPr>
          <w:trHeight w:val="189"/>
        </w:trPr>
        <w:tc>
          <w:tcPr>
            <w:tcW w:w="1800" w:type="dxa"/>
            <w:vAlign w:val="bottom"/>
          </w:tcPr>
          <w:p>
            <w:pPr>
              <w:spacing w:after="0"/>
              <w:rPr>
                <w:sz w:val="20"/>
                <w:szCs w:val="20"/>
                <w:color w:val="auto"/>
              </w:rPr>
            </w:pPr>
            <w:r>
              <w:rPr>
                <w:rFonts w:ascii="Times New Roman" w:cs="Times New Roman" w:eastAsia="Times New Roman" w:hAnsi="Times New Roman"/>
                <w:sz w:val="15"/>
                <w:szCs w:val="15"/>
                <w:color w:val="auto"/>
              </w:rPr>
              <w:t>Hispanic</w:t>
            </w:r>
          </w:p>
        </w:tc>
        <w:tc>
          <w:tcPr>
            <w:tcW w:w="800" w:type="dxa"/>
            <w:vAlign w:val="bottom"/>
          </w:tcPr>
          <w:p>
            <w:pPr>
              <w:jc w:val="center"/>
              <w:spacing w:after="0"/>
              <w:rPr>
                <w:sz w:val="20"/>
                <w:szCs w:val="20"/>
                <w:color w:val="auto"/>
              </w:rPr>
            </w:pPr>
            <w:r>
              <w:rPr>
                <w:rFonts w:ascii="Times New Roman" w:cs="Times New Roman" w:eastAsia="Times New Roman" w:hAnsi="Times New Roman"/>
                <w:sz w:val="15"/>
                <w:szCs w:val="15"/>
                <w:color w:val="auto"/>
                <w:w w:val="98"/>
              </w:rPr>
              <w:t>0.12</w:t>
            </w:r>
          </w:p>
        </w:tc>
        <w:tc>
          <w:tcPr>
            <w:tcW w:w="660" w:type="dxa"/>
            <w:vAlign w:val="bottom"/>
          </w:tcPr>
          <w:p>
            <w:pPr>
              <w:jc w:val="center"/>
              <w:spacing w:after="0"/>
              <w:rPr>
                <w:sz w:val="20"/>
                <w:szCs w:val="20"/>
                <w:color w:val="auto"/>
              </w:rPr>
            </w:pPr>
            <w:r>
              <w:rPr>
                <w:rFonts w:ascii="Times New Roman" w:cs="Times New Roman" w:eastAsia="Times New Roman" w:hAnsi="Times New Roman"/>
                <w:sz w:val="15"/>
                <w:szCs w:val="15"/>
                <w:color w:val="auto"/>
                <w:w w:val="98"/>
              </w:rPr>
              <w:t>0.11</w:t>
            </w:r>
          </w:p>
        </w:tc>
        <w:tc>
          <w:tcPr>
            <w:tcW w:w="580" w:type="dxa"/>
            <w:vAlign w:val="bottom"/>
          </w:tcPr>
          <w:p>
            <w:pPr>
              <w:ind w:left="120"/>
              <w:spacing w:after="0"/>
              <w:rPr>
                <w:sz w:val="20"/>
                <w:szCs w:val="20"/>
                <w:color w:val="auto"/>
              </w:rPr>
            </w:pPr>
            <w:r>
              <w:rPr>
                <w:rFonts w:ascii="Times New Roman" w:cs="Times New Roman" w:eastAsia="Times New Roman" w:hAnsi="Times New Roman"/>
                <w:sz w:val="15"/>
                <w:szCs w:val="15"/>
                <w:color w:val="auto"/>
              </w:rPr>
              <w:t>0.15</w:t>
            </w:r>
          </w:p>
        </w:tc>
        <w:tc>
          <w:tcPr>
            <w:tcW w:w="700" w:type="dxa"/>
            <w:vAlign w:val="bottom"/>
            <w:gridSpan w:val="2"/>
          </w:tcPr>
          <w:p>
            <w:pPr>
              <w:jc w:val="center"/>
              <w:ind w:left="5"/>
              <w:spacing w:after="0"/>
              <w:rPr>
                <w:sz w:val="20"/>
                <w:szCs w:val="20"/>
                <w:color w:val="auto"/>
              </w:rPr>
            </w:pPr>
            <w:r>
              <w:rPr>
                <w:rFonts w:ascii="Times New Roman" w:cs="Times New Roman" w:eastAsia="Times New Roman" w:hAnsi="Times New Roman"/>
                <w:sz w:val="15"/>
                <w:szCs w:val="15"/>
                <w:color w:val="auto"/>
                <w:w w:val="98"/>
              </w:rPr>
              <w:t>0.10</w:t>
            </w:r>
          </w:p>
        </w:tc>
        <w:tc>
          <w:tcPr>
            <w:tcW w:w="660" w:type="dxa"/>
            <w:vAlign w:val="bottom"/>
          </w:tcPr>
          <w:p>
            <w:pPr>
              <w:ind w:left="160"/>
              <w:spacing w:after="0"/>
              <w:rPr>
                <w:sz w:val="20"/>
                <w:szCs w:val="20"/>
                <w:color w:val="auto"/>
              </w:rPr>
            </w:pPr>
            <w:r>
              <w:rPr>
                <w:rFonts w:ascii="Times New Roman" w:cs="Times New Roman" w:eastAsia="Times New Roman" w:hAnsi="Times New Roman"/>
                <w:sz w:val="15"/>
                <w:szCs w:val="15"/>
                <w:color w:val="auto"/>
              </w:rPr>
              <w:t>0.13</w:t>
            </w:r>
          </w:p>
        </w:tc>
        <w:tc>
          <w:tcPr>
            <w:tcW w:w="620" w:type="dxa"/>
            <w:vAlign w:val="bottom"/>
            <w:gridSpan w:val="2"/>
          </w:tcPr>
          <w:p>
            <w:pPr>
              <w:jc w:val="center"/>
              <w:ind w:left="5"/>
              <w:spacing w:after="0"/>
              <w:rPr>
                <w:sz w:val="20"/>
                <w:szCs w:val="20"/>
                <w:color w:val="auto"/>
              </w:rPr>
            </w:pPr>
            <w:r>
              <w:rPr>
                <w:rFonts w:ascii="Times New Roman" w:cs="Times New Roman" w:eastAsia="Times New Roman" w:hAnsi="Times New Roman"/>
                <w:sz w:val="15"/>
                <w:szCs w:val="15"/>
                <w:color w:val="auto"/>
                <w:w w:val="98"/>
              </w:rPr>
              <w:t>0.16</w:t>
            </w:r>
          </w:p>
        </w:tc>
        <w:tc>
          <w:tcPr>
            <w:tcW w:w="640" w:type="dxa"/>
            <w:vAlign w:val="bottom"/>
          </w:tcPr>
          <w:p>
            <w:pPr>
              <w:ind w:left="160"/>
              <w:spacing w:after="0"/>
              <w:rPr>
                <w:sz w:val="20"/>
                <w:szCs w:val="20"/>
                <w:color w:val="auto"/>
              </w:rPr>
            </w:pPr>
            <w:r>
              <w:rPr>
                <w:rFonts w:ascii="Times New Roman" w:cs="Times New Roman" w:eastAsia="Times New Roman" w:hAnsi="Times New Roman"/>
                <w:sz w:val="15"/>
                <w:szCs w:val="15"/>
                <w:color w:val="auto"/>
              </w:rPr>
              <w:t>0.18</w:t>
            </w:r>
          </w:p>
        </w:tc>
        <w:tc>
          <w:tcPr>
            <w:tcW w:w="0" w:type="dxa"/>
            <w:vAlign w:val="bottom"/>
          </w:tcPr>
          <w:p>
            <w:pPr>
              <w:spacing w:after="0"/>
              <w:rPr>
                <w:sz w:val="1"/>
                <w:szCs w:val="1"/>
                <w:color w:val="auto"/>
              </w:rPr>
            </w:pPr>
          </w:p>
        </w:tc>
      </w:tr>
      <w:tr>
        <w:trPr>
          <w:trHeight w:val="189"/>
        </w:trPr>
        <w:tc>
          <w:tcPr>
            <w:tcW w:w="1800" w:type="dxa"/>
            <w:vAlign w:val="bottom"/>
          </w:tcPr>
          <w:p>
            <w:pPr>
              <w:spacing w:after="0"/>
              <w:rPr>
                <w:sz w:val="20"/>
                <w:szCs w:val="20"/>
                <w:color w:val="auto"/>
              </w:rPr>
            </w:pPr>
            <w:r>
              <w:rPr>
                <w:rFonts w:ascii="Times New Roman" w:cs="Times New Roman" w:eastAsia="Times New Roman" w:hAnsi="Times New Roman"/>
                <w:sz w:val="15"/>
                <w:szCs w:val="15"/>
                <w:color w:val="auto"/>
              </w:rPr>
              <w:t>Non-Hispanic white</w:t>
            </w:r>
          </w:p>
        </w:tc>
        <w:tc>
          <w:tcPr>
            <w:tcW w:w="800" w:type="dxa"/>
            <w:vAlign w:val="bottom"/>
          </w:tcPr>
          <w:p>
            <w:pPr>
              <w:jc w:val="center"/>
              <w:spacing w:after="0"/>
              <w:rPr>
                <w:sz w:val="20"/>
                <w:szCs w:val="20"/>
                <w:color w:val="auto"/>
              </w:rPr>
            </w:pPr>
            <w:r>
              <w:rPr>
                <w:rFonts w:ascii="Times New Roman" w:cs="Times New Roman" w:eastAsia="Times New Roman" w:hAnsi="Times New Roman"/>
                <w:sz w:val="15"/>
                <w:szCs w:val="15"/>
                <w:color w:val="auto"/>
                <w:w w:val="98"/>
              </w:rPr>
              <w:t>0.02</w:t>
            </w:r>
          </w:p>
        </w:tc>
        <w:tc>
          <w:tcPr>
            <w:tcW w:w="660" w:type="dxa"/>
            <w:vAlign w:val="bottom"/>
          </w:tcPr>
          <w:p>
            <w:pPr>
              <w:jc w:val="center"/>
              <w:spacing w:after="0"/>
              <w:rPr>
                <w:sz w:val="20"/>
                <w:szCs w:val="20"/>
                <w:color w:val="auto"/>
              </w:rPr>
            </w:pPr>
            <w:r>
              <w:rPr>
                <w:rFonts w:ascii="Times New Roman" w:cs="Times New Roman" w:eastAsia="Times New Roman" w:hAnsi="Times New Roman"/>
                <w:sz w:val="15"/>
                <w:szCs w:val="15"/>
                <w:color w:val="auto"/>
                <w:w w:val="98"/>
              </w:rPr>
              <w:t>0.03</w:t>
            </w:r>
          </w:p>
        </w:tc>
        <w:tc>
          <w:tcPr>
            <w:tcW w:w="580" w:type="dxa"/>
            <w:vAlign w:val="bottom"/>
          </w:tcPr>
          <w:p>
            <w:pPr>
              <w:ind w:left="120"/>
              <w:spacing w:after="0"/>
              <w:rPr>
                <w:sz w:val="20"/>
                <w:szCs w:val="20"/>
                <w:color w:val="auto"/>
              </w:rPr>
            </w:pPr>
            <w:r>
              <w:rPr>
                <w:rFonts w:ascii="Times New Roman" w:cs="Times New Roman" w:eastAsia="Times New Roman" w:hAnsi="Times New Roman"/>
                <w:sz w:val="15"/>
                <w:szCs w:val="15"/>
                <w:color w:val="auto"/>
              </w:rPr>
              <w:t>0.01</w:t>
            </w:r>
          </w:p>
        </w:tc>
        <w:tc>
          <w:tcPr>
            <w:tcW w:w="700" w:type="dxa"/>
            <w:vAlign w:val="bottom"/>
            <w:gridSpan w:val="2"/>
          </w:tcPr>
          <w:p>
            <w:pPr>
              <w:jc w:val="center"/>
              <w:ind w:left="5"/>
              <w:spacing w:after="0"/>
              <w:rPr>
                <w:sz w:val="20"/>
                <w:szCs w:val="20"/>
                <w:color w:val="auto"/>
              </w:rPr>
            </w:pPr>
            <w:r>
              <w:rPr>
                <w:rFonts w:ascii="Times New Roman" w:cs="Times New Roman" w:eastAsia="Times New Roman" w:hAnsi="Times New Roman"/>
                <w:sz w:val="15"/>
                <w:szCs w:val="15"/>
                <w:color w:val="auto"/>
                <w:w w:val="98"/>
              </w:rPr>
              <w:t>0.03</w:t>
            </w:r>
          </w:p>
        </w:tc>
        <w:tc>
          <w:tcPr>
            <w:tcW w:w="660" w:type="dxa"/>
            <w:vAlign w:val="bottom"/>
          </w:tcPr>
          <w:p>
            <w:pPr>
              <w:ind w:left="160"/>
              <w:spacing w:after="0"/>
              <w:rPr>
                <w:sz w:val="20"/>
                <w:szCs w:val="20"/>
                <w:color w:val="auto"/>
              </w:rPr>
            </w:pPr>
            <w:r>
              <w:rPr>
                <w:rFonts w:ascii="Times New Roman" w:cs="Times New Roman" w:eastAsia="Times New Roman" w:hAnsi="Times New Roman"/>
                <w:sz w:val="15"/>
                <w:szCs w:val="15"/>
                <w:color w:val="auto"/>
              </w:rPr>
              <w:t>0.00</w:t>
            </w:r>
          </w:p>
        </w:tc>
        <w:tc>
          <w:tcPr>
            <w:tcW w:w="620" w:type="dxa"/>
            <w:vAlign w:val="bottom"/>
            <w:gridSpan w:val="2"/>
          </w:tcPr>
          <w:p>
            <w:pPr>
              <w:jc w:val="center"/>
              <w:ind w:left="5"/>
              <w:spacing w:after="0"/>
              <w:rPr>
                <w:sz w:val="20"/>
                <w:szCs w:val="20"/>
                <w:color w:val="auto"/>
              </w:rPr>
            </w:pPr>
            <w:r>
              <w:rPr>
                <w:rFonts w:ascii="Times New Roman" w:cs="Times New Roman" w:eastAsia="Times New Roman" w:hAnsi="Times New Roman"/>
                <w:sz w:val="15"/>
                <w:szCs w:val="15"/>
                <w:color w:val="auto"/>
                <w:w w:val="98"/>
              </w:rPr>
              <w:t>0.00</w:t>
            </w:r>
          </w:p>
        </w:tc>
        <w:tc>
          <w:tcPr>
            <w:tcW w:w="640" w:type="dxa"/>
            <w:vAlign w:val="bottom"/>
          </w:tcPr>
          <w:p>
            <w:pPr>
              <w:ind w:left="160"/>
              <w:spacing w:after="0"/>
              <w:rPr>
                <w:sz w:val="20"/>
                <w:szCs w:val="20"/>
                <w:color w:val="auto"/>
              </w:rPr>
            </w:pPr>
            <w:r>
              <w:rPr>
                <w:rFonts w:ascii="Times New Roman" w:cs="Times New Roman" w:eastAsia="Times New Roman" w:hAnsi="Times New Roman"/>
                <w:sz w:val="15"/>
                <w:szCs w:val="15"/>
                <w:color w:val="auto"/>
              </w:rPr>
              <w:t>0.05</w:t>
            </w:r>
          </w:p>
        </w:tc>
        <w:tc>
          <w:tcPr>
            <w:tcW w:w="0" w:type="dxa"/>
            <w:vAlign w:val="bottom"/>
          </w:tcPr>
          <w:p>
            <w:pPr>
              <w:spacing w:after="0"/>
              <w:rPr>
                <w:sz w:val="1"/>
                <w:szCs w:val="1"/>
                <w:color w:val="auto"/>
              </w:rPr>
            </w:pPr>
          </w:p>
        </w:tc>
      </w:tr>
      <w:tr>
        <w:trPr>
          <w:trHeight w:val="189"/>
        </w:trPr>
        <w:tc>
          <w:tcPr>
            <w:tcW w:w="1800" w:type="dxa"/>
            <w:vAlign w:val="bottom"/>
          </w:tcPr>
          <w:p>
            <w:pPr>
              <w:spacing w:after="0"/>
              <w:rPr>
                <w:sz w:val="20"/>
                <w:szCs w:val="20"/>
                <w:color w:val="auto"/>
              </w:rPr>
            </w:pPr>
            <w:r>
              <w:rPr>
                <w:rFonts w:ascii="Times New Roman" w:cs="Times New Roman" w:eastAsia="Times New Roman" w:hAnsi="Times New Roman"/>
                <w:sz w:val="15"/>
                <w:szCs w:val="15"/>
                <w:color w:val="auto"/>
              </w:rPr>
              <w:t>Non-Hispanic black</w:t>
            </w:r>
          </w:p>
        </w:tc>
        <w:tc>
          <w:tcPr>
            <w:tcW w:w="800" w:type="dxa"/>
            <w:vAlign w:val="bottom"/>
          </w:tcPr>
          <w:p>
            <w:pPr>
              <w:jc w:val="center"/>
              <w:spacing w:after="0"/>
              <w:rPr>
                <w:sz w:val="20"/>
                <w:szCs w:val="20"/>
                <w:color w:val="auto"/>
              </w:rPr>
            </w:pPr>
            <w:r>
              <w:rPr>
                <w:rFonts w:ascii="Times New Roman" w:cs="Times New Roman" w:eastAsia="Times New Roman" w:hAnsi="Times New Roman"/>
                <w:sz w:val="15"/>
                <w:szCs w:val="15"/>
                <w:color w:val="auto"/>
                <w:w w:val="98"/>
              </w:rPr>
              <w:t>0.70</w:t>
            </w:r>
          </w:p>
        </w:tc>
        <w:tc>
          <w:tcPr>
            <w:tcW w:w="660" w:type="dxa"/>
            <w:vAlign w:val="bottom"/>
          </w:tcPr>
          <w:p>
            <w:pPr>
              <w:jc w:val="center"/>
              <w:spacing w:after="0"/>
              <w:rPr>
                <w:sz w:val="20"/>
                <w:szCs w:val="20"/>
                <w:color w:val="auto"/>
              </w:rPr>
            </w:pPr>
            <w:r>
              <w:rPr>
                <w:rFonts w:ascii="Times New Roman" w:cs="Times New Roman" w:eastAsia="Times New Roman" w:hAnsi="Times New Roman"/>
                <w:sz w:val="15"/>
                <w:szCs w:val="15"/>
                <w:color w:val="auto"/>
                <w:w w:val="98"/>
              </w:rPr>
              <w:t>0.68</w:t>
            </w:r>
          </w:p>
        </w:tc>
        <w:tc>
          <w:tcPr>
            <w:tcW w:w="580" w:type="dxa"/>
            <w:vAlign w:val="bottom"/>
          </w:tcPr>
          <w:p>
            <w:pPr>
              <w:ind w:left="120"/>
              <w:spacing w:after="0"/>
              <w:rPr>
                <w:sz w:val="20"/>
                <w:szCs w:val="20"/>
                <w:color w:val="auto"/>
              </w:rPr>
            </w:pPr>
            <w:r>
              <w:rPr>
                <w:rFonts w:ascii="Times New Roman" w:cs="Times New Roman" w:eastAsia="Times New Roman" w:hAnsi="Times New Roman"/>
                <w:sz w:val="15"/>
                <w:szCs w:val="15"/>
                <w:color w:val="auto"/>
              </w:rPr>
              <w:t>0.74</w:t>
            </w:r>
          </w:p>
        </w:tc>
        <w:tc>
          <w:tcPr>
            <w:tcW w:w="700" w:type="dxa"/>
            <w:vAlign w:val="bottom"/>
            <w:gridSpan w:val="2"/>
          </w:tcPr>
          <w:p>
            <w:pPr>
              <w:jc w:val="center"/>
              <w:ind w:left="5"/>
              <w:spacing w:after="0"/>
              <w:rPr>
                <w:sz w:val="20"/>
                <w:szCs w:val="20"/>
                <w:color w:val="auto"/>
              </w:rPr>
            </w:pPr>
            <w:r>
              <w:rPr>
                <w:rFonts w:ascii="Times New Roman" w:cs="Times New Roman" w:eastAsia="Times New Roman" w:hAnsi="Times New Roman"/>
                <w:sz w:val="15"/>
                <w:szCs w:val="15"/>
                <w:color w:val="auto"/>
                <w:w w:val="98"/>
              </w:rPr>
              <w:t>0.68</w:t>
            </w:r>
          </w:p>
        </w:tc>
        <w:tc>
          <w:tcPr>
            <w:tcW w:w="660" w:type="dxa"/>
            <w:vAlign w:val="bottom"/>
          </w:tcPr>
          <w:p>
            <w:pPr>
              <w:ind w:left="160"/>
              <w:spacing w:after="0"/>
              <w:rPr>
                <w:sz w:val="20"/>
                <w:szCs w:val="20"/>
                <w:color w:val="auto"/>
              </w:rPr>
            </w:pPr>
            <w:r>
              <w:rPr>
                <w:rFonts w:ascii="Times New Roman" w:cs="Times New Roman" w:eastAsia="Times New Roman" w:hAnsi="Times New Roman"/>
                <w:sz w:val="15"/>
                <w:szCs w:val="15"/>
                <w:color w:val="auto"/>
              </w:rPr>
              <w:t>0.75</w:t>
            </w:r>
          </w:p>
        </w:tc>
        <w:tc>
          <w:tcPr>
            <w:tcW w:w="620" w:type="dxa"/>
            <w:vAlign w:val="bottom"/>
            <w:gridSpan w:val="2"/>
          </w:tcPr>
          <w:p>
            <w:pPr>
              <w:jc w:val="center"/>
              <w:ind w:left="5"/>
              <w:spacing w:after="0"/>
              <w:rPr>
                <w:sz w:val="20"/>
                <w:szCs w:val="20"/>
                <w:color w:val="auto"/>
              </w:rPr>
            </w:pPr>
            <w:r>
              <w:rPr>
                <w:rFonts w:ascii="Times New Roman" w:cs="Times New Roman" w:eastAsia="Times New Roman" w:hAnsi="Times New Roman"/>
                <w:sz w:val="15"/>
                <w:szCs w:val="15"/>
                <w:color w:val="auto"/>
                <w:w w:val="98"/>
              </w:rPr>
              <w:t>0.68</w:t>
            </w:r>
          </w:p>
        </w:tc>
        <w:tc>
          <w:tcPr>
            <w:tcW w:w="640" w:type="dxa"/>
            <w:vAlign w:val="bottom"/>
          </w:tcPr>
          <w:p>
            <w:pPr>
              <w:ind w:left="160"/>
              <w:spacing w:after="0"/>
              <w:rPr>
                <w:sz w:val="20"/>
                <w:szCs w:val="20"/>
                <w:color w:val="auto"/>
              </w:rPr>
            </w:pPr>
            <w:r>
              <w:rPr>
                <w:rFonts w:ascii="Times New Roman" w:cs="Times New Roman" w:eastAsia="Times New Roman" w:hAnsi="Times New Roman"/>
                <w:sz w:val="15"/>
                <w:szCs w:val="15"/>
                <w:color w:val="auto"/>
              </w:rPr>
              <w:t>0.73</w:t>
            </w:r>
          </w:p>
        </w:tc>
        <w:tc>
          <w:tcPr>
            <w:tcW w:w="0" w:type="dxa"/>
            <w:vAlign w:val="bottom"/>
          </w:tcPr>
          <w:p>
            <w:pPr>
              <w:spacing w:after="0"/>
              <w:rPr>
                <w:sz w:val="1"/>
                <w:szCs w:val="1"/>
                <w:color w:val="auto"/>
              </w:rPr>
            </w:pPr>
          </w:p>
        </w:tc>
      </w:tr>
      <w:tr>
        <w:trPr>
          <w:trHeight w:val="189"/>
        </w:trPr>
        <w:tc>
          <w:tcPr>
            <w:tcW w:w="1800" w:type="dxa"/>
            <w:vAlign w:val="bottom"/>
          </w:tcPr>
          <w:p>
            <w:pPr>
              <w:spacing w:after="0"/>
              <w:rPr>
                <w:sz w:val="20"/>
                <w:szCs w:val="20"/>
                <w:color w:val="auto"/>
              </w:rPr>
            </w:pPr>
            <w:r>
              <w:rPr>
                <w:rFonts w:ascii="Times New Roman" w:cs="Times New Roman" w:eastAsia="Times New Roman" w:hAnsi="Times New Roman"/>
                <w:sz w:val="15"/>
                <w:szCs w:val="15"/>
                <w:color w:val="auto"/>
              </w:rPr>
              <w:t>Married</w:t>
            </w:r>
          </w:p>
        </w:tc>
        <w:tc>
          <w:tcPr>
            <w:tcW w:w="800" w:type="dxa"/>
            <w:vAlign w:val="bottom"/>
          </w:tcPr>
          <w:p>
            <w:pPr>
              <w:jc w:val="center"/>
              <w:spacing w:after="0"/>
              <w:rPr>
                <w:sz w:val="20"/>
                <w:szCs w:val="20"/>
                <w:color w:val="auto"/>
              </w:rPr>
            </w:pPr>
            <w:r>
              <w:rPr>
                <w:rFonts w:ascii="Times New Roman" w:cs="Times New Roman" w:eastAsia="Times New Roman" w:hAnsi="Times New Roman"/>
                <w:sz w:val="15"/>
                <w:szCs w:val="15"/>
                <w:color w:val="auto"/>
                <w:w w:val="98"/>
              </w:rPr>
              <w:t>0.20</w:t>
            </w:r>
          </w:p>
        </w:tc>
        <w:tc>
          <w:tcPr>
            <w:tcW w:w="660" w:type="dxa"/>
            <w:vAlign w:val="bottom"/>
          </w:tcPr>
          <w:p>
            <w:pPr>
              <w:jc w:val="center"/>
              <w:spacing w:after="0"/>
              <w:rPr>
                <w:sz w:val="20"/>
                <w:szCs w:val="20"/>
                <w:color w:val="auto"/>
              </w:rPr>
            </w:pPr>
            <w:r>
              <w:rPr>
                <w:rFonts w:ascii="Times New Roman" w:cs="Times New Roman" w:eastAsia="Times New Roman" w:hAnsi="Times New Roman"/>
                <w:sz w:val="15"/>
                <w:szCs w:val="15"/>
                <w:color w:val="auto"/>
                <w:w w:val="98"/>
              </w:rPr>
              <w:t>0.20</w:t>
            </w:r>
          </w:p>
        </w:tc>
        <w:tc>
          <w:tcPr>
            <w:tcW w:w="580" w:type="dxa"/>
            <w:vAlign w:val="bottom"/>
          </w:tcPr>
          <w:p>
            <w:pPr>
              <w:ind w:left="120"/>
              <w:spacing w:after="0"/>
              <w:rPr>
                <w:sz w:val="20"/>
                <w:szCs w:val="20"/>
                <w:color w:val="auto"/>
              </w:rPr>
            </w:pPr>
            <w:r>
              <w:rPr>
                <w:rFonts w:ascii="Times New Roman" w:cs="Times New Roman" w:eastAsia="Times New Roman" w:hAnsi="Times New Roman"/>
                <w:sz w:val="15"/>
                <w:szCs w:val="15"/>
                <w:color w:val="auto"/>
              </w:rPr>
              <w:t>0.20</w:t>
            </w:r>
          </w:p>
        </w:tc>
        <w:tc>
          <w:tcPr>
            <w:tcW w:w="700" w:type="dxa"/>
            <w:vAlign w:val="bottom"/>
            <w:gridSpan w:val="2"/>
          </w:tcPr>
          <w:p>
            <w:pPr>
              <w:jc w:val="center"/>
              <w:ind w:left="5"/>
              <w:spacing w:after="0"/>
              <w:rPr>
                <w:sz w:val="20"/>
                <w:szCs w:val="20"/>
                <w:color w:val="auto"/>
              </w:rPr>
            </w:pPr>
            <w:r>
              <w:rPr>
                <w:rFonts w:ascii="Times New Roman" w:cs="Times New Roman" w:eastAsia="Times New Roman" w:hAnsi="Times New Roman"/>
                <w:sz w:val="15"/>
                <w:szCs w:val="15"/>
                <w:color w:val="auto"/>
                <w:w w:val="98"/>
              </w:rPr>
              <w:t>0.20</w:t>
            </w:r>
          </w:p>
        </w:tc>
        <w:tc>
          <w:tcPr>
            <w:tcW w:w="660" w:type="dxa"/>
            <w:vAlign w:val="bottom"/>
          </w:tcPr>
          <w:p>
            <w:pPr>
              <w:ind w:left="160"/>
              <w:spacing w:after="0"/>
              <w:rPr>
                <w:sz w:val="20"/>
                <w:szCs w:val="20"/>
                <w:color w:val="auto"/>
              </w:rPr>
            </w:pPr>
            <w:r>
              <w:rPr>
                <w:rFonts w:ascii="Times New Roman" w:cs="Times New Roman" w:eastAsia="Times New Roman" w:hAnsi="Times New Roman"/>
                <w:sz w:val="15"/>
                <w:szCs w:val="15"/>
                <w:color w:val="auto"/>
              </w:rPr>
              <w:t>0.26</w:t>
            </w:r>
          </w:p>
        </w:tc>
        <w:tc>
          <w:tcPr>
            <w:tcW w:w="620" w:type="dxa"/>
            <w:vAlign w:val="bottom"/>
            <w:gridSpan w:val="2"/>
          </w:tcPr>
          <w:p>
            <w:pPr>
              <w:jc w:val="center"/>
              <w:ind w:left="5"/>
              <w:spacing w:after="0"/>
              <w:rPr>
                <w:sz w:val="20"/>
                <w:szCs w:val="20"/>
                <w:color w:val="auto"/>
              </w:rPr>
            </w:pPr>
            <w:r>
              <w:rPr>
                <w:rFonts w:ascii="Times New Roman" w:cs="Times New Roman" w:eastAsia="Times New Roman" w:hAnsi="Times New Roman"/>
                <w:sz w:val="15"/>
                <w:szCs w:val="15"/>
                <w:color w:val="auto"/>
                <w:w w:val="98"/>
              </w:rPr>
              <w:t>0.20</w:t>
            </w:r>
          </w:p>
        </w:tc>
        <w:tc>
          <w:tcPr>
            <w:tcW w:w="640" w:type="dxa"/>
            <w:vAlign w:val="bottom"/>
          </w:tcPr>
          <w:p>
            <w:pPr>
              <w:ind w:left="160"/>
              <w:spacing w:after="0"/>
              <w:rPr>
                <w:sz w:val="20"/>
                <w:szCs w:val="20"/>
                <w:color w:val="auto"/>
              </w:rPr>
            </w:pPr>
            <w:r>
              <w:rPr>
                <w:rFonts w:ascii="Times New Roman" w:cs="Times New Roman" w:eastAsia="Times New Roman" w:hAnsi="Times New Roman"/>
                <w:sz w:val="15"/>
                <w:szCs w:val="15"/>
                <w:color w:val="auto"/>
              </w:rPr>
              <w:t>0.05</w:t>
            </w:r>
          </w:p>
        </w:tc>
        <w:tc>
          <w:tcPr>
            <w:tcW w:w="0" w:type="dxa"/>
            <w:vAlign w:val="bottom"/>
          </w:tcPr>
          <w:p>
            <w:pPr>
              <w:spacing w:after="0"/>
              <w:rPr>
                <w:sz w:val="1"/>
                <w:szCs w:val="1"/>
                <w:color w:val="auto"/>
              </w:rPr>
            </w:pPr>
          </w:p>
        </w:tc>
      </w:tr>
      <w:tr>
        <w:trPr>
          <w:trHeight w:val="189"/>
        </w:trPr>
        <w:tc>
          <w:tcPr>
            <w:tcW w:w="1800" w:type="dxa"/>
            <w:vAlign w:val="bottom"/>
          </w:tcPr>
          <w:p>
            <w:pPr>
              <w:spacing w:after="0"/>
              <w:rPr>
                <w:sz w:val="20"/>
                <w:szCs w:val="20"/>
                <w:color w:val="auto"/>
              </w:rPr>
            </w:pPr>
            <w:r>
              <w:rPr>
                <w:rFonts w:ascii="Times New Roman" w:cs="Times New Roman" w:eastAsia="Times New Roman" w:hAnsi="Times New Roman"/>
                <w:sz w:val="15"/>
                <w:szCs w:val="15"/>
                <w:color w:val="auto"/>
              </w:rPr>
              <w:t>Number of children in</w:t>
            </w:r>
          </w:p>
        </w:tc>
        <w:tc>
          <w:tcPr>
            <w:tcW w:w="800" w:type="dxa"/>
            <w:vAlign w:val="bottom"/>
          </w:tcPr>
          <w:p>
            <w:pPr>
              <w:jc w:val="center"/>
              <w:spacing w:after="0"/>
              <w:rPr>
                <w:sz w:val="20"/>
                <w:szCs w:val="20"/>
                <w:color w:val="auto"/>
              </w:rPr>
            </w:pPr>
            <w:r>
              <w:rPr>
                <w:rFonts w:ascii="Times New Roman" w:cs="Times New Roman" w:eastAsia="Times New Roman" w:hAnsi="Times New Roman"/>
                <w:sz w:val="15"/>
                <w:szCs w:val="15"/>
                <w:color w:val="auto"/>
                <w:w w:val="98"/>
              </w:rPr>
              <w:t>1.37</w:t>
            </w:r>
          </w:p>
        </w:tc>
        <w:tc>
          <w:tcPr>
            <w:tcW w:w="660" w:type="dxa"/>
            <w:vAlign w:val="bottom"/>
          </w:tcPr>
          <w:p>
            <w:pPr>
              <w:jc w:val="center"/>
              <w:spacing w:after="0"/>
              <w:rPr>
                <w:sz w:val="20"/>
                <w:szCs w:val="20"/>
                <w:color w:val="auto"/>
              </w:rPr>
            </w:pPr>
            <w:r>
              <w:rPr>
                <w:rFonts w:ascii="Times New Roman" w:cs="Times New Roman" w:eastAsia="Times New Roman" w:hAnsi="Times New Roman"/>
                <w:sz w:val="15"/>
                <w:szCs w:val="15"/>
                <w:color w:val="auto"/>
                <w:w w:val="98"/>
              </w:rPr>
              <w:t>1.31</w:t>
            </w:r>
          </w:p>
        </w:tc>
        <w:tc>
          <w:tcPr>
            <w:tcW w:w="580" w:type="dxa"/>
            <w:vAlign w:val="bottom"/>
          </w:tcPr>
          <w:p>
            <w:pPr>
              <w:ind w:left="120"/>
              <w:spacing w:after="0"/>
              <w:rPr>
                <w:sz w:val="20"/>
                <w:szCs w:val="20"/>
                <w:color w:val="auto"/>
              </w:rPr>
            </w:pPr>
            <w:r>
              <w:rPr>
                <w:rFonts w:ascii="Times New Roman" w:cs="Times New Roman" w:eastAsia="Times New Roman" w:hAnsi="Times New Roman"/>
                <w:sz w:val="15"/>
                <w:szCs w:val="15"/>
                <w:color w:val="auto"/>
              </w:rPr>
              <w:t>1.49</w:t>
            </w:r>
          </w:p>
        </w:tc>
        <w:tc>
          <w:tcPr>
            <w:tcW w:w="700" w:type="dxa"/>
            <w:vAlign w:val="bottom"/>
            <w:gridSpan w:val="2"/>
          </w:tcPr>
          <w:p>
            <w:pPr>
              <w:jc w:val="center"/>
              <w:ind w:left="25"/>
              <w:spacing w:after="0"/>
              <w:rPr>
                <w:sz w:val="20"/>
                <w:szCs w:val="20"/>
                <w:color w:val="auto"/>
              </w:rPr>
            </w:pPr>
            <w:r>
              <w:rPr>
                <w:rFonts w:ascii="Times New Roman" w:cs="Times New Roman" w:eastAsia="Times New Roman" w:hAnsi="Times New Roman"/>
                <w:sz w:val="15"/>
                <w:szCs w:val="15"/>
                <w:color w:val="auto"/>
              </w:rPr>
              <w:t>1.24</w:t>
            </w:r>
          </w:p>
        </w:tc>
        <w:tc>
          <w:tcPr>
            <w:tcW w:w="660" w:type="dxa"/>
            <w:vAlign w:val="bottom"/>
          </w:tcPr>
          <w:p>
            <w:pPr>
              <w:ind w:left="160"/>
              <w:spacing w:after="0"/>
              <w:rPr>
                <w:sz w:val="20"/>
                <w:szCs w:val="20"/>
                <w:color w:val="auto"/>
              </w:rPr>
            </w:pPr>
            <w:r>
              <w:rPr>
                <w:rFonts w:ascii="Times New Roman" w:cs="Times New Roman" w:eastAsia="Times New Roman" w:hAnsi="Times New Roman"/>
                <w:sz w:val="15"/>
                <w:szCs w:val="15"/>
                <w:color w:val="auto"/>
              </w:rPr>
              <w:t>1.28</w:t>
            </w:r>
          </w:p>
        </w:tc>
        <w:tc>
          <w:tcPr>
            <w:tcW w:w="620" w:type="dxa"/>
            <w:vAlign w:val="bottom"/>
            <w:gridSpan w:val="2"/>
          </w:tcPr>
          <w:p>
            <w:pPr>
              <w:jc w:val="center"/>
              <w:ind w:left="5"/>
              <w:spacing w:after="0"/>
              <w:rPr>
                <w:sz w:val="20"/>
                <w:szCs w:val="20"/>
                <w:color w:val="auto"/>
              </w:rPr>
            </w:pPr>
            <w:r>
              <w:rPr>
                <w:rFonts w:ascii="Times New Roman" w:cs="Times New Roman" w:eastAsia="Times New Roman" w:hAnsi="Times New Roman"/>
                <w:sz w:val="15"/>
                <w:szCs w:val="15"/>
                <w:color w:val="auto"/>
                <w:w w:val="98"/>
              </w:rPr>
              <w:t>1.68</w:t>
            </w:r>
          </w:p>
        </w:tc>
        <w:tc>
          <w:tcPr>
            <w:tcW w:w="640" w:type="dxa"/>
            <w:vAlign w:val="bottom"/>
          </w:tcPr>
          <w:p>
            <w:pPr>
              <w:ind w:left="160"/>
              <w:spacing w:after="0"/>
              <w:rPr>
                <w:sz w:val="20"/>
                <w:szCs w:val="20"/>
                <w:color w:val="auto"/>
              </w:rPr>
            </w:pPr>
            <w:r>
              <w:rPr>
                <w:rFonts w:ascii="Times New Roman" w:cs="Times New Roman" w:eastAsia="Times New Roman" w:hAnsi="Times New Roman"/>
                <w:sz w:val="15"/>
                <w:szCs w:val="15"/>
                <w:color w:val="auto"/>
              </w:rPr>
              <w:t>2.05</w:t>
            </w:r>
          </w:p>
        </w:tc>
        <w:tc>
          <w:tcPr>
            <w:tcW w:w="0" w:type="dxa"/>
            <w:vAlign w:val="bottom"/>
          </w:tcPr>
          <w:p>
            <w:pPr>
              <w:spacing w:after="0"/>
              <w:rPr>
                <w:sz w:val="1"/>
                <w:szCs w:val="1"/>
                <w:color w:val="auto"/>
              </w:rPr>
            </w:pPr>
          </w:p>
        </w:tc>
      </w:tr>
      <w:tr>
        <w:trPr>
          <w:trHeight w:val="189"/>
        </w:trPr>
        <w:tc>
          <w:tcPr>
            <w:tcW w:w="1800" w:type="dxa"/>
            <w:vAlign w:val="bottom"/>
          </w:tcPr>
          <w:p>
            <w:pPr>
              <w:ind w:left="160"/>
              <w:spacing w:after="0"/>
              <w:rPr>
                <w:sz w:val="20"/>
                <w:szCs w:val="20"/>
                <w:color w:val="auto"/>
              </w:rPr>
            </w:pPr>
            <w:r>
              <w:rPr>
                <w:rFonts w:ascii="Times New Roman" w:cs="Times New Roman" w:eastAsia="Times New Roman" w:hAnsi="Times New Roman"/>
                <w:sz w:val="15"/>
                <w:szCs w:val="15"/>
                <w:color w:val="auto"/>
              </w:rPr>
              <w:t>household</w:t>
            </w:r>
          </w:p>
        </w:tc>
        <w:tc>
          <w:tcPr>
            <w:tcW w:w="800" w:type="dxa"/>
            <w:vAlign w:val="bottom"/>
          </w:tcPr>
          <w:p>
            <w:pPr>
              <w:spacing w:after="0"/>
              <w:rPr>
                <w:sz w:val="16"/>
                <w:szCs w:val="16"/>
                <w:color w:val="auto"/>
              </w:rPr>
            </w:pPr>
          </w:p>
        </w:tc>
        <w:tc>
          <w:tcPr>
            <w:tcW w:w="660" w:type="dxa"/>
            <w:vAlign w:val="bottom"/>
          </w:tcPr>
          <w:p>
            <w:pPr>
              <w:spacing w:after="0"/>
              <w:rPr>
                <w:sz w:val="16"/>
                <w:szCs w:val="16"/>
                <w:color w:val="auto"/>
              </w:rPr>
            </w:pPr>
          </w:p>
        </w:tc>
        <w:tc>
          <w:tcPr>
            <w:tcW w:w="580" w:type="dxa"/>
            <w:vAlign w:val="bottom"/>
          </w:tcPr>
          <w:p>
            <w:pPr>
              <w:spacing w:after="0"/>
              <w:rPr>
                <w:sz w:val="16"/>
                <w:szCs w:val="16"/>
                <w:color w:val="auto"/>
              </w:rPr>
            </w:pPr>
          </w:p>
        </w:tc>
        <w:tc>
          <w:tcPr>
            <w:tcW w:w="80" w:type="dxa"/>
            <w:vAlign w:val="bottom"/>
          </w:tcPr>
          <w:p>
            <w:pPr>
              <w:spacing w:after="0"/>
              <w:rPr>
                <w:sz w:val="16"/>
                <w:szCs w:val="16"/>
                <w:color w:val="auto"/>
              </w:rPr>
            </w:pPr>
          </w:p>
        </w:tc>
        <w:tc>
          <w:tcPr>
            <w:tcW w:w="620" w:type="dxa"/>
            <w:vAlign w:val="bottom"/>
          </w:tcPr>
          <w:p>
            <w:pPr>
              <w:spacing w:after="0"/>
              <w:rPr>
                <w:sz w:val="16"/>
                <w:szCs w:val="16"/>
                <w:color w:val="auto"/>
              </w:rPr>
            </w:pPr>
          </w:p>
        </w:tc>
        <w:tc>
          <w:tcPr>
            <w:tcW w:w="660" w:type="dxa"/>
            <w:vAlign w:val="bottom"/>
          </w:tcPr>
          <w:p>
            <w:pPr>
              <w:spacing w:after="0"/>
              <w:rPr>
                <w:sz w:val="16"/>
                <w:szCs w:val="16"/>
                <w:color w:val="auto"/>
              </w:rPr>
            </w:pPr>
          </w:p>
        </w:tc>
        <w:tc>
          <w:tcPr>
            <w:tcW w:w="60" w:type="dxa"/>
            <w:vAlign w:val="bottom"/>
          </w:tcPr>
          <w:p>
            <w:pPr>
              <w:spacing w:after="0"/>
              <w:rPr>
                <w:sz w:val="16"/>
                <w:szCs w:val="16"/>
                <w:color w:val="auto"/>
              </w:rPr>
            </w:pPr>
          </w:p>
        </w:tc>
        <w:tc>
          <w:tcPr>
            <w:tcW w:w="560" w:type="dxa"/>
            <w:vAlign w:val="bottom"/>
          </w:tcPr>
          <w:p>
            <w:pPr>
              <w:spacing w:after="0"/>
              <w:rPr>
                <w:sz w:val="16"/>
                <w:szCs w:val="16"/>
                <w:color w:val="auto"/>
              </w:rPr>
            </w:pPr>
          </w:p>
        </w:tc>
        <w:tc>
          <w:tcPr>
            <w:tcW w:w="640" w:type="dxa"/>
            <w:vAlign w:val="bottom"/>
          </w:tcPr>
          <w:p>
            <w:pPr>
              <w:spacing w:after="0"/>
              <w:rPr>
                <w:sz w:val="16"/>
                <w:szCs w:val="16"/>
                <w:color w:val="auto"/>
              </w:rPr>
            </w:pPr>
          </w:p>
        </w:tc>
        <w:tc>
          <w:tcPr>
            <w:tcW w:w="0" w:type="dxa"/>
            <w:vAlign w:val="bottom"/>
          </w:tcPr>
          <w:p>
            <w:pPr>
              <w:spacing w:after="0"/>
              <w:rPr>
                <w:sz w:val="1"/>
                <w:szCs w:val="1"/>
                <w:color w:val="auto"/>
              </w:rPr>
            </w:pPr>
          </w:p>
        </w:tc>
      </w:tr>
      <w:tr>
        <w:trPr>
          <w:trHeight w:val="189"/>
        </w:trPr>
        <w:tc>
          <w:tcPr>
            <w:tcW w:w="1800" w:type="dxa"/>
            <w:vAlign w:val="bottom"/>
          </w:tcPr>
          <w:p>
            <w:pPr>
              <w:spacing w:after="0"/>
              <w:rPr>
                <w:sz w:val="20"/>
                <w:szCs w:val="20"/>
                <w:color w:val="auto"/>
              </w:rPr>
            </w:pPr>
            <w:r>
              <w:rPr>
                <w:rFonts w:ascii="Times New Roman" w:cs="Times New Roman" w:eastAsia="Times New Roman" w:hAnsi="Times New Roman"/>
                <w:sz w:val="15"/>
                <w:szCs w:val="15"/>
                <w:color w:val="auto"/>
              </w:rPr>
              <w:t>Single parent</w:t>
            </w:r>
          </w:p>
        </w:tc>
        <w:tc>
          <w:tcPr>
            <w:tcW w:w="800" w:type="dxa"/>
            <w:vAlign w:val="bottom"/>
          </w:tcPr>
          <w:p>
            <w:pPr>
              <w:jc w:val="center"/>
              <w:spacing w:after="0"/>
              <w:rPr>
                <w:sz w:val="20"/>
                <w:szCs w:val="20"/>
                <w:color w:val="auto"/>
              </w:rPr>
            </w:pPr>
            <w:r>
              <w:rPr>
                <w:rFonts w:ascii="Times New Roman" w:cs="Times New Roman" w:eastAsia="Times New Roman" w:hAnsi="Times New Roman"/>
                <w:sz w:val="15"/>
                <w:szCs w:val="15"/>
                <w:color w:val="auto"/>
                <w:w w:val="98"/>
              </w:rPr>
              <w:t>0.52</w:t>
            </w:r>
          </w:p>
        </w:tc>
        <w:tc>
          <w:tcPr>
            <w:tcW w:w="660" w:type="dxa"/>
            <w:vAlign w:val="bottom"/>
          </w:tcPr>
          <w:p>
            <w:pPr>
              <w:jc w:val="center"/>
              <w:spacing w:after="0"/>
              <w:rPr>
                <w:sz w:val="20"/>
                <w:szCs w:val="20"/>
                <w:color w:val="auto"/>
              </w:rPr>
            </w:pPr>
            <w:r>
              <w:rPr>
                <w:rFonts w:ascii="Times New Roman" w:cs="Times New Roman" w:eastAsia="Times New Roman" w:hAnsi="Times New Roman"/>
                <w:sz w:val="15"/>
                <w:szCs w:val="15"/>
                <w:color w:val="auto"/>
                <w:w w:val="98"/>
              </w:rPr>
              <w:t>0.51</w:t>
            </w:r>
          </w:p>
        </w:tc>
        <w:tc>
          <w:tcPr>
            <w:tcW w:w="580" w:type="dxa"/>
            <w:vAlign w:val="bottom"/>
          </w:tcPr>
          <w:p>
            <w:pPr>
              <w:ind w:left="120"/>
              <w:spacing w:after="0"/>
              <w:rPr>
                <w:sz w:val="20"/>
                <w:szCs w:val="20"/>
                <w:color w:val="auto"/>
              </w:rPr>
            </w:pPr>
            <w:r>
              <w:rPr>
                <w:rFonts w:ascii="Times New Roman" w:cs="Times New Roman" w:eastAsia="Times New Roman" w:hAnsi="Times New Roman"/>
                <w:sz w:val="15"/>
                <w:szCs w:val="15"/>
                <w:color w:val="auto"/>
              </w:rPr>
              <w:t>0.52</w:t>
            </w:r>
          </w:p>
        </w:tc>
        <w:tc>
          <w:tcPr>
            <w:tcW w:w="700" w:type="dxa"/>
            <w:vAlign w:val="bottom"/>
            <w:gridSpan w:val="2"/>
          </w:tcPr>
          <w:p>
            <w:pPr>
              <w:jc w:val="center"/>
              <w:ind w:left="5"/>
              <w:spacing w:after="0"/>
              <w:rPr>
                <w:sz w:val="20"/>
                <w:szCs w:val="20"/>
                <w:color w:val="auto"/>
              </w:rPr>
            </w:pPr>
            <w:r>
              <w:rPr>
                <w:rFonts w:ascii="Times New Roman" w:cs="Times New Roman" w:eastAsia="Times New Roman" w:hAnsi="Times New Roman"/>
                <w:sz w:val="15"/>
                <w:szCs w:val="15"/>
                <w:color w:val="auto"/>
                <w:w w:val="98"/>
              </w:rPr>
              <w:t>0.52</w:t>
            </w:r>
          </w:p>
        </w:tc>
        <w:tc>
          <w:tcPr>
            <w:tcW w:w="660" w:type="dxa"/>
            <w:vAlign w:val="bottom"/>
          </w:tcPr>
          <w:p>
            <w:pPr>
              <w:ind w:left="160"/>
              <w:spacing w:after="0"/>
              <w:rPr>
                <w:sz w:val="20"/>
                <w:szCs w:val="20"/>
                <w:color w:val="auto"/>
              </w:rPr>
            </w:pPr>
            <w:r>
              <w:rPr>
                <w:rFonts w:ascii="Times New Roman" w:cs="Times New Roman" w:eastAsia="Times New Roman" w:hAnsi="Times New Roman"/>
                <w:sz w:val="15"/>
                <w:szCs w:val="15"/>
                <w:color w:val="auto"/>
              </w:rPr>
              <w:t>0.45</w:t>
            </w:r>
          </w:p>
        </w:tc>
        <w:tc>
          <w:tcPr>
            <w:tcW w:w="620" w:type="dxa"/>
            <w:vAlign w:val="bottom"/>
            <w:gridSpan w:val="2"/>
          </w:tcPr>
          <w:p>
            <w:pPr>
              <w:jc w:val="center"/>
              <w:ind w:left="5"/>
              <w:spacing w:after="0"/>
              <w:rPr>
                <w:sz w:val="20"/>
                <w:szCs w:val="20"/>
                <w:color w:val="auto"/>
              </w:rPr>
            </w:pPr>
            <w:r>
              <w:rPr>
                <w:rFonts w:ascii="Times New Roman" w:cs="Times New Roman" w:eastAsia="Times New Roman" w:hAnsi="Times New Roman"/>
                <w:sz w:val="15"/>
                <w:szCs w:val="15"/>
                <w:color w:val="auto"/>
                <w:w w:val="98"/>
              </w:rPr>
              <w:t>0.48</w:t>
            </w:r>
          </w:p>
        </w:tc>
        <w:tc>
          <w:tcPr>
            <w:tcW w:w="640" w:type="dxa"/>
            <w:vAlign w:val="bottom"/>
          </w:tcPr>
          <w:p>
            <w:pPr>
              <w:ind w:left="160"/>
              <w:spacing w:after="0"/>
              <w:rPr>
                <w:sz w:val="20"/>
                <w:szCs w:val="20"/>
                <w:color w:val="auto"/>
              </w:rPr>
            </w:pPr>
            <w:r>
              <w:rPr>
                <w:rFonts w:ascii="Times New Roman" w:cs="Times New Roman" w:eastAsia="Times New Roman" w:hAnsi="Times New Roman"/>
                <w:sz w:val="15"/>
                <w:szCs w:val="15"/>
                <w:color w:val="auto"/>
              </w:rPr>
              <w:t>0.73*</w:t>
            </w:r>
          </w:p>
        </w:tc>
        <w:tc>
          <w:tcPr>
            <w:tcW w:w="0" w:type="dxa"/>
            <w:vAlign w:val="bottom"/>
          </w:tcPr>
          <w:p>
            <w:pPr>
              <w:spacing w:after="0"/>
              <w:rPr>
                <w:sz w:val="1"/>
                <w:szCs w:val="1"/>
                <w:color w:val="auto"/>
              </w:rPr>
            </w:pPr>
          </w:p>
        </w:tc>
      </w:tr>
      <w:tr>
        <w:trPr>
          <w:trHeight w:val="189"/>
        </w:trPr>
        <w:tc>
          <w:tcPr>
            <w:tcW w:w="1800" w:type="dxa"/>
            <w:vAlign w:val="bottom"/>
          </w:tcPr>
          <w:p>
            <w:pPr>
              <w:spacing w:after="0"/>
              <w:rPr>
                <w:sz w:val="20"/>
                <w:szCs w:val="20"/>
                <w:color w:val="auto"/>
              </w:rPr>
            </w:pPr>
            <w:r>
              <w:rPr>
                <w:rFonts w:ascii="Times New Roman" w:cs="Times New Roman" w:eastAsia="Times New Roman" w:hAnsi="Times New Roman"/>
                <w:sz w:val="15"/>
                <w:szCs w:val="15"/>
                <w:color w:val="auto"/>
              </w:rPr>
              <w:t>Less than twelve years of</w:t>
            </w:r>
          </w:p>
        </w:tc>
        <w:tc>
          <w:tcPr>
            <w:tcW w:w="800" w:type="dxa"/>
            <w:vAlign w:val="bottom"/>
          </w:tcPr>
          <w:p>
            <w:pPr>
              <w:jc w:val="center"/>
              <w:spacing w:after="0"/>
              <w:rPr>
                <w:sz w:val="20"/>
                <w:szCs w:val="20"/>
                <w:color w:val="auto"/>
              </w:rPr>
            </w:pPr>
            <w:r>
              <w:rPr>
                <w:rFonts w:ascii="Times New Roman" w:cs="Times New Roman" w:eastAsia="Times New Roman" w:hAnsi="Times New Roman"/>
                <w:sz w:val="15"/>
                <w:szCs w:val="15"/>
                <w:color w:val="auto"/>
                <w:w w:val="98"/>
              </w:rPr>
              <w:t>0.08</w:t>
            </w:r>
          </w:p>
        </w:tc>
        <w:tc>
          <w:tcPr>
            <w:tcW w:w="660" w:type="dxa"/>
            <w:vAlign w:val="bottom"/>
          </w:tcPr>
          <w:p>
            <w:pPr>
              <w:jc w:val="center"/>
              <w:spacing w:after="0"/>
              <w:rPr>
                <w:sz w:val="20"/>
                <w:szCs w:val="20"/>
                <w:color w:val="auto"/>
              </w:rPr>
            </w:pPr>
            <w:r>
              <w:rPr>
                <w:rFonts w:ascii="Times New Roman" w:cs="Times New Roman" w:eastAsia="Times New Roman" w:hAnsi="Times New Roman"/>
                <w:sz w:val="15"/>
                <w:szCs w:val="15"/>
                <w:color w:val="auto"/>
                <w:w w:val="98"/>
              </w:rPr>
              <w:t>0.09</w:t>
            </w:r>
          </w:p>
        </w:tc>
        <w:tc>
          <w:tcPr>
            <w:tcW w:w="580" w:type="dxa"/>
            <w:vAlign w:val="bottom"/>
          </w:tcPr>
          <w:p>
            <w:pPr>
              <w:ind w:left="120"/>
              <w:spacing w:after="0"/>
              <w:rPr>
                <w:sz w:val="20"/>
                <w:szCs w:val="20"/>
                <w:color w:val="auto"/>
              </w:rPr>
            </w:pPr>
            <w:r>
              <w:rPr>
                <w:rFonts w:ascii="Times New Roman" w:cs="Times New Roman" w:eastAsia="Times New Roman" w:hAnsi="Times New Roman"/>
                <w:sz w:val="15"/>
                <w:szCs w:val="15"/>
                <w:color w:val="auto"/>
              </w:rPr>
              <w:t>0.07</w:t>
            </w:r>
          </w:p>
        </w:tc>
        <w:tc>
          <w:tcPr>
            <w:tcW w:w="700" w:type="dxa"/>
            <w:vAlign w:val="bottom"/>
            <w:gridSpan w:val="2"/>
          </w:tcPr>
          <w:p>
            <w:pPr>
              <w:jc w:val="center"/>
              <w:ind w:left="25"/>
              <w:spacing w:after="0"/>
              <w:rPr>
                <w:sz w:val="20"/>
                <w:szCs w:val="20"/>
                <w:color w:val="auto"/>
              </w:rPr>
            </w:pPr>
            <w:r>
              <w:rPr>
                <w:rFonts w:ascii="Times New Roman" w:cs="Times New Roman" w:eastAsia="Times New Roman" w:hAnsi="Times New Roman"/>
                <w:sz w:val="15"/>
                <w:szCs w:val="15"/>
                <w:color w:val="auto"/>
              </w:rPr>
              <w:t>0.09</w:t>
            </w:r>
          </w:p>
        </w:tc>
        <w:tc>
          <w:tcPr>
            <w:tcW w:w="660" w:type="dxa"/>
            <w:vAlign w:val="bottom"/>
          </w:tcPr>
          <w:p>
            <w:pPr>
              <w:ind w:left="160"/>
              <w:spacing w:after="0"/>
              <w:rPr>
                <w:sz w:val="20"/>
                <w:szCs w:val="20"/>
                <w:color w:val="auto"/>
              </w:rPr>
            </w:pPr>
            <w:r>
              <w:rPr>
                <w:rFonts w:ascii="Times New Roman" w:cs="Times New Roman" w:eastAsia="Times New Roman" w:hAnsi="Times New Roman"/>
                <w:sz w:val="15"/>
                <w:szCs w:val="15"/>
                <w:color w:val="auto"/>
              </w:rPr>
              <w:t>0.07</w:t>
            </w:r>
          </w:p>
        </w:tc>
        <w:tc>
          <w:tcPr>
            <w:tcW w:w="620" w:type="dxa"/>
            <w:vAlign w:val="bottom"/>
            <w:gridSpan w:val="2"/>
          </w:tcPr>
          <w:p>
            <w:pPr>
              <w:jc w:val="center"/>
              <w:ind w:left="5"/>
              <w:spacing w:after="0"/>
              <w:rPr>
                <w:sz w:val="20"/>
                <w:szCs w:val="20"/>
                <w:color w:val="auto"/>
              </w:rPr>
            </w:pPr>
            <w:r>
              <w:rPr>
                <w:rFonts w:ascii="Times New Roman" w:cs="Times New Roman" w:eastAsia="Times New Roman" w:hAnsi="Times New Roman"/>
                <w:sz w:val="15"/>
                <w:szCs w:val="15"/>
                <w:color w:val="auto"/>
                <w:w w:val="98"/>
              </w:rPr>
              <w:t>0.08</w:t>
            </w:r>
          </w:p>
        </w:tc>
        <w:tc>
          <w:tcPr>
            <w:tcW w:w="640" w:type="dxa"/>
            <w:vAlign w:val="bottom"/>
          </w:tcPr>
          <w:p>
            <w:pPr>
              <w:ind w:left="160"/>
              <w:spacing w:after="0"/>
              <w:rPr>
                <w:sz w:val="20"/>
                <w:szCs w:val="20"/>
                <w:color w:val="auto"/>
              </w:rPr>
            </w:pPr>
            <w:r>
              <w:rPr>
                <w:rFonts w:ascii="Times New Roman" w:cs="Times New Roman" w:eastAsia="Times New Roman" w:hAnsi="Times New Roman"/>
                <w:sz w:val="15"/>
                <w:szCs w:val="15"/>
                <w:color w:val="auto"/>
              </w:rPr>
              <w:t>0.09</w:t>
            </w:r>
          </w:p>
        </w:tc>
        <w:tc>
          <w:tcPr>
            <w:tcW w:w="0" w:type="dxa"/>
            <w:vAlign w:val="bottom"/>
          </w:tcPr>
          <w:p>
            <w:pPr>
              <w:spacing w:after="0"/>
              <w:rPr>
                <w:sz w:val="1"/>
                <w:szCs w:val="1"/>
                <w:color w:val="auto"/>
              </w:rPr>
            </w:pPr>
          </w:p>
        </w:tc>
      </w:tr>
      <w:tr>
        <w:trPr>
          <w:trHeight w:val="189"/>
        </w:trPr>
        <w:tc>
          <w:tcPr>
            <w:tcW w:w="1800" w:type="dxa"/>
            <w:vAlign w:val="bottom"/>
          </w:tcPr>
          <w:p>
            <w:pPr>
              <w:ind w:left="160"/>
              <w:spacing w:after="0"/>
              <w:rPr>
                <w:sz w:val="20"/>
                <w:szCs w:val="20"/>
                <w:color w:val="auto"/>
              </w:rPr>
            </w:pPr>
            <w:r>
              <w:rPr>
                <w:rFonts w:ascii="Times New Roman" w:cs="Times New Roman" w:eastAsia="Times New Roman" w:hAnsi="Times New Roman"/>
                <w:sz w:val="15"/>
                <w:szCs w:val="15"/>
                <w:color w:val="auto"/>
              </w:rPr>
              <w:t>education</w:t>
            </w:r>
          </w:p>
        </w:tc>
        <w:tc>
          <w:tcPr>
            <w:tcW w:w="800" w:type="dxa"/>
            <w:vAlign w:val="bottom"/>
          </w:tcPr>
          <w:p>
            <w:pPr>
              <w:spacing w:after="0"/>
              <w:rPr>
                <w:sz w:val="16"/>
                <w:szCs w:val="16"/>
                <w:color w:val="auto"/>
              </w:rPr>
            </w:pPr>
          </w:p>
        </w:tc>
        <w:tc>
          <w:tcPr>
            <w:tcW w:w="660" w:type="dxa"/>
            <w:vAlign w:val="bottom"/>
          </w:tcPr>
          <w:p>
            <w:pPr>
              <w:spacing w:after="0"/>
              <w:rPr>
                <w:sz w:val="16"/>
                <w:szCs w:val="16"/>
                <w:color w:val="auto"/>
              </w:rPr>
            </w:pPr>
          </w:p>
        </w:tc>
        <w:tc>
          <w:tcPr>
            <w:tcW w:w="580" w:type="dxa"/>
            <w:vAlign w:val="bottom"/>
          </w:tcPr>
          <w:p>
            <w:pPr>
              <w:spacing w:after="0"/>
              <w:rPr>
                <w:sz w:val="16"/>
                <w:szCs w:val="16"/>
                <w:color w:val="auto"/>
              </w:rPr>
            </w:pPr>
          </w:p>
        </w:tc>
        <w:tc>
          <w:tcPr>
            <w:tcW w:w="80" w:type="dxa"/>
            <w:vAlign w:val="bottom"/>
          </w:tcPr>
          <w:p>
            <w:pPr>
              <w:spacing w:after="0"/>
              <w:rPr>
                <w:sz w:val="16"/>
                <w:szCs w:val="16"/>
                <w:color w:val="auto"/>
              </w:rPr>
            </w:pPr>
          </w:p>
        </w:tc>
        <w:tc>
          <w:tcPr>
            <w:tcW w:w="620" w:type="dxa"/>
            <w:vAlign w:val="bottom"/>
          </w:tcPr>
          <w:p>
            <w:pPr>
              <w:spacing w:after="0"/>
              <w:rPr>
                <w:sz w:val="16"/>
                <w:szCs w:val="16"/>
                <w:color w:val="auto"/>
              </w:rPr>
            </w:pPr>
          </w:p>
        </w:tc>
        <w:tc>
          <w:tcPr>
            <w:tcW w:w="660" w:type="dxa"/>
            <w:vAlign w:val="bottom"/>
          </w:tcPr>
          <w:p>
            <w:pPr>
              <w:spacing w:after="0"/>
              <w:rPr>
                <w:sz w:val="16"/>
                <w:szCs w:val="16"/>
                <w:color w:val="auto"/>
              </w:rPr>
            </w:pPr>
          </w:p>
        </w:tc>
        <w:tc>
          <w:tcPr>
            <w:tcW w:w="60" w:type="dxa"/>
            <w:vAlign w:val="bottom"/>
          </w:tcPr>
          <w:p>
            <w:pPr>
              <w:spacing w:after="0"/>
              <w:rPr>
                <w:sz w:val="16"/>
                <w:szCs w:val="16"/>
                <w:color w:val="auto"/>
              </w:rPr>
            </w:pPr>
          </w:p>
        </w:tc>
        <w:tc>
          <w:tcPr>
            <w:tcW w:w="560" w:type="dxa"/>
            <w:vAlign w:val="bottom"/>
          </w:tcPr>
          <w:p>
            <w:pPr>
              <w:spacing w:after="0"/>
              <w:rPr>
                <w:sz w:val="16"/>
                <w:szCs w:val="16"/>
                <w:color w:val="auto"/>
              </w:rPr>
            </w:pPr>
          </w:p>
        </w:tc>
        <w:tc>
          <w:tcPr>
            <w:tcW w:w="640" w:type="dxa"/>
            <w:vAlign w:val="bottom"/>
          </w:tcPr>
          <w:p>
            <w:pPr>
              <w:spacing w:after="0"/>
              <w:rPr>
                <w:sz w:val="16"/>
                <w:szCs w:val="16"/>
                <w:color w:val="auto"/>
              </w:rPr>
            </w:pPr>
          </w:p>
        </w:tc>
        <w:tc>
          <w:tcPr>
            <w:tcW w:w="0" w:type="dxa"/>
            <w:vAlign w:val="bottom"/>
          </w:tcPr>
          <w:p>
            <w:pPr>
              <w:spacing w:after="0"/>
              <w:rPr>
                <w:sz w:val="1"/>
                <w:szCs w:val="1"/>
                <w:color w:val="auto"/>
              </w:rPr>
            </w:pPr>
          </w:p>
        </w:tc>
      </w:tr>
      <w:tr>
        <w:trPr>
          <w:trHeight w:val="188"/>
        </w:trPr>
        <w:tc>
          <w:tcPr>
            <w:tcW w:w="1800" w:type="dxa"/>
            <w:vAlign w:val="bottom"/>
          </w:tcPr>
          <w:p>
            <w:pPr>
              <w:spacing w:after="0"/>
              <w:rPr>
                <w:sz w:val="20"/>
                <w:szCs w:val="20"/>
                <w:color w:val="auto"/>
              </w:rPr>
            </w:pPr>
            <w:r>
              <w:rPr>
                <w:rFonts w:ascii="Times New Roman" w:cs="Times New Roman" w:eastAsia="Times New Roman" w:hAnsi="Times New Roman"/>
                <w:sz w:val="15"/>
                <w:szCs w:val="15"/>
                <w:color w:val="auto"/>
              </w:rPr>
              <w:t>Twelve years of education</w:t>
            </w:r>
          </w:p>
        </w:tc>
        <w:tc>
          <w:tcPr>
            <w:tcW w:w="800" w:type="dxa"/>
            <w:vAlign w:val="bottom"/>
          </w:tcPr>
          <w:p>
            <w:pPr>
              <w:jc w:val="center"/>
              <w:spacing w:after="0"/>
              <w:rPr>
                <w:sz w:val="20"/>
                <w:szCs w:val="20"/>
                <w:color w:val="auto"/>
              </w:rPr>
            </w:pPr>
            <w:r>
              <w:rPr>
                <w:rFonts w:ascii="Times New Roman" w:cs="Times New Roman" w:eastAsia="Times New Roman" w:hAnsi="Times New Roman"/>
                <w:sz w:val="15"/>
                <w:szCs w:val="15"/>
                <w:color w:val="auto"/>
                <w:w w:val="98"/>
              </w:rPr>
              <w:t>0.38</w:t>
            </w:r>
          </w:p>
        </w:tc>
        <w:tc>
          <w:tcPr>
            <w:tcW w:w="660" w:type="dxa"/>
            <w:vAlign w:val="bottom"/>
          </w:tcPr>
          <w:p>
            <w:pPr>
              <w:jc w:val="center"/>
              <w:spacing w:after="0"/>
              <w:rPr>
                <w:sz w:val="20"/>
                <w:szCs w:val="20"/>
                <w:color w:val="auto"/>
              </w:rPr>
            </w:pPr>
            <w:r>
              <w:rPr>
                <w:rFonts w:ascii="Times New Roman" w:cs="Times New Roman" w:eastAsia="Times New Roman" w:hAnsi="Times New Roman"/>
                <w:sz w:val="15"/>
                <w:szCs w:val="15"/>
                <w:color w:val="auto"/>
                <w:w w:val="98"/>
              </w:rPr>
              <w:t>0.33</w:t>
            </w:r>
          </w:p>
        </w:tc>
        <w:tc>
          <w:tcPr>
            <w:tcW w:w="580" w:type="dxa"/>
            <w:vAlign w:val="bottom"/>
          </w:tcPr>
          <w:p>
            <w:pPr>
              <w:ind w:left="120"/>
              <w:spacing w:after="0"/>
              <w:rPr>
                <w:sz w:val="20"/>
                <w:szCs w:val="20"/>
                <w:color w:val="auto"/>
              </w:rPr>
            </w:pPr>
            <w:r>
              <w:rPr>
                <w:rFonts w:ascii="Times New Roman" w:cs="Times New Roman" w:eastAsia="Times New Roman" w:hAnsi="Times New Roman"/>
                <w:sz w:val="15"/>
                <w:szCs w:val="15"/>
                <w:color w:val="auto"/>
              </w:rPr>
              <w:t>0.48**</w:t>
            </w:r>
          </w:p>
        </w:tc>
        <w:tc>
          <w:tcPr>
            <w:tcW w:w="700" w:type="dxa"/>
            <w:vAlign w:val="bottom"/>
            <w:gridSpan w:val="2"/>
          </w:tcPr>
          <w:p>
            <w:pPr>
              <w:jc w:val="center"/>
              <w:ind w:left="5"/>
              <w:spacing w:after="0"/>
              <w:rPr>
                <w:sz w:val="20"/>
                <w:szCs w:val="20"/>
                <w:color w:val="auto"/>
              </w:rPr>
            </w:pPr>
            <w:r>
              <w:rPr>
                <w:rFonts w:ascii="Times New Roman" w:cs="Times New Roman" w:eastAsia="Times New Roman" w:hAnsi="Times New Roman"/>
                <w:sz w:val="15"/>
                <w:szCs w:val="15"/>
                <w:color w:val="auto"/>
                <w:w w:val="98"/>
              </w:rPr>
              <w:t>0.33</w:t>
            </w:r>
          </w:p>
        </w:tc>
        <w:tc>
          <w:tcPr>
            <w:tcW w:w="660" w:type="dxa"/>
            <w:vAlign w:val="bottom"/>
          </w:tcPr>
          <w:p>
            <w:pPr>
              <w:ind w:left="160"/>
              <w:spacing w:after="0"/>
              <w:rPr>
                <w:sz w:val="20"/>
                <w:szCs w:val="20"/>
                <w:color w:val="auto"/>
              </w:rPr>
            </w:pPr>
            <w:r>
              <w:rPr>
                <w:rFonts w:ascii="Times New Roman" w:cs="Times New Roman" w:eastAsia="Times New Roman" w:hAnsi="Times New Roman"/>
                <w:sz w:val="15"/>
                <w:szCs w:val="15"/>
                <w:color w:val="auto"/>
              </w:rPr>
              <w:t>0.50**</w:t>
            </w:r>
          </w:p>
        </w:tc>
        <w:tc>
          <w:tcPr>
            <w:tcW w:w="620" w:type="dxa"/>
            <w:vAlign w:val="bottom"/>
            <w:gridSpan w:val="2"/>
          </w:tcPr>
          <w:p>
            <w:pPr>
              <w:jc w:val="center"/>
              <w:ind w:left="5"/>
              <w:spacing w:after="0"/>
              <w:rPr>
                <w:sz w:val="20"/>
                <w:szCs w:val="20"/>
                <w:color w:val="auto"/>
              </w:rPr>
            </w:pPr>
            <w:r>
              <w:rPr>
                <w:rFonts w:ascii="Times New Roman" w:cs="Times New Roman" w:eastAsia="Times New Roman" w:hAnsi="Times New Roman"/>
                <w:sz w:val="15"/>
                <w:szCs w:val="15"/>
                <w:color w:val="auto"/>
                <w:w w:val="98"/>
              </w:rPr>
              <w:t>0.32</w:t>
            </w:r>
          </w:p>
        </w:tc>
        <w:tc>
          <w:tcPr>
            <w:tcW w:w="640" w:type="dxa"/>
            <w:vAlign w:val="bottom"/>
          </w:tcPr>
          <w:p>
            <w:pPr>
              <w:ind w:left="160"/>
              <w:spacing w:after="0"/>
              <w:rPr>
                <w:sz w:val="20"/>
                <w:szCs w:val="20"/>
                <w:color w:val="auto"/>
              </w:rPr>
            </w:pPr>
            <w:r>
              <w:rPr>
                <w:rFonts w:ascii="Times New Roman" w:cs="Times New Roman" w:eastAsia="Times New Roman" w:hAnsi="Times New Roman"/>
                <w:sz w:val="15"/>
                <w:szCs w:val="15"/>
                <w:color w:val="auto"/>
              </w:rPr>
              <w:t>0.41</w:t>
            </w:r>
          </w:p>
        </w:tc>
        <w:tc>
          <w:tcPr>
            <w:tcW w:w="0" w:type="dxa"/>
            <w:vAlign w:val="bottom"/>
          </w:tcPr>
          <w:p>
            <w:pPr>
              <w:spacing w:after="0"/>
              <w:rPr>
                <w:sz w:val="1"/>
                <w:szCs w:val="1"/>
                <w:color w:val="auto"/>
              </w:rPr>
            </w:pPr>
          </w:p>
        </w:tc>
      </w:tr>
      <w:tr>
        <w:trPr>
          <w:trHeight w:val="189"/>
        </w:trPr>
        <w:tc>
          <w:tcPr>
            <w:tcW w:w="1800" w:type="dxa"/>
            <w:vAlign w:val="bottom"/>
          </w:tcPr>
          <w:p>
            <w:pPr>
              <w:spacing w:after="0"/>
              <w:rPr>
                <w:sz w:val="20"/>
                <w:szCs w:val="20"/>
                <w:color w:val="auto"/>
              </w:rPr>
            </w:pPr>
            <w:r>
              <w:rPr>
                <w:rFonts w:ascii="Times New Roman" w:cs="Times New Roman" w:eastAsia="Times New Roman" w:hAnsi="Times New Roman"/>
                <w:sz w:val="15"/>
                <w:szCs w:val="15"/>
                <w:color w:val="auto"/>
              </w:rPr>
              <w:t>More than twelve years of</w:t>
            </w:r>
          </w:p>
        </w:tc>
        <w:tc>
          <w:tcPr>
            <w:tcW w:w="800" w:type="dxa"/>
            <w:vAlign w:val="bottom"/>
          </w:tcPr>
          <w:p>
            <w:pPr>
              <w:jc w:val="center"/>
              <w:spacing w:after="0"/>
              <w:rPr>
                <w:sz w:val="20"/>
                <w:szCs w:val="20"/>
                <w:color w:val="auto"/>
              </w:rPr>
            </w:pPr>
            <w:r>
              <w:rPr>
                <w:rFonts w:ascii="Times New Roman" w:cs="Times New Roman" w:eastAsia="Times New Roman" w:hAnsi="Times New Roman"/>
                <w:sz w:val="15"/>
                <w:szCs w:val="15"/>
                <w:color w:val="auto"/>
                <w:w w:val="98"/>
              </w:rPr>
              <w:t>0.54</w:t>
            </w:r>
          </w:p>
        </w:tc>
        <w:tc>
          <w:tcPr>
            <w:tcW w:w="660" w:type="dxa"/>
            <w:vAlign w:val="bottom"/>
          </w:tcPr>
          <w:p>
            <w:pPr>
              <w:jc w:val="center"/>
              <w:spacing w:after="0"/>
              <w:rPr>
                <w:sz w:val="20"/>
                <w:szCs w:val="20"/>
                <w:color w:val="auto"/>
              </w:rPr>
            </w:pPr>
            <w:r>
              <w:rPr>
                <w:rFonts w:ascii="Times New Roman" w:cs="Times New Roman" w:eastAsia="Times New Roman" w:hAnsi="Times New Roman"/>
                <w:sz w:val="15"/>
                <w:szCs w:val="15"/>
                <w:color w:val="auto"/>
                <w:w w:val="98"/>
              </w:rPr>
              <w:t>0.58</w:t>
            </w:r>
          </w:p>
        </w:tc>
        <w:tc>
          <w:tcPr>
            <w:tcW w:w="580" w:type="dxa"/>
            <w:vAlign w:val="bottom"/>
          </w:tcPr>
          <w:p>
            <w:pPr>
              <w:ind w:left="120"/>
              <w:spacing w:after="0"/>
              <w:rPr>
                <w:sz w:val="20"/>
                <w:szCs w:val="20"/>
                <w:color w:val="auto"/>
              </w:rPr>
            </w:pPr>
            <w:r>
              <w:rPr>
                <w:rFonts w:ascii="Times New Roman" w:cs="Times New Roman" w:eastAsia="Times New Roman" w:hAnsi="Times New Roman"/>
                <w:sz w:val="15"/>
                <w:szCs w:val="15"/>
                <w:color w:val="auto"/>
              </w:rPr>
              <w:t>0.45*</w:t>
            </w:r>
          </w:p>
        </w:tc>
        <w:tc>
          <w:tcPr>
            <w:tcW w:w="700" w:type="dxa"/>
            <w:vAlign w:val="bottom"/>
            <w:gridSpan w:val="2"/>
          </w:tcPr>
          <w:p>
            <w:pPr>
              <w:jc w:val="center"/>
              <w:ind w:left="25"/>
              <w:spacing w:after="0"/>
              <w:rPr>
                <w:sz w:val="20"/>
                <w:szCs w:val="20"/>
                <w:color w:val="auto"/>
              </w:rPr>
            </w:pPr>
            <w:r>
              <w:rPr>
                <w:rFonts w:ascii="Times New Roman" w:cs="Times New Roman" w:eastAsia="Times New Roman" w:hAnsi="Times New Roman"/>
                <w:sz w:val="15"/>
                <w:szCs w:val="15"/>
                <w:color w:val="auto"/>
              </w:rPr>
              <w:t>0.58</w:t>
            </w:r>
          </w:p>
        </w:tc>
        <w:tc>
          <w:tcPr>
            <w:tcW w:w="660" w:type="dxa"/>
            <w:vAlign w:val="bottom"/>
          </w:tcPr>
          <w:p>
            <w:pPr>
              <w:ind w:left="160"/>
              <w:spacing w:after="0"/>
              <w:rPr>
                <w:sz w:val="20"/>
                <w:szCs w:val="20"/>
                <w:color w:val="auto"/>
              </w:rPr>
            </w:pPr>
            <w:r>
              <w:rPr>
                <w:rFonts w:ascii="Times New Roman" w:cs="Times New Roman" w:eastAsia="Times New Roman" w:hAnsi="Times New Roman"/>
                <w:sz w:val="15"/>
                <w:szCs w:val="15"/>
                <w:color w:val="auto"/>
              </w:rPr>
              <w:t>0.43*</w:t>
            </w:r>
          </w:p>
        </w:tc>
        <w:tc>
          <w:tcPr>
            <w:tcW w:w="620" w:type="dxa"/>
            <w:vAlign w:val="bottom"/>
            <w:gridSpan w:val="2"/>
          </w:tcPr>
          <w:p>
            <w:pPr>
              <w:jc w:val="center"/>
              <w:ind w:left="5"/>
              <w:spacing w:after="0"/>
              <w:rPr>
                <w:sz w:val="20"/>
                <w:szCs w:val="20"/>
                <w:color w:val="auto"/>
              </w:rPr>
            </w:pPr>
            <w:r>
              <w:rPr>
                <w:rFonts w:ascii="Times New Roman" w:cs="Times New Roman" w:eastAsia="Times New Roman" w:hAnsi="Times New Roman"/>
                <w:sz w:val="15"/>
                <w:szCs w:val="15"/>
                <w:color w:val="auto"/>
                <w:w w:val="98"/>
              </w:rPr>
              <w:t>0.06</w:t>
            </w:r>
          </w:p>
        </w:tc>
        <w:tc>
          <w:tcPr>
            <w:tcW w:w="640" w:type="dxa"/>
            <w:vAlign w:val="bottom"/>
          </w:tcPr>
          <w:p>
            <w:pPr>
              <w:ind w:left="160"/>
              <w:spacing w:after="0"/>
              <w:rPr>
                <w:sz w:val="20"/>
                <w:szCs w:val="20"/>
                <w:color w:val="auto"/>
              </w:rPr>
            </w:pPr>
            <w:r>
              <w:rPr>
                <w:rFonts w:ascii="Times New Roman" w:cs="Times New Roman" w:eastAsia="Times New Roman" w:hAnsi="Times New Roman"/>
                <w:sz w:val="15"/>
                <w:szCs w:val="15"/>
                <w:color w:val="auto"/>
              </w:rPr>
              <w:t>0.05</w:t>
            </w:r>
          </w:p>
        </w:tc>
        <w:tc>
          <w:tcPr>
            <w:tcW w:w="0" w:type="dxa"/>
            <w:vAlign w:val="bottom"/>
          </w:tcPr>
          <w:p>
            <w:pPr>
              <w:spacing w:after="0"/>
              <w:rPr>
                <w:sz w:val="1"/>
                <w:szCs w:val="1"/>
                <w:color w:val="auto"/>
              </w:rPr>
            </w:pPr>
          </w:p>
        </w:tc>
      </w:tr>
      <w:tr>
        <w:trPr>
          <w:trHeight w:val="189"/>
        </w:trPr>
        <w:tc>
          <w:tcPr>
            <w:tcW w:w="1800" w:type="dxa"/>
            <w:vAlign w:val="bottom"/>
          </w:tcPr>
          <w:p>
            <w:pPr>
              <w:ind w:left="160"/>
              <w:spacing w:after="0"/>
              <w:rPr>
                <w:sz w:val="20"/>
                <w:szCs w:val="20"/>
                <w:color w:val="auto"/>
              </w:rPr>
            </w:pPr>
            <w:r>
              <w:rPr>
                <w:rFonts w:ascii="Times New Roman" w:cs="Times New Roman" w:eastAsia="Times New Roman" w:hAnsi="Times New Roman"/>
                <w:sz w:val="15"/>
                <w:szCs w:val="15"/>
                <w:color w:val="auto"/>
              </w:rPr>
              <w:t>education</w:t>
            </w:r>
          </w:p>
        </w:tc>
        <w:tc>
          <w:tcPr>
            <w:tcW w:w="800" w:type="dxa"/>
            <w:vAlign w:val="bottom"/>
          </w:tcPr>
          <w:p>
            <w:pPr>
              <w:spacing w:after="0"/>
              <w:rPr>
                <w:sz w:val="16"/>
                <w:szCs w:val="16"/>
                <w:color w:val="auto"/>
              </w:rPr>
            </w:pPr>
          </w:p>
        </w:tc>
        <w:tc>
          <w:tcPr>
            <w:tcW w:w="660" w:type="dxa"/>
            <w:vAlign w:val="bottom"/>
          </w:tcPr>
          <w:p>
            <w:pPr>
              <w:spacing w:after="0"/>
              <w:rPr>
                <w:sz w:val="16"/>
                <w:szCs w:val="16"/>
                <w:color w:val="auto"/>
              </w:rPr>
            </w:pPr>
          </w:p>
        </w:tc>
        <w:tc>
          <w:tcPr>
            <w:tcW w:w="580" w:type="dxa"/>
            <w:vAlign w:val="bottom"/>
          </w:tcPr>
          <w:p>
            <w:pPr>
              <w:spacing w:after="0"/>
              <w:rPr>
                <w:sz w:val="16"/>
                <w:szCs w:val="16"/>
                <w:color w:val="auto"/>
              </w:rPr>
            </w:pPr>
          </w:p>
        </w:tc>
        <w:tc>
          <w:tcPr>
            <w:tcW w:w="80" w:type="dxa"/>
            <w:vAlign w:val="bottom"/>
          </w:tcPr>
          <w:p>
            <w:pPr>
              <w:spacing w:after="0"/>
              <w:rPr>
                <w:sz w:val="16"/>
                <w:szCs w:val="16"/>
                <w:color w:val="auto"/>
              </w:rPr>
            </w:pPr>
          </w:p>
        </w:tc>
        <w:tc>
          <w:tcPr>
            <w:tcW w:w="620" w:type="dxa"/>
            <w:vAlign w:val="bottom"/>
          </w:tcPr>
          <w:p>
            <w:pPr>
              <w:spacing w:after="0"/>
              <w:rPr>
                <w:sz w:val="16"/>
                <w:szCs w:val="16"/>
                <w:color w:val="auto"/>
              </w:rPr>
            </w:pPr>
          </w:p>
        </w:tc>
        <w:tc>
          <w:tcPr>
            <w:tcW w:w="660" w:type="dxa"/>
            <w:vAlign w:val="bottom"/>
          </w:tcPr>
          <w:p>
            <w:pPr>
              <w:spacing w:after="0"/>
              <w:rPr>
                <w:sz w:val="16"/>
                <w:szCs w:val="16"/>
                <w:color w:val="auto"/>
              </w:rPr>
            </w:pPr>
          </w:p>
        </w:tc>
        <w:tc>
          <w:tcPr>
            <w:tcW w:w="60" w:type="dxa"/>
            <w:vAlign w:val="bottom"/>
          </w:tcPr>
          <w:p>
            <w:pPr>
              <w:spacing w:after="0"/>
              <w:rPr>
                <w:sz w:val="16"/>
                <w:szCs w:val="16"/>
                <w:color w:val="auto"/>
              </w:rPr>
            </w:pPr>
          </w:p>
        </w:tc>
        <w:tc>
          <w:tcPr>
            <w:tcW w:w="560" w:type="dxa"/>
            <w:vAlign w:val="bottom"/>
          </w:tcPr>
          <w:p>
            <w:pPr>
              <w:spacing w:after="0"/>
              <w:rPr>
                <w:sz w:val="16"/>
                <w:szCs w:val="16"/>
                <w:color w:val="auto"/>
              </w:rPr>
            </w:pPr>
          </w:p>
        </w:tc>
        <w:tc>
          <w:tcPr>
            <w:tcW w:w="640" w:type="dxa"/>
            <w:vAlign w:val="bottom"/>
          </w:tcPr>
          <w:p>
            <w:pPr>
              <w:spacing w:after="0"/>
              <w:rPr>
                <w:sz w:val="16"/>
                <w:szCs w:val="16"/>
                <w:color w:val="auto"/>
              </w:rPr>
            </w:pPr>
          </w:p>
        </w:tc>
        <w:tc>
          <w:tcPr>
            <w:tcW w:w="0" w:type="dxa"/>
            <w:vAlign w:val="bottom"/>
          </w:tcPr>
          <w:p>
            <w:pPr>
              <w:spacing w:after="0"/>
              <w:rPr>
                <w:sz w:val="1"/>
                <w:szCs w:val="1"/>
                <w:color w:val="auto"/>
              </w:rPr>
            </w:pPr>
          </w:p>
        </w:tc>
      </w:tr>
      <w:tr>
        <w:trPr>
          <w:trHeight w:val="189"/>
        </w:trPr>
        <w:tc>
          <w:tcPr>
            <w:tcW w:w="1800" w:type="dxa"/>
            <w:vAlign w:val="bottom"/>
          </w:tcPr>
          <w:p>
            <w:pPr>
              <w:spacing w:after="0"/>
              <w:rPr>
                <w:sz w:val="20"/>
                <w:szCs w:val="20"/>
                <w:color w:val="auto"/>
              </w:rPr>
            </w:pPr>
            <w:r>
              <w:rPr>
                <w:rFonts w:ascii="Times New Roman" w:cs="Times New Roman" w:eastAsia="Times New Roman" w:hAnsi="Times New Roman"/>
                <w:sz w:val="15"/>
                <w:szCs w:val="15"/>
                <w:color w:val="auto"/>
              </w:rPr>
              <w:t>Did not work past year</w:t>
            </w:r>
          </w:p>
        </w:tc>
        <w:tc>
          <w:tcPr>
            <w:tcW w:w="800" w:type="dxa"/>
            <w:vAlign w:val="bottom"/>
          </w:tcPr>
          <w:p>
            <w:pPr>
              <w:jc w:val="center"/>
              <w:spacing w:after="0"/>
              <w:rPr>
                <w:sz w:val="20"/>
                <w:szCs w:val="20"/>
                <w:color w:val="auto"/>
              </w:rPr>
            </w:pPr>
            <w:r>
              <w:rPr>
                <w:rFonts w:ascii="Times New Roman" w:cs="Times New Roman" w:eastAsia="Times New Roman" w:hAnsi="Times New Roman"/>
                <w:sz w:val="15"/>
                <w:szCs w:val="15"/>
                <w:color w:val="auto"/>
                <w:w w:val="98"/>
              </w:rPr>
              <w:t>0.20</w:t>
            </w:r>
          </w:p>
        </w:tc>
        <w:tc>
          <w:tcPr>
            <w:tcW w:w="660" w:type="dxa"/>
            <w:vAlign w:val="bottom"/>
          </w:tcPr>
          <w:p>
            <w:pPr>
              <w:jc w:val="center"/>
              <w:spacing w:after="0"/>
              <w:rPr>
                <w:sz w:val="20"/>
                <w:szCs w:val="20"/>
                <w:color w:val="auto"/>
              </w:rPr>
            </w:pPr>
            <w:r>
              <w:rPr>
                <w:rFonts w:ascii="Times New Roman" w:cs="Times New Roman" w:eastAsia="Times New Roman" w:hAnsi="Times New Roman"/>
                <w:sz w:val="15"/>
                <w:szCs w:val="15"/>
                <w:color w:val="auto"/>
                <w:w w:val="98"/>
              </w:rPr>
              <w:t>0.22</w:t>
            </w:r>
          </w:p>
        </w:tc>
        <w:tc>
          <w:tcPr>
            <w:tcW w:w="580" w:type="dxa"/>
            <w:vAlign w:val="bottom"/>
          </w:tcPr>
          <w:p>
            <w:pPr>
              <w:ind w:left="120"/>
              <w:spacing w:after="0"/>
              <w:rPr>
                <w:sz w:val="20"/>
                <w:szCs w:val="20"/>
                <w:color w:val="auto"/>
              </w:rPr>
            </w:pPr>
            <w:r>
              <w:rPr>
                <w:rFonts w:ascii="Times New Roman" w:cs="Times New Roman" w:eastAsia="Times New Roman" w:hAnsi="Times New Roman"/>
                <w:sz w:val="15"/>
                <w:szCs w:val="15"/>
                <w:color w:val="auto"/>
              </w:rPr>
              <w:t>0.16</w:t>
            </w:r>
          </w:p>
        </w:tc>
        <w:tc>
          <w:tcPr>
            <w:tcW w:w="700" w:type="dxa"/>
            <w:vAlign w:val="bottom"/>
            <w:gridSpan w:val="2"/>
          </w:tcPr>
          <w:p>
            <w:pPr>
              <w:jc w:val="center"/>
              <w:ind w:left="5"/>
              <w:spacing w:after="0"/>
              <w:rPr>
                <w:sz w:val="20"/>
                <w:szCs w:val="20"/>
                <w:color w:val="auto"/>
              </w:rPr>
            </w:pPr>
            <w:r>
              <w:rPr>
                <w:rFonts w:ascii="Times New Roman" w:cs="Times New Roman" w:eastAsia="Times New Roman" w:hAnsi="Times New Roman"/>
                <w:sz w:val="15"/>
                <w:szCs w:val="15"/>
                <w:color w:val="auto"/>
                <w:w w:val="98"/>
              </w:rPr>
              <w:t>0.22</w:t>
            </w:r>
          </w:p>
        </w:tc>
        <w:tc>
          <w:tcPr>
            <w:tcW w:w="660" w:type="dxa"/>
            <w:vAlign w:val="bottom"/>
          </w:tcPr>
          <w:p>
            <w:pPr>
              <w:ind w:left="160"/>
              <w:spacing w:after="0"/>
              <w:rPr>
                <w:sz w:val="20"/>
                <w:szCs w:val="20"/>
                <w:color w:val="auto"/>
              </w:rPr>
            </w:pPr>
            <w:r>
              <w:rPr>
                <w:rFonts w:ascii="Times New Roman" w:cs="Times New Roman" w:eastAsia="Times New Roman" w:hAnsi="Times New Roman"/>
                <w:sz w:val="15"/>
                <w:szCs w:val="15"/>
                <w:color w:val="auto"/>
              </w:rPr>
              <w:t>0.18</w:t>
            </w:r>
          </w:p>
        </w:tc>
        <w:tc>
          <w:tcPr>
            <w:tcW w:w="620" w:type="dxa"/>
            <w:vAlign w:val="bottom"/>
            <w:gridSpan w:val="2"/>
          </w:tcPr>
          <w:p>
            <w:pPr>
              <w:jc w:val="center"/>
              <w:ind w:left="5"/>
              <w:spacing w:after="0"/>
              <w:rPr>
                <w:sz w:val="20"/>
                <w:szCs w:val="20"/>
                <w:color w:val="auto"/>
              </w:rPr>
            </w:pPr>
            <w:r>
              <w:rPr>
                <w:rFonts w:ascii="Times New Roman" w:cs="Times New Roman" w:eastAsia="Times New Roman" w:hAnsi="Times New Roman"/>
                <w:sz w:val="15"/>
                <w:szCs w:val="15"/>
                <w:color w:val="auto"/>
                <w:w w:val="98"/>
              </w:rPr>
              <w:t>0.20</w:t>
            </w:r>
          </w:p>
        </w:tc>
        <w:tc>
          <w:tcPr>
            <w:tcW w:w="640" w:type="dxa"/>
            <w:vAlign w:val="bottom"/>
          </w:tcPr>
          <w:p>
            <w:pPr>
              <w:ind w:left="160"/>
              <w:spacing w:after="0"/>
              <w:rPr>
                <w:sz w:val="20"/>
                <w:szCs w:val="20"/>
                <w:color w:val="auto"/>
              </w:rPr>
            </w:pPr>
            <w:r>
              <w:rPr>
                <w:rFonts w:ascii="Times New Roman" w:cs="Times New Roman" w:eastAsia="Times New Roman" w:hAnsi="Times New Roman"/>
                <w:sz w:val="15"/>
                <w:szCs w:val="15"/>
                <w:color w:val="auto"/>
              </w:rPr>
              <w:t>0.09</w:t>
            </w:r>
          </w:p>
        </w:tc>
        <w:tc>
          <w:tcPr>
            <w:tcW w:w="0" w:type="dxa"/>
            <w:vAlign w:val="bottom"/>
          </w:tcPr>
          <w:p>
            <w:pPr>
              <w:spacing w:after="0"/>
              <w:rPr>
                <w:sz w:val="1"/>
                <w:szCs w:val="1"/>
                <w:color w:val="auto"/>
              </w:rPr>
            </w:pPr>
          </w:p>
        </w:tc>
      </w:tr>
      <w:tr>
        <w:trPr>
          <w:trHeight w:val="189"/>
        </w:trPr>
        <w:tc>
          <w:tcPr>
            <w:tcW w:w="1800" w:type="dxa"/>
            <w:vAlign w:val="bottom"/>
          </w:tcPr>
          <w:p>
            <w:pPr>
              <w:spacing w:after="0"/>
              <w:rPr>
                <w:sz w:val="20"/>
                <w:szCs w:val="20"/>
                <w:color w:val="auto"/>
              </w:rPr>
            </w:pPr>
            <w:r>
              <w:rPr>
                <w:rFonts w:ascii="Times New Roman" w:cs="Times New Roman" w:eastAsia="Times New Roman" w:hAnsi="Times New Roman"/>
                <w:sz w:val="15"/>
                <w:szCs w:val="15"/>
                <w:color w:val="auto"/>
              </w:rPr>
              <w:t>Worked full time–full year</w:t>
            </w:r>
          </w:p>
        </w:tc>
        <w:tc>
          <w:tcPr>
            <w:tcW w:w="800" w:type="dxa"/>
            <w:vAlign w:val="bottom"/>
          </w:tcPr>
          <w:p>
            <w:pPr>
              <w:jc w:val="center"/>
              <w:spacing w:after="0"/>
              <w:rPr>
                <w:sz w:val="20"/>
                <w:szCs w:val="20"/>
                <w:color w:val="auto"/>
              </w:rPr>
            </w:pPr>
            <w:r>
              <w:rPr>
                <w:rFonts w:ascii="Times New Roman" w:cs="Times New Roman" w:eastAsia="Times New Roman" w:hAnsi="Times New Roman"/>
                <w:sz w:val="15"/>
                <w:szCs w:val="15"/>
                <w:color w:val="auto"/>
                <w:w w:val="98"/>
              </w:rPr>
              <w:t>0.46</w:t>
            </w:r>
          </w:p>
        </w:tc>
        <w:tc>
          <w:tcPr>
            <w:tcW w:w="660" w:type="dxa"/>
            <w:vAlign w:val="bottom"/>
          </w:tcPr>
          <w:p>
            <w:pPr>
              <w:jc w:val="center"/>
              <w:spacing w:after="0"/>
              <w:rPr>
                <w:sz w:val="20"/>
                <w:szCs w:val="20"/>
                <w:color w:val="auto"/>
              </w:rPr>
            </w:pPr>
            <w:r>
              <w:rPr>
                <w:rFonts w:ascii="Times New Roman" w:cs="Times New Roman" w:eastAsia="Times New Roman" w:hAnsi="Times New Roman"/>
                <w:sz w:val="15"/>
                <w:szCs w:val="15"/>
                <w:color w:val="auto"/>
                <w:w w:val="98"/>
              </w:rPr>
              <w:t>0.46</w:t>
            </w:r>
          </w:p>
        </w:tc>
        <w:tc>
          <w:tcPr>
            <w:tcW w:w="580" w:type="dxa"/>
            <w:vAlign w:val="bottom"/>
          </w:tcPr>
          <w:p>
            <w:pPr>
              <w:ind w:left="120"/>
              <w:spacing w:after="0"/>
              <w:rPr>
                <w:sz w:val="20"/>
                <w:szCs w:val="20"/>
                <w:color w:val="auto"/>
              </w:rPr>
            </w:pPr>
            <w:r>
              <w:rPr>
                <w:rFonts w:ascii="Times New Roman" w:cs="Times New Roman" w:eastAsia="Times New Roman" w:hAnsi="Times New Roman"/>
                <w:sz w:val="15"/>
                <w:szCs w:val="15"/>
                <w:color w:val="auto"/>
              </w:rPr>
              <w:t>0.45</w:t>
            </w:r>
          </w:p>
        </w:tc>
        <w:tc>
          <w:tcPr>
            <w:tcW w:w="700" w:type="dxa"/>
            <w:vAlign w:val="bottom"/>
            <w:gridSpan w:val="2"/>
          </w:tcPr>
          <w:p>
            <w:pPr>
              <w:jc w:val="center"/>
              <w:ind w:left="5"/>
              <w:spacing w:after="0"/>
              <w:rPr>
                <w:sz w:val="20"/>
                <w:szCs w:val="20"/>
                <w:color w:val="auto"/>
              </w:rPr>
            </w:pPr>
            <w:r>
              <w:rPr>
                <w:rFonts w:ascii="Times New Roman" w:cs="Times New Roman" w:eastAsia="Times New Roman" w:hAnsi="Times New Roman"/>
                <w:sz w:val="15"/>
                <w:szCs w:val="15"/>
                <w:color w:val="auto"/>
                <w:w w:val="98"/>
              </w:rPr>
              <w:t>0.48</w:t>
            </w:r>
          </w:p>
        </w:tc>
        <w:tc>
          <w:tcPr>
            <w:tcW w:w="660" w:type="dxa"/>
            <w:vAlign w:val="bottom"/>
          </w:tcPr>
          <w:p>
            <w:pPr>
              <w:ind w:left="160"/>
              <w:spacing w:after="0"/>
              <w:rPr>
                <w:sz w:val="20"/>
                <w:szCs w:val="20"/>
                <w:color w:val="auto"/>
              </w:rPr>
            </w:pPr>
            <w:r>
              <w:rPr>
                <w:rFonts w:ascii="Times New Roman" w:cs="Times New Roman" w:eastAsia="Times New Roman" w:hAnsi="Times New Roman"/>
                <w:sz w:val="15"/>
                <w:szCs w:val="15"/>
                <w:color w:val="auto"/>
              </w:rPr>
              <w:t>0.40</w:t>
            </w:r>
          </w:p>
        </w:tc>
        <w:tc>
          <w:tcPr>
            <w:tcW w:w="620" w:type="dxa"/>
            <w:vAlign w:val="bottom"/>
            <w:gridSpan w:val="2"/>
          </w:tcPr>
          <w:p>
            <w:pPr>
              <w:jc w:val="center"/>
              <w:ind w:left="5"/>
              <w:spacing w:after="0"/>
              <w:rPr>
                <w:sz w:val="20"/>
                <w:szCs w:val="20"/>
                <w:color w:val="auto"/>
              </w:rPr>
            </w:pPr>
            <w:r>
              <w:rPr>
                <w:rFonts w:ascii="Times New Roman" w:cs="Times New Roman" w:eastAsia="Times New Roman" w:hAnsi="Times New Roman"/>
                <w:sz w:val="15"/>
                <w:szCs w:val="15"/>
                <w:color w:val="auto"/>
                <w:w w:val="98"/>
              </w:rPr>
              <w:t>0.40</w:t>
            </w:r>
          </w:p>
        </w:tc>
        <w:tc>
          <w:tcPr>
            <w:tcW w:w="640" w:type="dxa"/>
            <w:vAlign w:val="bottom"/>
          </w:tcPr>
          <w:p>
            <w:pPr>
              <w:ind w:left="160"/>
              <w:spacing w:after="0"/>
              <w:rPr>
                <w:sz w:val="20"/>
                <w:szCs w:val="20"/>
                <w:color w:val="auto"/>
              </w:rPr>
            </w:pPr>
            <w:r>
              <w:rPr>
                <w:rFonts w:ascii="Times New Roman" w:cs="Times New Roman" w:eastAsia="Times New Roman" w:hAnsi="Times New Roman"/>
                <w:sz w:val="15"/>
                <w:szCs w:val="15"/>
                <w:color w:val="auto"/>
              </w:rPr>
              <w:t>0.59</w:t>
            </w:r>
          </w:p>
        </w:tc>
        <w:tc>
          <w:tcPr>
            <w:tcW w:w="0" w:type="dxa"/>
            <w:vAlign w:val="bottom"/>
          </w:tcPr>
          <w:p>
            <w:pPr>
              <w:spacing w:after="0"/>
              <w:rPr>
                <w:sz w:val="1"/>
                <w:szCs w:val="1"/>
                <w:color w:val="auto"/>
              </w:rPr>
            </w:pPr>
          </w:p>
        </w:tc>
      </w:tr>
      <w:tr>
        <w:trPr>
          <w:trHeight w:val="214"/>
        </w:trPr>
        <w:tc>
          <w:tcPr>
            <w:tcW w:w="1800" w:type="dxa"/>
            <w:vAlign w:val="bottom"/>
          </w:tcPr>
          <w:p>
            <w:pPr>
              <w:spacing w:after="0" w:line="214" w:lineRule="exact"/>
              <w:rPr>
                <w:sz w:val="20"/>
                <w:szCs w:val="20"/>
                <w:color w:val="auto"/>
              </w:rPr>
            </w:pPr>
            <w:r>
              <w:rPr>
                <w:rFonts w:ascii="Times New Roman" w:cs="Times New Roman" w:eastAsia="Times New Roman" w:hAnsi="Times New Roman"/>
                <w:sz w:val="15"/>
                <w:szCs w:val="15"/>
                <w:color w:val="auto"/>
              </w:rPr>
              <w:t>Annual earnings</w:t>
            </w:r>
            <w:r>
              <w:rPr>
                <w:rFonts w:ascii="Times New Roman" w:cs="Times New Roman" w:eastAsia="Times New Roman" w:hAnsi="Times New Roman"/>
                <w:sz w:val="19"/>
                <w:szCs w:val="19"/>
                <w:color w:val="auto"/>
                <w:vertAlign w:val="superscript"/>
              </w:rPr>
              <w:t>b</w:t>
            </w:r>
          </w:p>
        </w:tc>
        <w:tc>
          <w:tcPr>
            <w:tcW w:w="800" w:type="dxa"/>
            <w:vAlign w:val="bottom"/>
          </w:tcPr>
          <w:p>
            <w:pPr>
              <w:jc w:val="center"/>
              <w:spacing w:after="0"/>
              <w:rPr>
                <w:sz w:val="20"/>
                <w:szCs w:val="20"/>
                <w:color w:val="auto"/>
              </w:rPr>
            </w:pPr>
            <w:r>
              <w:rPr>
                <w:rFonts w:ascii="Times New Roman" w:cs="Times New Roman" w:eastAsia="Times New Roman" w:hAnsi="Times New Roman"/>
                <w:sz w:val="15"/>
                <w:szCs w:val="15"/>
                <w:color w:val="auto"/>
                <w:w w:val="96"/>
              </w:rPr>
              <w:t>19,966</w:t>
            </w:r>
          </w:p>
        </w:tc>
        <w:tc>
          <w:tcPr>
            <w:tcW w:w="660" w:type="dxa"/>
            <w:vAlign w:val="bottom"/>
          </w:tcPr>
          <w:p>
            <w:pPr>
              <w:jc w:val="center"/>
              <w:spacing w:after="0"/>
              <w:rPr>
                <w:sz w:val="20"/>
                <w:szCs w:val="20"/>
                <w:color w:val="auto"/>
              </w:rPr>
            </w:pPr>
            <w:r>
              <w:rPr>
                <w:rFonts w:ascii="Times New Roman" w:cs="Times New Roman" w:eastAsia="Times New Roman" w:hAnsi="Times New Roman"/>
                <w:sz w:val="15"/>
                <w:szCs w:val="15"/>
                <w:color w:val="auto"/>
                <w:w w:val="96"/>
              </w:rPr>
              <w:t>20,037</w:t>
            </w:r>
          </w:p>
        </w:tc>
        <w:tc>
          <w:tcPr>
            <w:tcW w:w="580" w:type="dxa"/>
            <w:vAlign w:val="bottom"/>
          </w:tcPr>
          <w:p>
            <w:pPr>
              <w:ind w:left="40"/>
              <w:spacing w:after="0"/>
              <w:rPr>
                <w:sz w:val="20"/>
                <w:szCs w:val="20"/>
                <w:color w:val="auto"/>
              </w:rPr>
            </w:pPr>
            <w:r>
              <w:rPr>
                <w:rFonts w:ascii="Times New Roman" w:cs="Times New Roman" w:eastAsia="Times New Roman" w:hAnsi="Times New Roman"/>
                <w:sz w:val="15"/>
                <w:szCs w:val="15"/>
                <w:color w:val="auto"/>
              </w:rPr>
              <w:t>19,838</w:t>
            </w:r>
          </w:p>
        </w:tc>
        <w:tc>
          <w:tcPr>
            <w:tcW w:w="700" w:type="dxa"/>
            <w:vAlign w:val="bottom"/>
            <w:gridSpan w:val="2"/>
          </w:tcPr>
          <w:p>
            <w:pPr>
              <w:jc w:val="center"/>
              <w:ind w:left="25"/>
              <w:spacing w:after="0"/>
              <w:rPr>
                <w:sz w:val="20"/>
                <w:szCs w:val="20"/>
                <w:color w:val="auto"/>
              </w:rPr>
            </w:pPr>
            <w:r>
              <w:rPr>
                <w:rFonts w:ascii="Times New Roman" w:cs="Times New Roman" w:eastAsia="Times New Roman" w:hAnsi="Times New Roman"/>
                <w:sz w:val="15"/>
                <w:szCs w:val="15"/>
                <w:color w:val="auto"/>
                <w:w w:val="96"/>
              </w:rPr>
              <w:t>20,666</w:t>
            </w:r>
          </w:p>
        </w:tc>
        <w:tc>
          <w:tcPr>
            <w:tcW w:w="660" w:type="dxa"/>
            <w:vAlign w:val="bottom"/>
          </w:tcPr>
          <w:p>
            <w:pPr>
              <w:ind w:left="100"/>
              <w:spacing w:after="0"/>
              <w:rPr>
                <w:sz w:val="20"/>
                <w:szCs w:val="20"/>
                <w:color w:val="auto"/>
              </w:rPr>
            </w:pPr>
            <w:r>
              <w:rPr>
                <w:rFonts w:ascii="Times New Roman" w:cs="Times New Roman" w:eastAsia="Times New Roman" w:hAnsi="Times New Roman"/>
                <w:sz w:val="15"/>
                <w:szCs w:val="15"/>
                <w:color w:val="auto"/>
              </w:rPr>
              <w:t>19,378</w:t>
            </w:r>
          </w:p>
        </w:tc>
        <w:tc>
          <w:tcPr>
            <w:tcW w:w="620" w:type="dxa"/>
            <w:vAlign w:val="bottom"/>
            <w:gridSpan w:val="2"/>
          </w:tcPr>
          <w:p>
            <w:pPr>
              <w:jc w:val="center"/>
              <w:ind w:left="5"/>
              <w:spacing w:after="0"/>
              <w:rPr>
                <w:sz w:val="20"/>
                <w:szCs w:val="20"/>
                <w:color w:val="auto"/>
              </w:rPr>
            </w:pPr>
            <w:r>
              <w:rPr>
                <w:rFonts w:ascii="Times New Roman" w:cs="Times New Roman" w:eastAsia="Times New Roman" w:hAnsi="Times New Roman"/>
                <w:sz w:val="15"/>
                <w:szCs w:val="15"/>
                <w:color w:val="auto"/>
              </w:rPr>
              <w:t>17,874</w:t>
            </w:r>
          </w:p>
        </w:tc>
        <w:tc>
          <w:tcPr>
            <w:tcW w:w="640" w:type="dxa"/>
            <w:vAlign w:val="bottom"/>
          </w:tcPr>
          <w:p>
            <w:pPr>
              <w:ind w:left="80"/>
              <w:spacing w:after="0"/>
              <w:rPr>
                <w:sz w:val="20"/>
                <w:szCs w:val="20"/>
                <w:color w:val="auto"/>
              </w:rPr>
            </w:pPr>
            <w:r>
              <w:rPr>
                <w:rFonts w:ascii="Times New Roman" w:cs="Times New Roman" w:eastAsia="Times New Roman" w:hAnsi="Times New Roman"/>
                <w:sz w:val="15"/>
                <w:szCs w:val="15"/>
                <w:color w:val="auto"/>
              </w:rPr>
              <w:t>20,811</w:t>
            </w:r>
          </w:p>
        </w:tc>
        <w:tc>
          <w:tcPr>
            <w:tcW w:w="0" w:type="dxa"/>
            <w:vAlign w:val="bottom"/>
          </w:tcPr>
          <w:p>
            <w:pPr>
              <w:spacing w:after="0"/>
              <w:rPr>
                <w:sz w:val="1"/>
                <w:szCs w:val="1"/>
                <w:color w:val="auto"/>
              </w:rPr>
            </w:pPr>
          </w:p>
        </w:tc>
      </w:tr>
      <w:tr>
        <w:trPr>
          <w:trHeight w:val="165"/>
        </w:trPr>
        <w:tc>
          <w:tcPr>
            <w:tcW w:w="1800" w:type="dxa"/>
            <w:vAlign w:val="bottom"/>
          </w:tcPr>
          <w:p>
            <w:pPr>
              <w:spacing w:after="0" w:line="165" w:lineRule="exact"/>
              <w:rPr>
                <w:sz w:val="20"/>
                <w:szCs w:val="20"/>
                <w:color w:val="auto"/>
              </w:rPr>
            </w:pPr>
            <w:r>
              <w:rPr>
                <w:rFonts w:ascii="Times New Roman" w:cs="Times New Roman" w:eastAsia="Times New Roman" w:hAnsi="Times New Roman"/>
                <w:sz w:val="15"/>
                <w:szCs w:val="15"/>
                <w:color w:val="auto"/>
              </w:rPr>
              <w:t>Missing earnings</w:t>
            </w:r>
          </w:p>
        </w:tc>
        <w:tc>
          <w:tcPr>
            <w:tcW w:w="800" w:type="dxa"/>
            <w:vAlign w:val="bottom"/>
          </w:tcPr>
          <w:p>
            <w:pPr>
              <w:jc w:val="center"/>
              <w:spacing w:after="0" w:line="165" w:lineRule="exact"/>
              <w:rPr>
                <w:sz w:val="20"/>
                <w:szCs w:val="20"/>
                <w:color w:val="auto"/>
              </w:rPr>
            </w:pPr>
            <w:r>
              <w:rPr>
                <w:rFonts w:ascii="Times New Roman" w:cs="Times New Roman" w:eastAsia="Times New Roman" w:hAnsi="Times New Roman"/>
                <w:sz w:val="15"/>
                <w:szCs w:val="15"/>
                <w:color w:val="auto"/>
                <w:w w:val="98"/>
              </w:rPr>
              <w:t>0.35</w:t>
            </w:r>
          </w:p>
        </w:tc>
        <w:tc>
          <w:tcPr>
            <w:tcW w:w="660" w:type="dxa"/>
            <w:vAlign w:val="bottom"/>
          </w:tcPr>
          <w:p>
            <w:pPr>
              <w:jc w:val="center"/>
              <w:spacing w:after="0" w:line="165" w:lineRule="exact"/>
              <w:rPr>
                <w:sz w:val="20"/>
                <w:szCs w:val="20"/>
                <w:color w:val="auto"/>
              </w:rPr>
            </w:pPr>
            <w:r>
              <w:rPr>
                <w:rFonts w:ascii="Times New Roman" w:cs="Times New Roman" w:eastAsia="Times New Roman" w:hAnsi="Times New Roman"/>
                <w:sz w:val="15"/>
                <w:szCs w:val="15"/>
                <w:color w:val="auto"/>
                <w:w w:val="98"/>
              </w:rPr>
              <w:t>0.36</w:t>
            </w:r>
          </w:p>
        </w:tc>
        <w:tc>
          <w:tcPr>
            <w:tcW w:w="580" w:type="dxa"/>
            <w:vAlign w:val="bottom"/>
          </w:tcPr>
          <w:p>
            <w:pPr>
              <w:ind w:left="120"/>
              <w:spacing w:after="0" w:line="165" w:lineRule="exact"/>
              <w:rPr>
                <w:sz w:val="20"/>
                <w:szCs w:val="20"/>
                <w:color w:val="auto"/>
              </w:rPr>
            </w:pPr>
            <w:r>
              <w:rPr>
                <w:rFonts w:ascii="Times New Roman" w:cs="Times New Roman" w:eastAsia="Times New Roman" w:hAnsi="Times New Roman"/>
                <w:sz w:val="15"/>
                <w:szCs w:val="15"/>
                <w:color w:val="auto"/>
              </w:rPr>
              <w:t>0.33</w:t>
            </w:r>
          </w:p>
        </w:tc>
        <w:tc>
          <w:tcPr>
            <w:tcW w:w="700" w:type="dxa"/>
            <w:vAlign w:val="bottom"/>
            <w:gridSpan w:val="2"/>
          </w:tcPr>
          <w:p>
            <w:pPr>
              <w:jc w:val="center"/>
              <w:ind w:left="5"/>
              <w:spacing w:after="0" w:line="165" w:lineRule="exact"/>
              <w:rPr>
                <w:sz w:val="20"/>
                <w:szCs w:val="20"/>
                <w:color w:val="auto"/>
              </w:rPr>
            </w:pPr>
            <w:r>
              <w:rPr>
                <w:rFonts w:ascii="Times New Roman" w:cs="Times New Roman" w:eastAsia="Times New Roman" w:hAnsi="Times New Roman"/>
                <w:sz w:val="15"/>
                <w:szCs w:val="15"/>
                <w:color w:val="auto"/>
                <w:w w:val="98"/>
              </w:rPr>
              <w:t>0.41</w:t>
            </w:r>
          </w:p>
        </w:tc>
        <w:tc>
          <w:tcPr>
            <w:tcW w:w="660" w:type="dxa"/>
            <w:vAlign w:val="bottom"/>
          </w:tcPr>
          <w:p>
            <w:pPr>
              <w:ind w:left="160"/>
              <w:spacing w:after="0" w:line="165" w:lineRule="exact"/>
              <w:rPr>
                <w:sz w:val="20"/>
                <w:szCs w:val="20"/>
                <w:color w:val="auto"/>
              </w:rPr>
            </w:pPr>
            <w:r>
              <w:rPr>
                <w:rFonts w:ascii="Times New Roman" w:cs="Times New Roman" w:eastAsia="Times New Roman" w:hAnsi="Times New Roman"/>
                <w:sz w:val="15"/>
                <w:szCs w:val="15"/>
                <w:color w:val="auto"/>
              </w:rPr>
              <w:t>0.39</w:t>
            </w:r>
          </w:p>
        </w:tc>
        <w:tc>
          <w:tcPr>
            <w:tcW w:w="620" w:type="dxa"/>
            <w:vAlign w:val="bottom"/>
            <w:gridSpan w:val="2"/>
          </w:tcPr>
          <w:p>
            <w:pPr>
              <w:jc w:val="center"/>
              <w:ind w:left="5"/>
              <w:spacing w:after="0" w:line="165" w:lineRule="exact"/>
              <w:rPr>
                <w:sz w:val="20"/>
                <w:szCs w:val="20"/>
                <w:color w:val="auto"/>
              </w:rPr>
            </w:pPr>
            <w:r>
              <w:rPr>
                <w:rFonts w:ascii="Times New Roman" w:cs="Times New Roman" w:eastAsia="Times New Roman" w:hAnsi="Times New Roman"/>
                <w:sz w:val="15"/>
                <w:szCs w:val="15"/>
                <w:color w:val="auto"/>
                <w:w w:val="98"/>
              </w:rPr>
              <w:t>0.08</w:t>
            </w:r>
          </w:p>
        </w:tc>
        <w:tc>
          <w:tcPr>
            <w:tcW w:w="640" w:type="dxa"/>
            <w:vAlign w:val="bottom"/>
          </w:tcPr>
          <w:p>
            <w:pPr>
              <w:ind w:left="160"/>
              <w:spacing w:after="0" w:line="165" w:lineRule="exact"/>
              <w:rPr>
                <w:sz w:val="20"/>
                <w:szCs w:val="20"/>
                <w:color w:val="auto"/>
              </w:rPr>
            </w:pPr>
            <w:r>
              <w:rPr>
                <w:rFonts w:ascii="Times New Roman" w:cs="Times New Roman" w:eastAsia="Times New Roman" w:hAnsi="Times New Roman"/>
                <w:sz w:val="15"/>
                <w:szCs w:val="15"/>
                <w:color w:val="auto"/>
              </w:rPr>
              <w:t>0.18</w:t>
            </w:r>
          </w:p>
        </w:tc>
        <w:tc>
          <w:tcPr>
            <w:tcW w:w="0" w:type="dxa"/>
            <w:vAlign w:val="bottom"/>
          </w:tcPr>
          <w:p>
            <w:pPr>
              <w:spacing w:after="0"/>
              <w:rPr>
                <w:sz w:val="1"/>
                <w:szCs w:val="1"/>
                <w:color w:val="auto"/>
              </w:rPr>
            </w:pPr>
          </w:p>
        </w:tc>
      </w:tr>
      <w:tr>
        <w:trPr>
          <w:trHeight w:val="189"/>
        </w:trPr>
        <w:tc>
          <w:tcPr>
            <w:tcW w:w="1800" w:type="dxa"/>
            <w:vAlign w:val="bottom"/>
          </w:tcPr>
          <w:p>
            <w:pPr>
              <w:ind w:left="160"/>
              <w:spacing w:after="0"/>
              <w:rPr>
                <w:sz w:val="20"/>
                <w:szCs w:val="20"/>
                <w:color w:val="auto"/>
              </w:rPr>
            </w:pPr>
            <w:r>
              <w:rPr>
                <w:rFonts w:ascii="Times New Roman" w:cs="Times New Roman" w:eastAsia="Times New Roman" w:hAnsi="Times New Roman"/>
                <w:sz w:val="15"/>
                <w:szCs w:val="15"/>
                <w:color w:val="auto"/>
              </w:rPr>
              <w:t>information</w:t>
            </w:r>
          </w:p>
        </w:tc>
        <w:tc>
          <w:tcPr>
            <w:tcW w:w="800" w:type="dxa"/>
            <w:vAlign w:val="bottom"/>
          </w:tcPr>
          <w:p>
            <w:pPr>
              <w:spacing w:after="0"/>
              <w:rPr>
                <w:sz w:val="16"/>
                <w:szCs w:val="16"/>
                <w:color w:val="auto"/>
              </w:rPr>
            </w:pPr>
          </w:p>
        </w:tc>
        <w:tc>
          <w:tcPr>
            <w:tcW w:w="660" w:type="dxa"/>
            <w:vAlign w:val="bottom"/>
          </w:tcPr>
          <w:p>
            <w:pPr>
              <w:spacing w:after="0"/>
              <w:rPr>
                <w:sz w:val="16"/>
                <w:szCs w:val="16"/>
                <w:color w:val="auto"/>
              </w:rPr>
            </w:pPr>
          </w:p>
        </w:tc>
        <w:tc>
          <w:tcPr>
            <w:tcW w:w="580" w:type="dxa"/>
            <w:vAlign w:val="bottom"/>
          </w:tcPr>
          <w:p>
            <w:pPr>
              <w:spacing w:after="0"/>
              <w:rPr>
                <w:sz w:val="16"/>
                <w:szCs w:val="16"/>
                <w:color w:val="auto"/>
              </w:rPr>
            </w:pPr>
          </w:p>
        </w:tc>
        <w:tc>
          <w:tcPr>
            <w:tcW w:w="80" w:type="dxa"/>
            <w:vAlign w:val="bottom"/>
          </w:tcPr>
          <w:p>
            <w:pPr>
              <w:spacing w:after="0"/>
              <w:rPr>
                <w:sz w:val="16"/>
                <w:szCs w:val="16"/>
                <w:color w:val="auto"/>
              </w:rPr>
            </w:pPr>
          </w:p>
        </w:tc>
        <w:tc>
          <w:tcPr>
            <w:tcW w:w="620" w:type="dxa"/>
            <w:vAlign w:val="bottom"/>
          </w:tcPr>
          <w:p>
            <w:pPr>
              <w:spacing w:after="0"/>
              <w:rPr>
                <w:sz w:val="16"/>
                <w:szCs w:val="16"/>
                <w:color w:val="auto"/>
              </w:rPr>
            </w:pPr>
          </w:p>
        </w:tc>
        <w:tc>
          <w:tcPr>
            <w:tcW w:w="660" w:type="dxa"/>
            <w:vAlign w:val="bottom"/>
          </w:tcPr>
          <w:p>
            <w:pPr>
              <w:spacing w:after="0"/>
              <w:rPr>
                <w:sz w:val="16"/>
                <w:szCs w:val="16"/>
                <w:color w:val="auto"/>
              </w:rPr>
            </w:pPr>
          </w:p>
        </w:tc>
        <w:tc>
          <w:tcPr>
            <w:tcW w:w="60" w:type="dxa"/>
            <w:vAlign w:val="bottom"/>
          </w:tcPr>
          <w:p>
            <w:pPr>
              <w:spacing w:after="0"/>
              <w:rPr>
                <w:sz w:val="16"/>
                <w:szCs w:val="16"/>
                <w:color w:val="auto"/>
              </w:rPr>
            </w:pPr>
          </w:p>
        </w:tc>
        <w:tc>
          <w:tcPr>
            <w:tcW w:w="560" w:type="dxa"/>
            <w:vAlign w:val="bottom"/>
          </w:tcPr>
          <w:p>
            <w:pPr>
              <w:spacing w:after="0"/>
              <w:rPr>
                <w:sz w:val="16"/>
                <w:szCs w:val="16"/>
                <w:color w:val="auto"/>
              </w:rPr>
            </w:pPr>
          </w:p>
        </w:tc>
        <w:tc>
          <w:tcPr>
            <w:tcW w:w="640" w:type="dxa"/>
            <w:vAlign w:val="bottom"/>
          </w:tcPr>
          <w:p>
            <w:pPr>
              <w:spacing w:after="0"/>
              <w:rPr>
                <w:sz w:val="16"/>
                <w:szCs w:val="16"/>
                <w:color w:val="auto"/>
              </w:rPr>
            </w:pPr>
          </w:p>
        </w:tc>
        <w:tc>
          <w:tcPr>
            <w:tcW w:w="0" w:type="dxa"/>
            <w:vAlign w:val="bottom"/>
          </w:tcPr>
          <w:p>
            <w:pPr>
              <w:spacing w:after="0"/>
              <w:rPr>
                <w:sz w:val="1"/>
                <w:szCs w:val="1"/>
                <w:color w:val="auto"/>
              </w:rPr>
            </w:pPr>
          </w:p>
        </w:tc>
      </w:tr>
      <w:tr>
        <w:trPr>
          <w:trHeight w:val="189"/>
        </w:trPr>
        <w:tc>
          <w:tcPr>
            <w:tcW w:w="1800" w:type="dxa"/>
            <w:vAlign w:val="bottom"/>
          </w:tcPr>
          <w:p>
            <w:pPr>
              <w:spacing w:after="0"/>
              <w:rPr>
                <w:sz w:val="20"/>
                <w:szCs w:val="20"/>
                <w:color w:val="auto"/>
              </w:rPr>
            </w:pPr>
            <w:r>
              <w:rPr>
                <w:rFonts w:ascii="Times New Roman" w:cs="Times New Roman" w:eastAsia="Times New Roman" w:hAnsi="Times New Roman"/>
                <w:sz w:val="15"/>
                <w:szCs w:val="15"/>
                <w:color w:val="auto"/>
              </w:rPr>
              <w:t>Received public assistance</w:t>
            </w:r>
          </w:p>
        </w:tc>
        <w:tc>
          <w:tcPr>
            <w:tcW w:w="800" w:type="dxa"/>
            <w:vAlign w:val="bottom"/>
          </w:tcPr>
          <w:p>
            <w:pPr>
              <w:jc w:val="center"/>
              <w:spacing w:after="0"/>
              <w:rPr>
                <w:sz w:val="20"/>
                <w:szCs w:val="20"/>
                <w:color w:val="auto"/>
              </w:rPr>
            </w:pPr>
            <w:r>
              <w:rPr>
                <w:rFonts w:ascii="Times New Roman" w:cs="Times New Roman" w:eastAsia="Times New Roman" w:hAnsi="Times New Roman"/>
                <w:sz w:val="15"/>
                <w:szCs w:val="15"/>
                <w:color w:val="auto"/>
                <w:w w:val="98"/>
              </w:rPr>
              <w:t>0.15</w:t>
            </w:r>
          </w:p>
        </w:tc>
        <w:tc>
          <w:tcPr>
            <w:tcW w:w="660" w:type="dxa"/>
            <w:vAlign w:val="bottom"/>
          </w:tcPr>
          <w:p>
            <w:pPr>
              <w:jc w:val="center"/>
              <w:spacing w:after="0"/>
              <w:rPr>
                <w:sz w:val="20"/>
                <w:szCs w:val="20"/>
                <w:color w:val="auto"/>
              </w:rPr>
            </w:pPr>
            <w:r>
              <w:rPr>
                <w:rFonts w:ascii="Times New Roman" w:cs="Times New Roman" w:eastAsia="Times New Roman" w:hAnsi="Times New Roman"/>
                <w:sz w:val="15"/>
                <w:szCs w:val="15"/>
                <w:color w:val="auto"/>
                <w:w w:val="98"/>
              </w:rPr>
              <w:t>0.14</w:t>
            </w:r>
          </w:p>
        </w:tc>
        <w:tc>
          <w:tcPr>
            <w:tcW w:w="580" w:type="dxa"/>
            <w:vAlign w:val="bottom"/>
          </w:tcPr>
          <w:p>
            <w:pPr>
              <w:ind w:left="120"/>
              <w:spacing w:after="0"/>
              <w:rPr>
                <w:sz w:val="20"/>
                <w:szCs w:val="20"/>
                <w:color w:val="auto"/>
              </w:rPr>
            </w:pPr>
            <w:r>
              <w:rPr>
                <w:rFonts w:ascii="Times New Roman" w:cs="Times New Roman" w:eastAsia="Times New Roman" w:hAnsi="Times New Roman"/>
                <w:sz w:val="15"/>
                <w:szCs w:val="15"/>
                <w:color w:val="auto"/>
              </w:rPr>
              <w:t>0.15</w:t>
            </w:r>
          </w:p>
        </w:tc>
        <w:tc>
          <w:tcPr>
            <w:tcW w:w="700" w:type="dxa"/>
            <w:vAlign w:val="bottom"/>
            <w:gridSpan w:val="2"/>
          </w:tcPr>
          <w:p>
            <w:pPr>
              <w:jc w:val="center"/>
              <w:ind w:left="5"/>
              <w:spacing w:after="0"/>
              <w:rPr>
                <w:sz w:val="20"/>
                <w:szCs w:val="20"/>
                <w:color w:val="auto"/>
              </w:rPr>
            </w:pPr>
            <w:r>
              <w:rPr>
                <w:rFonts w:ascii="Times New Roman" w:cs="Times New Roman" w:eastAsia="Times New Roman" w:hAnsi="Times New Roman"/>
                <w:sz w:val="15"/>
                <w:szCs w:val="15"/>
                <w:color w:val="auto"/>
                <w:w w:val="98"/>
              </w:rPr>
              <w:t>0.15</w:t>
            </w:r>
          </w:p>
        </w:tc>
        <w:tc>
          <w:tcPr>
            <w:tcW w:w="660" w:type="dxa"/>
            <w:vAlign w:val="bottom"/>
          </w:tcPr>
          <w:p>
            <w:pPr>
              <w:ind w:left="160"/>
              <w:spacing w:after="0"/>
              <w:rPr>
                <w:sz w:val="20"/>
                <w:szCs w:val="20"/>
                <w:color w:val="auto"/>
              </w:rPr>
            </w:pPr>
            <w:r>
              <w:rPr>
                <w:rFonts w:ascii="Times New Roman" w:cs="Times New Roman" w:eastAsia="Times New Roman" w:hAnsi="Times New Roman"/>
                <w:sz w:val="15"/>
                <w:szCs w:val="15"/>
                <w:color w:val="auto"/>
              </w:rPr>
              <w:t>0.15</w:t>
            </w:r>
          </w:p>
        </w:tc>
        <w:tc>
          <w:tcPr>
            <w:tcW w:w="620" w:type="dxa"/>
            <w:vAlign w:val="bottom"/>
            <w:gridSpan w:val="2"/>
          </w:tcPr>
          <w:p>
            <w:pPr>
              <w:jc w:val="center"/>
              <w:ind w:left="5"/>
              <w:spacing w:after="0"/>
              <w:rPr>
                <w:sz w:val="20"/>
                <w:szCs w:val="20"/>
                <w:color w:val="auto"/>
              </w:rPr>
            </w:pPr>
            <w:r>
              <w:rPr>
                <w:rFonts w:ascii="Times New Roman" w:cs="Times New Roman" w:eastAsia="Times New Roman" w:hAnsi="Times New Roman"/>
                <w:sz w:val="15"/>
                <w:szCs w:val="15"/>
                <w:color w:val="auto"/>
                <w:w w:val="98"/>
              </w:rPr>
              <w:t>0.12</w:t>
            </w:r>
          </w:p>
        </w:tc>
        <w:tc>
          <w:tcPr>
            <w:tcW w:w="640" w:type="dxa"/>
            <w:vAlign w:val="bottom"/>
          </w:tcPr>
          <w:p>
            <w:pPr>
              <w:ind w:left="160"/>
              <w:spacing w:after="0"/>
              <w:rPr>
                <w:sz w:val="20"/>
                <w:szCs w:val="20"/>
                <w:color w:val="auto"/>
              </w:rPr>
            </w:pPr>
            <w:r>
              <w:rPr>
                <w:rFonts w:ascii="Times New Roman" w:cs="Times New Roman" w:eastAsia="Times New Roman" w:hAnsi="Times New Roman"/>
                <w:sz w:val="15"/>
                <w:szCs w:val="15"/>
                <w:color w:val="auto"/>
              </w:rPr>
              <w:t>0.18</w:t>
            </w:r>
          </w:p>
        </w:tc>
        <w:tc>
          <w:tcPr>
            <w:tcW w:w="0" w:type="dxa"/>
            <w:vAlign w:val="bottom"/>
          </w:tcPr>
          <w:p>
            <w:pPr>
              <w:spacing w:after="0"/>
              <w:rPr>
                <w:sz w:val="1"/>
                <w:szCs w:val="1"/>
                <w:color w:val="auto"/>
              </w:rPr>
            </w:pPr>
          </w:p>
        </w:tc>
      </w:tr>
      <w:tr>
        <w:trPr>
          <w:trHeight w:val="189"/>
        </w:trPr>
        <w:tc>
          <w:tcPr>
            <w:tcW w:w="1800" w:type="dxa"/>
            <w:vAlign w:val="bottom"/>
          </w:tcPr>
          <w:p>
            <w:pPr>
              <w:spacing w:after="0"/>
              <w:rPr>
                <w:sz w:val="20"/>
                <w:szCs w:val="20"/>
                <w:color w:val="auto"/>
              </w:rPr>
            </w:pPr>
            <w:r>
              <w:rPr>
                <w:rFonts w:ascii="Times New Roman" w:cs="Times New Roman" w:eastAsia="Times New Roman" w:hAnsi="Times New Roman"/>
                <w:sz w:val="15"/>
                <w:szCs w:val="15"/>
                <w:color w:val="auto"/>
              </w:rPr>
              <w:t>Has stocks, bonds, mutual</w:t>
            </w:r>
          </w:p>
        </w:tc>
        <w:tc>
          <w:tcPr>
            <w:tcW w:w="800" w:type="dxa"/>
            <w:vAlign w:val="bottom"/>
          </w:tcPr>
          <w:p>
            <w:pPr>
              <w:jc w:val="center"/>
              <w:spacing w:after="0"/>
              <w:rPr>
                <w:sz w:val="20"/>
                <w:szCs w:val="20"/>
                <w:color w:val="auto"/>
              </w:rPr>
            </w:pPr>
            <w:r>
              <w:rPr>
                <w:rFonts w:ascii="Times New Roman" w:cs="Times New Roman" w:eastAsia="Times New Roman" w:hAnsi="Times New Roman"/>
                <w:sz w:val="15"/>
                <w:szCs w:val="15"/>
                <w:color w:val="auto"/>
                <w:w w:val="98"/>
              </w:rPr>
              <w:t>0.12</w:t>
            </w:r>
          </w:p>
        </w:tc>
        <w:tc>
          <w:tcPr>
            <w:tcW w:w="660" w:type="dxa"/>
            <w:vAlign w:val="bottom"/>
          </w:tcPr>
          <w:p>
            <w:pPr>
              <w:jc w:val="center"/>
              <w:spacing w:after="0"/>
              <w:rPr>
                <w:sz w:val="20"/>
                <w:szCs w:val="20"/>
                <w:color w:val="auto"/>
              </w:rPr>
            </w:pPr>
            <w:r>
              <w:rPr>
                <w:rFonts w:ascii="Times New Roman" w:cs="Times New Roman" w:eastAsia="Times New Roman" w:hAnsi="Times New Roman"/>
                <w:sz w:val="15"/>
                <w:szCs w:val="15"/>
                <w:color w:val="auto"/>
                <w:w w:val="98"/>
              </w:rPr>
              <w:t>0.11</w:t>
            </w:r>
          </w:p>
        </w:tc>
        <w:tc>
          <w:tcPr>
            <w:tcW w:w="580" w:type="dxa"/>
            <w:vAlign w:val="bottom"/>
          </w:tcPr>
          <w:p>
            <w:pPr>
              <w:ind w:left="120"/>
              <w:spacing w:after="0"/>
              <w:rPr>
                <w:sz w:val="20"/>
                <w:szCs w:val="20"/>
                <w:color w:val="auto"/>
              </w:rPr>
            </w:pPr>
            <w:r>
              <w:rPr>
                <w:rFonts w:ascii="Times New Roman" w:cs="Times New Roman" w:eastAsia="Times New Roman" w:hAnsi="Times New Roman"/>
                <w:sz w:val="15"/>
                <w:szCs w:val="15"/>
                <w:color w:val="auto"/>
              </w:rPr>
              <w:t>0.12</w:t>
            </w:r>
          </w:p>
        </w:tc>
        <w:tc>
          <w:tcPr>
            <w:tcW w:w="700" w:type="dxa"/>
            <w:vAlign w:val="bottom"/>
            <w:gridSpan w:val="2"/>
          </w:tcPr>
          <w:p>
            <w:pPr>
              <w:jc w:val="center"/>
              <w:ind w:left="5"/>
              <w:spacing w:after="0"/>
              <w:rPr>
                <w:sz w:val="20"/>
                <w:szCs w:val="20"/>
                <w:color w:val="auto"/>
              </w:rPr>
            </w:pPr>
            <w:r>
              <w:rPr>
                <w:rFonts w:ascii="Times New Roman" w:cs="Times New Roman" w:eastAsia="Times New Roman" w:hAnsi="Times New Roman"/>
                <w:sz w:val="15"/>
                <w:szCs w:val="15"/>
                <w:color w:val="auto"/>
                <w:w w:val="98"/>
              </w:rPr>
              <w:t>0.12</w:t>
            </w:r>
          </w:p>
        </w:tc>
        <w:tc>
          <w:tcPr>
            <w:tcW w:w="660" w:type="dxa"/>
            <w:vAlign w:val="bottom"/>
          </w:tcPr>
          <w:p>
            <w:pPr>
              <w:ind w:left="160"/>
              <w:spacing w:after="0"/>
              <w:rPr>
                <w:sz w:val="20"/>
                <w:szCs w:val="20"/>
                <w:color w:val="auto"/>
              </w:rPr>
            </w:pPr>
            <w:r>
              <w:rPr>
                <w:rFonts w:ascii="Times New Roman" w:cs="Times New Roman" w:eastAsia="Times New Roman" w:hAnsi="Times New Roman"/>
                <w:sz w:val="15"/>
                <w:szCs w:val="15"/>
                <w:color w:val="auto"/>
              </w:rPr>
              <w:t>0.11</w:t>
            </w:r>
          </w:p>
        </w:tc>
        <w:tc>
          <w:tcPr>
            <w:tcW w:w="620" w:type="dxa"/>
            <w:vAlign w:val="bottom"/>
            <w:gridSpan w:val="2"/>
          </w:tcPr>
          <w:p>
            <w:pPr>
              <w:jc w:val="center"/>
              <w:ind w:left="5"/>
              <w:spacing w:after="0"/>
              <w:rPr>
                <w:sz w:val="20"/>
                <w:szCs w:val="20"/>
                <w:color w:val="auto"/>
              </w:rPr>
            </w:pPr>
            <w:r>
              <w:rPr>
                <w:rFonts w:ascii="Times New Roman" w:cs="Times New Roman" w:eastAsia="Times New Roman" w:hAnsi="Times New Roman"/>
                <w:sz w:val="15"/>
                <w:szCs w:val="15"/>
                <w:color w:val="auto"/>
                <w:w w:val="98"/>
              </w:rPr>
              <w:t>0.08</w:t>
            </w:r>
          </w:p>
        </w:tc>
        <w:tc>
          <w:tcPr>
            <w:tcW w:w="640" w:type="dxa"/>
            <w:vAlign w:val="bottom"/>
          </w:tcPr>
          <w:p>
            <w:pPr>
              <w:ind w:left="160"/>
              <w:spacing w:after="0"/>
              <w:rPr>
                <w:sz w:val="20"/>
                <w:szCs w:val="20"/>
                <w:color w:val="auto"/>
              </w:rPr>
            </w:pPr>
            <w:r>
              <w:rPr>
                <w:rFonts w:ascii="Times New Roman" w:cs="Times New Roman" w:eastAsia="Times New Roman" w:hAnsi="Times New Roman"/>
                <w:sz w:val="15"/>
                <w:szCs w:val="15"/>
                <w:color w:val="auto"/>
              </w:rPr>
              <w:t>0.14</w:t>
            </w:r>
          </w:p>
        </w:tc>
        <w:tc>
          <w:tcPr>
            <w:tcW w:w="0" w:type="dxa"/>
            <w:vAlign w:val="bottom"/>
          </w:tcPr>
          <w:p>
            <w:pPr>
              <w:spacing w:after="0"/>
              <w:rPr>
                <w:sz w:val="1"/>
                <w:szCs w:val="1"/>
                <w:color w:val="auto"/>
              </w:rPr>
            </w:pPr>
          </w:p>
        </w:tc>
      </w:tr>
      <w:tr>
        <w:trPr>
          <w:trHeight w:val="189"/>
        </w:trPr>
        <w:tc>
          <w:tcPr>
            <w:tcW w:w="1800" w:type="dxa"/>
            <w:vAlign w:val="bottom"/>
          </w:tcPr>
          <w:p>
            <w:pPr>
              <w:ind w:left="160"/>
              <w:spacing w:after="0"/>
              <w:rPr>
                <w:sz w:val="20"/>
                <w:szCs w:val="20"/>
                <w:color w:val="auto"/>
              </w:rPr>
            </w:pPr>
            <w:r>
              <w:rPr>
                <w:rFonts w:ascii="Times New Roman" w:cs="Times New Roman" w:eastAsia="Times New Roman" w:hAnsi="Times New Roman"/>
                <w:sz w:val="15"/>
                <w:szCs w:val="15"/>
                <w:color w:val="auto"/>
              </w:rPr>
              <w:t>funds</w:t>
            </w:r>
          </w:p>
        </w:tc>
        <w:tc>
          <w:tcPr>
            <w:tcW w:w="800" w:type="dxa"/>
            <w:vAlign w:val="bottom"/>
          </w:tcPr>
          <w:p>
            <w:pPr>
              <w:spacing w:after="0"/>
              <w:rPr>
                <w:sz w:val="16"/>
                <w:szCs w:val="16"/>
                <w:color w:val="auto"/>
              </w:rPr>
            </w:pPr>
          </w:p>
        </w:tc>
        <w:tc>
          <w:tcPr>
            <w:tcW w:w="660" w:type="dxa"/>
            <w:vAlign w:val="bottom"/>
          </w:tcPr>
          <w:p>
            <w:pPr>
              <w:spacing w:after="0"/>
              <w:rPr>
                <w:sz w:val="16"/>
                <w:szCs w:val="16"/>
                <w:color w:val="auto"/>
              </w:rPr>
            </w:pPr>
          </w:p>
        </w:tc>
        <w:tc>
          <w:tcPr>
            <w:tcW w:w="580" w:type="dxa"/>
            <w:vAlign w:val="bottom"/>
          </w:tcPr>
          <w:p>
            <w:pPr>
              <w:spacing w:after="0"/>
              <w:rPr>
                <w:sz w:val="16"/>
                <w:szCs w:val="16"/>
                <w:color w:val="auto"/>
              </w:rPr>
            </w:pPr>
          </w:p>
        </w:tc>
        <w:tc>
          <w:tcPr>
            <w:tcW w:w="80" w:type="dxa"/>
            <w:vAlign w:val="bottom"/>
          </w:tcPr>
          <w:p>
            <w:pPr>
              <w:spacing w:after="0"/>
              <w:rPr>
                <w:sz w:val="16"/>
                <w:szCs w:val="16"/>
                <w:color w:val="auto"/>
              </w:rPr>
            </w:pPr>
          </w:p>
        </w:tc>
        <w:tc>
          <w:tcPr>
            <w:tcW w:w="620" w:type="dxa"/>
            <w:vAlign w:val="bottom"/>
          </w:tcPr>
          <w:p>
            <w:pPr>
              <w:spacing w:after="0"/>
              <w:rPr>
                <w:sz w:val="16"/>
                <w:szCs w:val="16"/>
                <w:color w:val="auto"/>
              </w:rPr>
            </w:pPr>
          </w:p>
        </w:tc>
        <w:tc>
          <w:tcPr>
            <w:tcW w:w="660" w:type="dxa"/>
            <w:vAlign w:val="bottom"/>
          </w:tcPr>
          <w:p>
            <w:pPr>
              <w:spacing w:after="0"/>
              <w:rPr>
                <w:sz w:val="16"/>
                <w:szCs w:val="16"/>
                <w:color w:val="auto"/>
              </w:rPr>
            </w:pPr>
          </w:p>
        </w:tc>
        <w:tc>
          <w:tcPr>
            <w:tcW w:w="60" w:type="dxa"/>
            <w:vAlign w:val="bottom"/>
          </w:tcPr>
          <w:p>
            <w:pPr>
              <w:spacing w:after="0"/>
              <w:rPr>
                <w:sz w:val="16"/>
                <w:szCs w:val="16"/>
                <w:color w:val="auto"/>
              </w:rPr>
            </w:pPr>
          </w:p>
        </w:tc>
        <w:tc>
          <w:tcPr>
            <w:tcW w:w="560" w:type="dxa"/>
            <w:vAlign w:val="bottom"/>
          </w:tcPr>
          <w:p>
            <w:pPr>
              <w:spacing w:after="0"/>
              <w:rPr>
                <w:sz w:val="16"/>
                <w:szCs w:val="16"/>
                <w:color w:val="auto"/>
              </w:rPr>
            </w:pPr>
          </w:p>
        </w:tc>
        <w:tc>
          <w:tcPr>
            <w:tcW w:w="640" w:type="dxa"/>
            <w:vAlign w:val="bottom"/>
          </w:tcPr>
          <w:p>
            <w:pPr>
              <w:spacing w:after="0"/>
              <w:rPr>
                <w:sz w:val="16"/>
                <w:szCs w:val="16"/>
                <w:color w:val="auto"/>
              </w:rPr>
            </w:pPr>
          </w:p>
        </w:tc>
        <w:tc>
          <w:tcPr>
            <w:tcW w:w="0" w:type="dxa"/>
            <w:vAlign w:val="bottom"/>
          </w:tcPr>
          <w:p>
            <w:pPr>
              <w:spacing w:after="0"/>
              <w:rPr>
                <w:sz w:val="1"/>
                <w:szCs w:val="1"/>
                <w:color w:val="auto"/>
              </w:rPr>
            </w:pPr>
          </w:p>
        </w:tc>
      </w:tr>
      <w:tr>
        <w:trPr>
          <w:trHeight w:val="189"/>
        </w:trPr>
        <w:tc>
          <w:tcPr>
            <w:tcW w:w="1800" w:type="dxa"/>
            <w:vAlign w:val="bottom"/>
          </w:tcPr>
          <w:p>
            <w:pPr>
              <w:spacing w:after="0"/>
              <w:rPr>
                <w:sz w:val="20"/>
                <w:szCs w:val="20"/>
                <w:color w:val="auto"/>
              </w:rPr>
            </w:pPr>
            <w:r>
              <w:rPr>
                <w:rFonts w:ascii="Times New Roman" w:cs="Times New Roman" w:eastAsia="Times New Roman" w:hAnsi="Times New Roman"/>
                <w:sz w:val="15"/>
                <w:szCs w:val="15"/>
                <w:color w:val="auto"/>
              </w:rPr>
              <w:t>Has credit card</w:t>
            </w:r>
          </w:p>
        </w:tc>
        <w:tc>
          <w:tcPr>
            <w:tcW w:w="800" w:type="dxa"/>
            <w:vAlign w:val="bottom"/>
          </w:tcPr>
          <w:p>
            <w:pPr>
              <w:jc w:val="center"/>
              <w:spacing w:after="0"/>
              <w:rPr>
                <w:sz w:val="20"/>
                <w:szCs w:val="20"/>
                <w:color w:val="auto"/>
              </w:rPr>
            </w:pPr>
            <w:r>
              <w:rPr>
                <w:rFonts w:ascii="Times New Roman" w:cs="Times New Roman" w:eastAsia="Times New Roman" w:hAnsi="Times New Roman"/>
                <w:sz w:val="15"/>
                <w:szCs w:val="15"/>
                <w:color w:val="auto"/>
                <w:w w:val="98"/>
              </w:rPr>
              <w:t>0.52</w:t>
            </w:r>
          </w:p>
        </w:tc>
        <w:tc>
          <w:tcPr>
            <w:tcW w:w="660" w:type="dxa"/>
            <w:vAlign w:val="bottom"/>
          </w:tcPr>
          <w:p>
            <w:pPr>
              <w:jc w:val="center"/>
              <w:spacing w:after="0"/>
              <w:rPr>
                <w:sz w:val="20"/>
                <w:szCs w:val="20"/>
                <w:color w:val="auto"/>
              </w:rPr>
            </w:pPr>
            <w:r>
              <w:rPr>
                <w:rFonts w:ascii="Times New Roman" w:cs="Times New Roman" w:eastAsia="Times New Roman" w:hAnsi="Times New Roman"/>
                <w:sz w:val="15"/>
                <w:szCs w:val="15"/>
                <w:color w:val="auto"/>
                <w:w w:val="98"/>
              </w:rPr>
              <w:t>0.50</w:t>
            </w:r>
          </w:p>
        </w:tc>
        <w:tc>
          <w:tcPr>
            <w:tcW w:w="580" w:type="dxa"/>
            <w:vAlign w:val="bottom"/>
          </w:tcPr>
          <w:p>
            <w:pPr>
              <w:ind w:left="120"/>
              <w:spacing w:after="0"/>
              <w:rPr>
                <w:sz w:val="20"/>
                <w:szCs w:val="20"/>
                <w:color w:val="auto"/>
              </w:rPr>
            </w:pPr>
            <w:r>
              <w:rPr>
                <w:rFonts w:ascii="Times New Roman" w:cs="Times New Roman" w:eastAsia="Times New Roman" w:hAnsi="Times New Roman"/>
                <w:sz w:val="15"/>
                <w:szCs w:val="15"/>
                <w:color w:val="auto"/>
              </w:rPr>
              <w:t>0.56</w:t>
            </w:r>
          </w:p>
        </w:tc>
        <w:tc>
          <w:tcPr>
            <w:tcW w:w="700" w:type="dxa"/>
            <w:vAlign w:val="bottom"/>
            <w:gridSpan w:val="2"/>
          </w:tcPr>
          <w:p>
            <w:pPr>
              <w:jc w:val="center"/>
              <w:ind w:left="5"/>
              <w:spacing w:after="0"/>
              <w:rPr>
                <w:sz w:val="20"/>
                <w:szCs w:val="20"/>
                <w:color w:val="auto"/>
              </w:rPr>
            </w:pPr>
            <w:r>
              <w:rPr>
                <w:rFonts w:ascii="Times New Roman" w:cs="Times New Roman" w:eastAsia="Times New Roman" w:hAnsi="Times New Roman"/>
                <w:sz w:val="15"/>
                <w:szCs w:val="15"/>
                <w:color w:val="auto"/>
                <w:w w:val="98"/>
              </w:rPr>
              <w:t>0.51</w:t>
            </w:r>
          </w:p>
        </w:tc>
        <w:tc>
          <w:tcPr>
            <w:tcW w:w="660" w:type="dxa"/>
            <w:vAlign w:val="bottom"/>
          </w:tcPr>
          <w:p>
            <w:pPr>
              <w:ind w:left="160"/>
              <w:spacing w:after="0"/>
              <w:rPr>
                <w:sz w:val="20"/>
                <w:szCs w:val="20"/>
                <w:color w:val="auto"/>
              </w:rPr>
            </w:pPr>
            <w:r>
              <w:rPr>
                <w:rFonts w:ascii="Times New Roman" w:cs="Times New Roman" w:eastAsia="Times New Roman" w:hAnsi="Times New Roman"/>
                <w:sz w:val="15"/>
                <w:szCs w:val="15"/>
                <w:color w:val="auto"/>
              </w:rPr>
              <w:t>0.58</w:t>
            </w:r>
          </w:p>
        </w:tc>
        <w:tc>
          <w:tcPr>
            <w:tcW w:w="620" w:type="dxa"/>
            <w:vAlign w:val="bottom"/>
            <w:gridSpan w:val="2"/>
          </w:tcPr>
          <w:p>
            <w:pPr>
              <w:jc w:val="center"/>
              <w:ind w:left="5"/>
              <w:spacing w:after="0"/>
              <w:rPr>
                <w:sz w:val="20"/>
                <w:szCs w:val="20"/>
                <w:color w:val="auto"/>
              </w:rPr>
            </w:pPr>
            <w:r>
              <w:rPr>
                <w:rFonts w:ascii="Times New Roman" w:cs="Times New Roman" w:eastAsia="Times New Roman" w:hAnsi="Times New Roman"/>
                <w:sz w:val="15"/>
                <w:szCs w:val="15"/>
                <w:color w:val="auto"/>
                <w:w w:val="98"/>
              </w:rPr>
              <w:t>0.44</w:t>
            </w:r>
          </w:p>
        </w:tc>
        <w:tc>
          <w:tcPr>
            <w:tcW w:w="640" w:type="dxa"/>
            <w:vAlign w:val="bottom"/>
          </w:tcPr>
          <w:p>
            <w:pPr>
              <w:ind w:left="160"/>
              <w:spacing w:after="0"/>
              <w:rPr>
                <w:sz w:val="20"/>
                <w:szCs w:val="20"/>
                <w:color w:val="auto"/>
              </w:rPr>
            </w:pPr>
            <w:r>
              <w:rPr>
                <w:rFonts w:ascii="Times New Roman" w:cs="Times New Roman" w:eastAsia="Times New Roman" w:hAnsi="Times New Roman"/>
                <w:sz w:val="15"/>
                <w:szCs w:val="15"/>
                <w:color w:val="auto"/>
              </w:rPr>
              <w:t>0.50</w:t>
            </w:r>
          </w:p>
        </w:tc>
        <w:tc>
          <w:tcPr>
            <w:tcW w:w="0" w:type="dxa"/>
            <w:vAlign w:val="bottom"/>
          </w:tcPr>
          <w:p>
            <w:pPr>
              <w:spacing w:after="0"/>
              <w:rPr>
                <w:sz w:val="1"/>
                <w:szCs w:val="1"/>
                <w:color w:val="auto"/>
              </w:rPr>
            </w:pPr>
          </w:p>
        </w:tc>
      </w:tr>
      <w:tr>
        <w:trPr>
          <w:trHeight w:val="189"/>
        </w:trPr>
        <w:tc>
          <w:tcPr>
            <w:tcW w:w="1800" w:type="dxa"/>
            <w:vAlign w:val="bottom"/>
          </w:tcPr>
          <w:p>
            <w:pPr>
              <w:spacing w:after="0"/>
              <w:rPr>
                <w:sz w:val="20"/>
                <w:szCs w:val="20"/>
                <w:color w:val="auto"/>
              </w:rPr>
            </w:pPr>
            <w:r>
              <w:rPr>
                <w:rFonts w:ascii="Times New Roman" w:cs="Times New Roman" w:eastAsia="Times New Roman" w:hAnsi="Times New Roman"/>
                <w:sz w:val="15"/>
                <w:szCs w:val="15"/>
                <w:color w:val="auto"/>
              </w:rPr>
              <w:t>Owns a mortgage</w:t>
            </w:r>
          </w:p>
        </w:tc>
        <w:tc>
          <w:tcPr>
            <w:tcW w:w="800" w:type="dxa"/>
            <w:vAlign w:val="bottom"/>
          </w:tcPr>
          <w:p>
            <w:pPr>
              <w:jc w:val="center"/>
              <w:spacing w:after="0"/>
              <w:rPr>
                <w:sz w:val="20"/>
                <w:szCs w:val="20"/>
                <w:color w:val="auto"/>
              </w:rPr>
            </w:pPr>
            <w:r>
              <w:rPr>
                <w:rFonts w:ascii="Times New Roman" w:cs="Times New Roman" w:eastAsia="Times New Roman" w:hAnsi="Times New Roman"/>
                <w:sz w:val="15"/>
                <w:szCs w:val="15"/>
                <w:color w:val="auto"/>
                <w:w w:val="98"/>
              </w:rPr>
              <w:t>0.12</w:t>
            </w:r>
          </w:p>
        </w:tc>
        <w:tc>
          <w:tcPr>
            <w:tcW w:w="660" w:type="dxa"/>
            <w:vAlign w:val="bottom"/>
          </w:tcPr>
          <w:p>
            <w:pPr>
              <w:jc w:val="center"/>
              <w:spacing w:after="0"/>
              <w:rPr>
                <w:sz w:val="20"/>
                <w:szCs w:val="20"/>
                <w:color w:val="auto"/>
              </w:rPr>
            </w:pPr>
            <w:r>
              <w:rPr>
                <w:rFonts w:ascii="Times New Roman" w:cs="Times New Roman" w:eastAsia="Times New Roman" w:hAnsi="Times New Roman"/>
                <w:sz w:val="15"/>
                <w:szCs w:val="15"/>
                <w:color w:val="auto"/>
                <w:w w:val="98"/>
              </w:rPr>
              <w:t>0.13</w:t>
            </w:r>
          </w:p>
        </w:tc>
        <w:tc>
          <w:tcPr>
            <w:tcW w:w="580" w:type="dxa"/>
            <w:vAlign w:val="bottom"/>
          </w:tcPr>
          <w:p>
            <w:pPr>
              <w:ind w:left="120"/>
              <w:spacing w:after="0"/>
              <w:rPr>
                <w:sz w:val="20"/>
                <w:szCs w:val="20"/>
                <w:color w:val="auto"/>
              </w:rPr>
            </w:pPr>
            <w:r>
              <w:rPr>
                <w:rFonts w:ascii="Times New Roman" w:cs="Times New Roman" w:eastAsia="Times New Roman" w:hAnsi="Times New Roman"/>
                <w:sz w:val="15"/>
                <w:szCs w:val="15"/>
                <w:color w:val="auto"/>
              </w:rPr>
              <w:t>0.08</w:t>
            </w:r>
          </w:p>
        </w:tc>
        <w:tc>
          <w:tcPr>
            <w:tcW w:w="700" w:type="dxa"/>
            <w:vAlign w:val="bottom"/>
            <w:gridSpan w:val="2"/>
          </w:tcPr>
          <w:p>
            <w:pPr>
              <w:jc w:val="center"/>
              <w:ind w:left="5"/>
              <w:spacing w:after="0"/>
              <w:rPr>
                <w:sz w:val="20"/>
                <w:szCs w:val="20"/>
                <w:color w:val="auto"/>
              </w:rPr>
            </w:pPr>
            <w:r>
              <w:rPr>
                <w:rFonts w:ascii="Times New Roman" w:cs="Times New Roman" w:eastAsia="Times New Roman" w:hAnsi="Times New Roman"/>
                <w:sz w:val="15"/>
                <w:szCs w:val="15"/>
                <w:color w:val="auto"/>
                <w:w w:val="98"/>
              </w:rPr>
              <w:t>0.13</w:t>
            </w:r>
          </w:p>
        </w:tc>
        <w:tc>
          <w:tcPr>
            <w:tcW w:w="660" w:type="dxa"/>
            <w:vAlign w:val="bottom"/>
          </w:tcPr>
          <w:p>
            <w:pPr>
              <w:ind w:left="160"/>
              <w:spacing w:after="0"/>
              <w:rPr>
                <w:sz w:val="20"/>
                <w:szCs w:val="20"/>
                <w:color w:val="auto"/>
              </w:rPr>
            </w:pPr>
            <w:r>
              <w:rPr>
                <w:rFonts w:ascii="Times New Roman" w:cs="Times New Roman" w:eastAsia="Times New Roman" w:hAnsi="Times New Roman"/>
                <w:sz w:val="15"/>
                <w:szCs w:val="15"/>
                <w:color w:val="auto"/>
              </w:rPr>
              <w:t>0.06</w:t>
            </w:r>
          </w:p>
        </w:tc>
        <w:tc>
          <w:tcPr>
            <w:tcW w:w="620" w:type="dxa"/>
            <w:vAlign w:val="bottom"/>
            <w:gridSpan w:val="2"/>
          </w:tcPr>
          <w:p>
            <w:pPr>
              <w:jc w:val="center"/>
              <w:ind w:left="5"/>
              <w:spacing w:after="0"/>
              <w:rPr>
                <w:sz w:val="20"/>
                <w:szCs w:val="20"/>
                <w:color w:val="auto"/>
              </w:rPr>
            </w:pPr>
            <w:r>
              <w:rPr>
                <w:rFonts w:ascii="Times New Roman" w:cs="Times New Roman" w:eastAsia="Times New Roman" w:hAnsi="Times New Roman"/>
                <w:sz w:val="15"/>
                <w:szCs w:val="15"/>
                <w:color w:val="auto"/>
                <w:w w:val="98"/>
              </w:rPr>
              <w:t>0.16</w:t>
            </w:r>
          </w:p>
        </w:tc>
        <w:tc>
          <w:tcPr>
            <w:tcW w:w="640" w:type="dxa"/>
            <w:vAlign w:val="bottom"/>
          </w:tcPr>
          <w:p>
            <w:pPr>
              <w:ind w:left="160"/>
              <w:spacing w:after="0"/>
              <w:rPr>
                <w:sz w:val="20"/>
                <w:szCs w:val="20"/>
                <w:color w:val="auto"/>
              </w:rPr>
            </w:pPr>
            <w:r>
              <w:rPr>
                <w:rFonts w:ascii="Times New Roman" w:cs="Times New Roman" w:eastAsia="Times New Roman" w:hAnsi="Times New Roman"/>
                <w:sz w:val="15"/>
                <w:szCs w:val="15"/>
                <w:color w:val="auto"/>
              </w:rPr>
              <w:t>0.14</w:t>
            </w:r>
          </w:p>
        </w:tc>
        <w:tc>
          <w:tcPr>
            <w:tcW w:w="0" w:type="dxa"/>
            <w:vAlign w:val="bottom"/>
          </w:tcPr>
          <w:p>
            <w:pPr>
              <w:spacing w:after="0"/>
              <w:rPr>
                <w:sz w:val="1"/>
                <w:szCs w:val="1"/>
                <w:color w:val="auto"/>
              </w:rPr>
            </w:pPr>
          </w:p>
        </w:tc>
      </w:tr>
      <w:tr>
        <w:trPr>
          <w:trHeight w:val="189"/>
        </w:trPr>
        <w:tc>
          <w:tcPr>
            <w:tcW w:w="1800" w:type="dxa"/>
            <w:vAlign w:val="bottom"/>
          </w:tcPr>
          <w:p>
            <w:pPr>
              <w:spacing w:after="0"/>
              <w:rPr>
                <w:sz w:val="20"/>
                <w:szCs w:val="20"/>
                <w:color w:val="auto"/>
              </w:rPr>
            </w:pPr>
            <w:r>
              <w:rPr>
                <w:rFonts w:ascii="Times New Roman" w:cs="Times New Roman" w:eastAsia="Times New Roman" w:hAnsi="Times New Roman"/>
                <w:sz w:val="15"/>
                <w:szCs w:val="15"/>
                <w:color w:val="auto"/>
              </w:rPr>
              <w:t>Banks online</w:t>
            </w:r>
          </w:p>
        </w:tc>
        <w:tc>
          <w:tcPr>
            <w:tcW w:w="800" w:type="dxa"/>
            <w:vAlign w:val="bottom"/>
          </w:tcPr>
          <w:p>
            <w:pPr>
              <w:jc w:val="center"/>
              <w:spacing w:after="0"/>
              <w:rPr>
                <w:sz w:val="20"/>
                <w:szCs w:val="20"/>
                <w:color w:val="auto"/>
              </w:rPr>
            </w:pPr>
            <w:r>
              <w:rPr>
                <w:rFonts w:ascii="Times New Roman" w:cs="Times New Roman" w:eastAsia="Times New Roman" w:hAnsi="Times New Roman"/>
                <w:sz w:val="15"/>
                <w:szCs w:val="15"/>
                <w:color w:val="auto"/>
                <w:w w:val="98"/>
              </w:rPr>
              <w:t>0.17</w:t>
            </w:r>
          </w:p>
        </w:tc>
        <w:tc>
          <w:tcPr>
            <w:tcW w:w="660" w:type="dxa"/>
            <w:vAlign w:val="bottom"/>
          </w:tcPr>
          <w:p>
            <w:pPr>
              <w:jc w:val="center"/>
              <w:spacing w:after="0"/>
              <w:rPr>
                <w:sz w:val="20"/>
                <w:szCs w:val="20"/>
                <w:color w:val="auto"/>
              </w:rPr>
            </w:pPr>
            <w:r>
              <w:rPr>
                <w:rFonts w:ascii="Times New Roman" w:cs="Times New Roman" w:eastAsia="Times New Roman" w:hAnsi="Times New Roman"/>
                <w:sz w:val="15"/>
                <w:szCs w:val="15"/>
                <w:color w:val="auto"/>
                <w:w w:val="98"/>
              </w:rPr>
              <w:t>0.21</w:t>
            </w:r>
          </w:p>
        </w:tc>
        <w:tc>
          <w:tcPr>
            <w:tcW w:w="580" w:type="dxa"/>
            <w:vAlign w:val="bottom"/>
          </w:tcPr>
          <w:p>
            <w:pPr>
              <w:ind w:left="120"/>
              <w:spacing w:after="0"/>
              <w:rPr>
                <w:sz w:val="20"/>
                <w:szCs w:val="20"/>
                <w:color w:val="auto"/>
              </w:rPr>
            </w:pPr>
            <w:r>
              <w:rPr>
                <w:rFonts w:ascii="Times New Roman" w:cs="Times New Roman" w:eastAsia="Times New Roman" w:hAnsi="Times New Roman"/>
                <w:sz w:val="15"/>
                <w:szCs w:val="15"/>
                <w:color w:val="auto"/>
              </w:rPr>
              <w:t>0.10**</w:t>
            </w:r>
          </w:p>
        </w:tc>
        <w:tc>
          <w:tcPr>
            <w:tcW w:w="700" w:type="dxa"/>
            <w:vAlign w:val="bottom"/>
            <w:gridSpan w:val="2"/>
          </w:tcPr>
          <w:p>
            <w:pPr>
              <w:jc w:val="center"/>
              <w:ind w:left="5"/>
              <w:spacing w:after="0"/>
              <w:rPr>
                <w:sz w:val="20"/>
                <w:szCs w:val="20"/>
                <w:color w:val="auto"/>
              </w:rPr>
            </w:pPr>
            <w:r>
              <w:rPr>
                <w:rFonts w:ascii="Times New Roman" w:cs="Times New Roman" w:eastAsia="Times New Roman" w:hAnsi="Times New Roman"/>
                <w:sz w:val="15"/>
                <w:szCs w:val="15"/>
                <w:color w:val="auto"/>
                <w:w w:val="98"/>
              </w:rPr>
              <w:t>0.23</w:t>
            </w:r>
          </w:p>
        </w:tc>
        <w:tc>
          <w:tcPr>
            <w:tcW w:w="660" w:type="dxa"/>
            <w:vAlign w:val="bottom"/>
          </w:tcPr>
          <w:p>
            <w:pPr>
              <w:ind w:left="160"/>
              <w:spacing w:after="0"/>
              <w:rPr>
                <w:sz w:val="20"/>
                <w:szCs w:val="20"/>
                <w:color w:val="auto"/>
              </w:rPr>
            </w:pPr>
            <w:r>
              <w:rPr>
                <w:rFonts w:ascii="Times New Roman" w:cs="Times New Roman" w:eastAsia="Times New Roman" w:hAnsi="Times New Roman"/>
                <w:sz w:val="15"/>
                <w:szCs w:val="15"/>
                <w:color w:val="auto"/>
              </w:rPr>
              <w:t>0.11*</w:t>
            </w:r>
          </w:p>
        </w:tc>
        <w:tc>
          <w:tcPr>
            <w:tcW w:w="620" w:type="dxa"/>
            <w:vAlign w:val="bottom"/>
            <w:gridSpan w:val="2"/>
          </w:tcPr>
          <w:p>
            <w:pPr>
              <w:jc w:val="center"/>
              <w:ind w:left="5"/>
              <w:spacing w:after="0"/>
              <w:rPr>
                <w:sz w:val="20"/>
                <w:szCs w:val="20"/>
                <w:color w:val="auto"/>
              </w:rPr>
            </w:pPr>
            <w:r>
              <w:rPr>
                <w:rFonts w:ascii="Times New Roman" w:cs="Times New Roman" w:eastAsia="Times New Roman" w:hAnsi="Times New Roman"/>
                <w:sz w:val="15"/>
                <w:szCs w:val="15"/>
                <w:color w:val="auto"/>
                <w:w w:val="98"/>
              </w:rPr>
              <w:t>0.12</w:t>
            </w:r>
          </w:p>
        </w:tc>
        <w:tc>
          <w:tcPr>
            <w:tcW w:w="640" w:type="dxa"/>
            <w:vAlign w:val="bottom"/>
          </w:tcPr>
          <w:p>
            <w:pPr>
              <w:ind w:left="160"/>
              <w:spacing w:after="0"/>
              <w:rPr>
                <w:sz w:val="20"/>
                <w:szCs w:val="20"/>
                <w:color w:val="auto"/>
              </w:rPr>
            </w:pPr>
            <w:r>
              <w:rPr>
                <w:rFonts w:ascii="Times New Roman" w:cs="Times New Roman" w:eastAsia="Times New Roman" w:hAnsi="Times New Roman"/>
                <w:sz w:val="15"/>
                <w:szCs w:val="15"/>
                <w:color w:val="auto"/>
              </w:rPr>
              <w:t>0.05</w:t>
            </w:r>
          </w:p>
        </w:tc>
        <w:tc>
          <w:tcPr>
            <w:tcW w:w="0" w:type="dxa"/>
            <w:vAlign w:val="bottom"/>
          </w:tcPr>
          <w:p>
            <w:pPr>
              <w:spacing w:after="0"/>
              <w:rPr>
                <w:sz w:val="1"/>
                <w:szCs w:val="1"/>
                <w:color w:val="auto"/>
              </w:rPr>
            </w:pPr>
          </w:p>
        </w:tc>
      </w:tr>
      <w:tr>
        <w:trPr>
          <w:trHeight w:val="189"/>
        </w:trPr>
        <w:tc>
          <w:tcPr>
            <w:tcW w:w="1800" w:type="dxa"/>
            <w:vAlign w:val="bottom"/>
          </w:tcPr>
          <w:p>
            <w:pPr>
              <w:spacing w:after="0"/>
              <w:rPr>
                <w:sz w:val="20"/>
                <w:szCs w:val="20"/>
                <w:color w:val="auto"/>
              </w:rPr>
            </w:pPr>
            <w:r>
              <w:rPr>
                <w:rFonts w:ascii="Times New Roman" w:cs="Times New Roman" w:eastAsia="Times New Roman" w:hAnsi="Times New Roman"/>
                <w:sz w:val="15"/>
                <w:szCs w:val="15"/>
                <w:color w:val="auto"/>
              </w:rPr>
              <w:t>Banks by phone</w:t>
            </w:r>
          </w:p>
        </w:tc>
        <w:tc>
          <w:tcPr>
            <w:tcW w:w="800" w:type="dxa"/>
            <w:vAlign w:val="bottom"/>
          </w:tcPr>
          <w:p>
            <w:pPr>
              <w:jc w:val="center"/>
              <w:spacing w:after="0"/>
              <w:rPr>
                <w:sz w:val="20"/>
                <w:szCs w:val="20"/>
                <w:color w:val="auto"/>
              </w:rPr>
            </w:pPr>
            <w:r>
              <w:rPr>
                <w:rFonts w:ascii="Times New Roman" w:cs="Times New Roman" w:eastAsia="Times New Roman" w:hAnsi="Times New Roman"/>
                <w:sz w:val="15"/>
                <w:szCs w:val="15"/>
                <w:color w:val="auto"/>
                <w:w w:val="98"/>
              </w:rPr>
              <w:t>0.15</w:t>
            </w:r>
          </w:p>
        </w:tc>
        <w:tc>
          <w:tcPr>
            <w:tcW w:w="660" w:type="dxa"/>
            <w:vAlign w:val="bottom"/>
          </w:tcPr>
          <w:p>
            <w:pPr>
              <w:jc w:val="center"/>
              <w:spacing w:after="0"/>
              <w:rPr>
                <w:sz w:val="20"/>
                <w:szCs w:val="20"/>
                <w:color w:val="auto"/>
              </w:rPr>
            </w:pPr>
            <w:r>
              <w:rPr>
                <w:rFonts w:ascii="Times New Roman" w:cs="Times New Roman" w:eastAsia="Times New Roman" w:hAnsi="Times New Roman"/>
                <w:sz w:val="15"/>
                <w:szCs w:val="15"/>
                <w:color w:val="auto"/>
                <w:w w:val="98"/>
              </w:rPr>
              <w:t>0.18</w:t>
            </w:r>
          </w:p>
        </w:tc>
        <w:tc>
          <w:tcPr>
            <w:tcW w:w="580" w:type="dxa"/>
            <w:vAlign w:val="bottom"/>
          </w:tcPr>
          <w:p>
            <w:pPr>
              <w:ind w:left="120"/>
              <w:spacing w:after="0"/>
              <w:rPr>
                <w:sz w:val="20"/>
                <w:szCs w:val="20"/>
                <w:color w:val="auto"/>
              </w:rPr>
            </w:pPr>
            <w:r>
              <w:rPr>
                <w:rFonts w:ascii="Times New Roman" w:cs="Times New Roman" w:eastAsia="Times New Roman" w:hAnsi="Times New Roman"/>
                <w:sz w:val="15"/>
                <w:szCs w:val="15"/>
                <w:color w:val="auto"/>
              </w:rPr>
              <w:t>0.09**</w:t>
            </w:r>
          </w:p>
        </w:tc>
        <w:tc>
          <w:tcPr>
            <w:tcW w:w="700" w:type="dxa"/>
            <w:vAlign w:val="bottom"/>
            <w:gridSpan w:val="2"/>
          </w:tcPr>
          <w:p>
            <w:pPr>
              <w:jc w:val="center"/>
              <w:ind w:left="5"/>
              <w:spacing w:after="0"/>
              <w:rPr>
                <w:sz w:val="20"/>
                <w:szCs w:val="20"/>
                <w:color w:val="auto"/>
              </w:rPr>
            </w:pPr>
            <w:r>
              <w:rPr>
                <w:rFonts w:ascii="Times New Roman" w:cs="Times New Roman" w:eastAsia="Times New Roman" w:hAnsi="Times New Roman"/>
                <w:sz w:val="15"/>
                <w:szCs w:val="15"/>
                <w:color w:val="auto"/>
                <w:w w:val="98"/>
              </w:rPr>
              <w:t>0.20</w:t>
            </w:r>
          </w:p>
        </w:tc>
        <w:tc>
          <w:tcPr>
            <w:tcW w:w="660" w:type="dxa"/>
            <w:vAlign w:val="bottom"/>
          </w:tcPr>
          <w:p>
            <w:pPr>
              <w:ind w:left="160"/>
              <w:spacing w:after="0"/>
              <w:rPr>
                <w:sz w:val="20"/>
                <w:szCs w:val="20"/>
                <w:color w:val="auto"/>
              </w:rPr>
            </w:pPr>
            <w:r>
              <w:rPr>
                <w:rFonts w:ascii="Times New Roman" w:cs="Times New Roman" w:eastAsia="Times New Roman" w:hAnsi="Times New Roman"/>
                <w:sz w:val="15"/>
                <w:szCs w:val="15"/>
                <w:color w:val="auto"/>
              </w:rPr>
              <w:t>0.10</w:t>
            </w:r>
          </w:p>
        </w:tc>
        <w:tc>
          <w:tcPr>
            <w:tcW w:w="620" w:type="dxa"/>
            <w:vAlign w:val="bottom"/>
            <w:gridSpan w:val="2"/>
          </w:tcPr>
          <w:p>
            <w:pPr>
              <w:jc w:val="center"/>
              <w:ind w:left="5"/>
              <w:spacing w:after="0"/>
              <w:rPr>
                <w:sz w:val="20"/>
                <w:szCs w:val="20"/>
                <w:color w:val="auto"/>
              </w:rPr>
            </w:pPr>
            <w:r>
              <w:rPr>
                <w:rFonts w:ascii="Times New Roman" w:cs="Times New Roman" w:eastAsia="Times New Roman" w:hAnsi="Times New Roman"/>
                <w:sz w:val="15"/>
                <w:szCs w:val="15"/>
                <w:color w:val="auto"/>
                <w:w w:val="98"/>
              </w:rPr>
              <w:t>0.12</w:t>
            </w:r>
          </w:p>
        </w:tc>
        <w:tc>
          <w:tcPr>
            <w:tcW w:w="640" w:type="dxa"/>
            <w:vAlign w:val="bottom"/>
          </w:tcPr>
          <w:p>
            <w:pPr>
              <w:ind w:left="160"/>
              <w:spacing w:after="0"/>
              <w:rPr>
                <w:sz w:val="20"/>
                <w:szCs w:val="20"/>
                <w:color w:val="auto"/>
              </w:rPr>
            </w:pPr>
            <w:r>
              <w:rPr>
                <w:rFonts w:ascii="Times New Roman" w:cs="Times New Roman" w:eastAsia="Times New Roman" w:hAnsi="Times New Roman"/>
                <w:sz w:val="15"/>
                <w:szCs w:val="15"/>
                <w:color w:val="auto"/>
              </w:rPr>
              <w:t>0.05</w:t>
            </w:r>
          </w:p>
        </w:tc>
        <w:tc>
          <w:tcPr>
            <w:tcW w:w="0" w:type="dxa"/>
            <w:vAlign w:val="bottom"/>
          </w:tcPr>
          <w:p>
            <w:pPr>
              <w:spacing w:after="0"/>
              <w:rPr>
                <w:sz w:val="1"/>
                <w:szCs w:val="1"/>
                <w:color w:val="auto"/>
              </w:rPr>
            </w:pPr>
          </w:p>
        </w:tc>
      </w:tr>
      <w:tr>
        <w:trPr>
          <w:trHeight w:val="189"/>
        </w:trPr>
        <w:tc>
          <w:tcPr>
            <w:tcW w:w="1800" w:type="dxa"/>
            <w:vAlign w:val="bottom"/>
          </w:tcPr>
          <w:p>
            <w:pPr>
              <w:spacing w:after="0"/>
              <w:rPr>
                <w:sz w:val="20"/>
                <w:szCs w:val="20"/>
                <w:color w:val="auto"/>
              </w:rPr>
            </w:pPr>
            <w:r>
              <w:rPr>
                <w:rFonts w:ascii="Times New Roman" w:cs="Times New Roman" w:eastAsia="Times New Roman" w:hAnsi="Times New Roman"/>
                <w:sz w:val="15"/>
                <w:szCs w:val="15"/>
                <w:color w:val="auto"/>
              </w:rPr>
              <w:t>Uses debit card</w:t>
            </w:r>
          </w:p>
        </w:tc>
        <w:tc>
          <w:tcPr>
            <w:tcW w:w="800" w:type="dxa"/>
            <w:vAlign w:val="bottom"/>
          </w:tcPr>
          <w:p>
            <w:pPr>
              <w:jc w:val="center"/>
              <w:spacing w:after="0"/>
              <w:rPr>
                <w:sz w:val="20"/>
                <w:szCs w:val="20"/>
                <w:color w:val="auto"/>
              </w:rPr>
            </w:pPr>
            <w:r>
              <w:rPr>
                <w:rFonts w:ascii="Times New Roman" w:cs="Times New Roman" w:eastAsia="Times New Roman" w:hAnsi="Times New Roman"/>
                <w:sz w:val="15"/>
                <w:szCs w:val="15"/>
                <w:color w:val="auto"/>
                <w:w w:val="98"/>
              </w:rPr>
              <w:t>0.16</w:t>
            </w:r>
          </w:p>
        </w:tc>
        <w:tc>
          <w:tcPr>
            <w:tcW w:w="660" w:type="dxa"/>
            <w:vAlign w:val="bottom"/>
          </w:tcPr>
          <w:p>
            <w:pPr>
              <w:jc w:val="center"/>
              <w:spacing w:after="0"/>
              <w:rPr>
                <w:sz w:val="20"/>
                <w:szCs w:val="20"/>
                <w:color w:val="auto"/>
              </w:rPr>
            </w:pPr>
            <w:r>
              <w:rPr>
                <w:rFonts w:ascii="Times New Roman" w:cs="Times New Roman" w:eastAsia="Times New Roman" w:hAnsi="Times New Roman"/>
                <w:sz w:val="15"/>
                <w:szCs w:val="15"/>
                <w:color w:val="auto"/>
                <w:w w:val="98"/>
              </w:rPr>
              <w:t>0.19</w:t>
            </w:r>
          </w:p>
        </w:tc>
        <w:tc>
          <w:tcPr>
            <w:tcW w:w="580" w:type="dxa"/>
            <w:vAlign w:val="bottom"/>
          </w:tcPr>
          <w:p>
            <w:pPr>
              <w:ind w:left="120"/>
              <w:spacing w:after="0"/>
              <w:rPr>
                <w:sz w:val="20"/>
                <w:szCs w:val="20"/>
                <w:color w:val="auto"/>
              </w:rPr>
            </w:pPr>
            <w:r>
              <w:rPr>
                <w:rFonts w:ascii="Times New Roman" w:cs="Times New Roman" w:eastAsia="Times New Roman" w:hAnsi="Times New Roman"/>
                <w:sz w:val="15"/>
                <w:szCs w:val="15"/>
                <w:color w:val="auto"/>
              </w:rPr>
              <w:t>0.10*</w:t>
            </w:r>
          </w:p>
        </w:tc>
        <w:tc>
          <w:tcPr>
            <w:tcW w:w="700" w:type="dxa"/>
            <w:vAlign w:val="bottom"/>
            <w:gridSpan w:val="2"/>
          </w:tcPr>
          <w:p>
            <w:pPr>
              <w:jc w:val="center"/>
              <w:ind w:left="5"/>
              <w:spacing w:after="0"/>
              <w:rPr>
                <w:sz w:val="20"/>
                <w:szCs w:val="20"/>
                <w:color w:val="auto"/>
              </w:rPr>
            </w:pPr>
            <w:r>
              <w:rPr>
                <w:rFonts w:ascii="Times New Roman" w:cs="Times New Roman" w:eastAsia="Times New Roman" w:hAnsi="Times New Roman"/>
                <w:sz w:val="15"/>
                <w:szCs w:val="15"/>
                <w:color w:val="auto"/>
                <w:w w:val="98"/>
              </w:rPr>
              <w:t>0.20</w:t>
            </w:r>
          </w:p>
        </w:tc>
        <w:tc>
          <w:tcPr>
            <w:tcW w:w="660" w:type="dxa"/>
            <w:vAlign w:val="bottom"/>
          </w:tcPr>
          <w:p>
            <w:pPr>
              <w:ind w:left="160"/>
              <w:spacing w:after="0"/>
              <w:rPr>
                <w:sz w:val="20"/>
                <w:szCs w:val="20"/>
                <w:color w:val="auto"/>
              </w:rPr>
            </w:pPr>
            <w:r>
              <w:rPr>
                <w:rFonts w:ascii="Times New Roman" w:cs="Times New Roman" w:eastAsia="Times New Roman" w:hAnsi="Times New Roman"/>
                <w:sz w:val="15"/>
                <w:szCs w:val="15"/>
                <w:color w:val="auto"/>
              </w:rPr>
              <w:t>0.11</w:t>
            </w:r>
          </w:p>
        </w:tc>
        <w:tc>
          <w:tcPr>
            <w:tcW w:w="620" w:type="dxa"/>
            <w:vAlign w:val="bottom"/>
            <w:gridSpan w:val="2"/>
          </w:tcPr>
          <w:p>
            <w:pPr>
              <w:jc w:val="center"/>
              <w:ind w:left="5"/>
              <w:spacing w:after="0"/>
              <w:rPr>
                <w:sz w:val="20"/>
                <w:szCs w:val="20"/>
                <w:color w:val="auto"/>
              </w:rPr>
            </w:pPr>
            <w:r>
              <w:rPr>
                <w:rFonts w:ascii="Times New Roman" w:cs="Times New Roman" w:eastAsia="Times New Roman" w:hAnsi="Times New Roman"/>
                <w:sz w:val="15"/>
                <w:szCs w:val="15"/>
                <w:color w:val="auto"/>
                <w:w w:val="98"/>
              </w:rPr>
              <w:t>0.12</w:t>
            </w:r>
          </w:p>
        </w:tc>
        <w:tc>
          <w:tcPr>
            <w:tcW w:w="640" w:type="dxa"/>
            <w:vAlign w:val="bottom"/>
          </w:tcPr>
          <w:p>
            <w:pPr>
              <w:ind w:left="160"/>
              <w:spacing w:after="0"/>
              <w:rPr>
                <w:sz w:val="20"/>
                <w:szCs w:val="20"/>
                <w:color w:val="auto"/>
              </w:rPr>
            </w:pPr>
            <w:r>
              <w:rPr>
                <w:rFonts w:ascii="Times New Roman" w:cs="Times New Roman" w:eastAsia="Times New Roman" w:hAnsi="Times New Roman"/>
                <w:sz w:val="15"/>
                <w:szCs w:val="15"/>
                <w:color w:val="auto"/>
              </w:rPr>
              <w:t>0.05</w:t>
            </w:r>
          </w:p>
        </w:tc>
        <w:tc>
          <w:tcPr>
            <w:tcW w:w="0" w:type="dxa"/>
            <w:vAlign w:val="bottom"/>
          </w:tcPr>
          <w:p>
            <w:pPr>
              <w:spacing w:after="0"/>
              <w:rPr>
                <w:sz w:val="1"/>
                <w:szCs w:val="1"/>
                <w:color w:val="auto"/>
              </w:rPr>
            </w:pPr>
          </w:p>
        </w:tc>
      </w:tr>
      <w:tr>
        <w:trPr>
          <w:trHeight w:val="189"/>
        </w:trPr>
        <w:tc>
          <w:tcPr>
            <w:tcW w:w="1800" w:type="dxa"/>
            <w:vAlign w:val="bottom"/>
          </w:tcPr>
          <w:p>
            <w:pPr>
              <w:spacing w:after="0"/>
              <w:rPr>
                <w:sz w:val="20"/>
                <w:szCs w:val="20"/>
                <w:color w:val="auto"/>
              </w:rPr>
            </w:pPr>
            <w:r>
              <w:rPr>
                <w:rFonts w:ascii="Times New Roman" w:cs="Times New Roman" w:eastAsia="Times New Roman" w:hAnsi="Times New Roman"/>
                <w:sz w:val="15"/>
                <w:szCs w:val="15"/>
                <w:color w:val="auto"/>
              </w:rPr>
              <w:t>Saves money each month</w:t>
            </w:r>
          </w:p>
        </w:tc>
        <w:tc>
          <w:tcPr>
            <w:tcW w:w="800" w:type="dxa"/>
            <w:vAlign w:val="bottom"/>
          </w:tcPr>
          <w:p>
            <w:pPr>
              <w:jc w:val="center"/>
              <w:spacing w:after="0"/>
              <w:rPr>
                <w:sz w:val="20"/>
                <w:szCs w:val="20"/>
                <w:color w:val="auto"/>
              </w:rPr>
            </w:pPr>
            <w:r>
              <w:rPr>
                <w:rFonts w:ascii="Times New Roman" w:cs="Times New Roman" w:eastAsia="Times New Roman" w:hAnsi="Times New Roman"/>
                <w:sz w:val="15"/>
                <w:szCs w:val="15"/>
                <w:color w:val="auto"/>
                <w:w w:val="98"/>
              </w:rPr>
              <w:t>0.65</w:t>
            </w:r>
          </w:p>
        </w:tc>
        <w:tc>
          <w:tcPr>
            <w:tcW w:w="660" w:type="dxa"/>
            <w:vAlign w:val="bottom"/>
          </w:tcPr>
          <w:p>
            <w:pPr>
              <w:jc w:val="center"/>
              <w:spacing w:after="0"/>
              <w:rPr>
                <w:sz w:val="20"/>
                <w:szCs w:val="20"/>
                <w:color w:val="auto"/>
              </w:rPr>
            </w:pPr>
            <w:r>
              <w:rPr>
                <w:rFonts w:ascii="Times New Roman" w:cs="Times New Roman" w:eastAsia="Times New Roman" w:hAnsi="Times New Roman"/>
                <w:sz w:val="15"/>
                <w:szCs w:val="15"/>
                <w:color w:val="auto"/>
                <w:w w:val="98"/>
              </w:rPr>
              <w:t>0.66</w:t>
            </w:r>
          </w:p>
        </w:tc>
        <w:tc>
          <w:tcPr>
            <w:tcW w:w="580" w:type="dxa"/>
            <w:vAlign w:val="bottom"/>
          </w:tcPr>
          <w:p>
            <w:pPr>
              <w:ind w:left="120"/>
              <w:spacing w:after="0"/>
              <w:rPr>
                <w:sz w:val="20"/>
                <w:szCs w:val="20"/>
                <w:color w:val="auto"/>
              </w:rPr>
            </w:pPr>
            <w:r>
              <w:rPr>
                <w:rFonts w:ascii="Times New Roman" w:cs="Times New Roman" w:eastAsia="Times New Roman" w:hAnsi="Times New Roman"/>
                <w:sz w:val="15"/>
                <w:szCs w:val="15"/>
                <w:color w:val="auto"/>
              </w:rPr>
              <w:t>0.63</w:t>
            </w:r>
          </w:p>
        </w:tc>
        <w:tc>
          <w:tcPr>
            <w:tcW w:w="700" w:type="dxa"/>
            <w:vAlign w:val="bottom"/>
            <w:gridSpan w:val="2"/>
          </w:tcPr>
          <w:p>
            <w:pPr>
              <w:jc w:val="center"/>
              <w:ind w:left="5"/>
              <w:spacing w:after="0"/>
              <w:rPr>
                <w:sz w:val="20"/>
                <w:szCs w:val="20"/>
                <w:color w:val="auto"/>
              </w:rPr>
            </w:pPr>
            <w:r>
              <w:rPr>
                <w:rFonts w:ascii="Times New Roman" w:cs="Times New Roman" w:eastAsia="Times New Roman" w:hAnsi="Times New Roman"/>
                <w:sz w:val="15"/>
                <w:szCs w:val="15"/>
                <w:color w:val="auto"/>
                <w:w w:val="98"/>
              </w:rPr>
              <w:t>0.65</w:t>
            </w:r>
          </w:p>
        </w:tc>
        <w:tc>
          <w:tcPr>
            <w:tcW w:w="660" w:type="dxa"/>
            <w:vAlign w:val="bottom"/>
          </w:tcPr>
          <w:p>
            <w:pPr>
              <w:ind w:left="160"/>
              <w:spacing w:after="0"/>
              <w:rPr>
                <w:sz w:val="20"/>
                <w:szCs w:val="20"/>
                <w:color w:val="auto"/>
              </w:rPr>
            </w:pPr>
            <w:r>
              <w:rPr>
                <w:rFonts w:ascii="Times New Roman" w:cs="Times New Roman" w:eastAsia="Times New Roman" w:hAnsi="Times New Roman"/>
                <w:sz w:val="15"/>
                <w:szCs w:val="15"/>
                <w:color w:val="auto"/>
              </w:rPr>
              <w:t>0.54</w:t>
            </w:r>
          </w:p>
        </w:tc>
        <w:tc>
          <w:tcPr>
            <w:tcW w:w="620" w:type="dxa"/>
            <w:vAlign w:val="bottom"/>
            <w:gridSpan w:val="2"/>
          </w:tcPr>
          <w:p>
            <w:pPr>
              <w:jc w:val="center"/>
              <w:ind w:left="5"/>
              <w:spacing w:after="0"/>
              <w:rPr>
                <w:sz w:val="20"/>
                <w:szCs w:val="20"/>
                <w:color w:val="auto"/>
              </w:rPr>
            </w:pPr>
            <w:r>
              <w:rPr>
                <w:rFonts w:ascii="Times New Roman" w:cs="Times New Roman" w:eastAsia="Times New Roman" w:hAnsi="Times New Roman"/>
                <w:sz w:val="15"/>
                <w:szCs w:val="15"/>
                <w:color w:val="auto"/>
                <w:w w:val="98"/>
              </w:rPr>
              <w:t>0.68</w:t>
            </w:r>
          </w:p>
        </w:tc>
        <w:tc>
          <w:tcPr>
            <w:tcW w:w="640" w:type="dxa"/>
            <w:vAlign w:val="bottom"/>
          </w:tcPr>
          <w:p>
            <w:pPr>
              <w:ind w:left="160"/>
              <w:spacing w:after="0"/>
              <w:rPr>
                <w:sz w:val="20"/>
                <w:szCs w:val="20"/>
                <w:color w:val="auto"/>
              </w:rPr>
            </w:pPr>
            <w:r>
              <w:rPr>
                <w:rFonts w:ascii="Times New Roman" w:cs="Times New Roman" w:eastAsia="Times New Roman" w:hAnsi="Times New Roman"/>
                <w:sz w:val="15"/>
                <w:szCs w:val="15"/>
                <w:color w:val="auto"/>
              </w:rPr>
              <w:t>0.86</w:t>
            </w:r>
          </w:p>
        </w:tc>
        <w:tc>
          <w:tcPr>
            <w:tcW w:w="0" w:type="dxa"/>
            <w:vAlign w:val="bottom"/>
          </w:tcPr>
          <w:p>
            <w:pPr>
              <w:spacing w:after="0"/>
              <w:rPr>
                <w:sz w:val="1"/>
                <w:szCs w:val="1"/>
                <w:color w:val="auto"/>
              </w:rPr>
            </w:pPr>
          </w:p>
        </w:tc>
      </w:tr>
      <w:tr>
        <w:trPr>
          <w:trHeight w:val="189"/>
        </w:trPr>
        <w:tc>
          <w:tcPr>
            <w:tcW w:w="1800" w:type="dxa"/>
            <w:vAlign w:val="bottom"/>
          </w:tcPr>
          <w:p>
            <w:pPr>
              <w:spacing w:after="0"/>
              <w:rPr>
                <w:sz w:val="20"/>
                <w:szCs w:val="20"/>
                <w:color w:val="auto"/>
              </w:rPr>
            </w:pPr>
            <w:r>
              <w:rPr>
                <w:rFonts w:ascii="Times New Roman" w:cs="Times New Roman" w:eastAsia="Times New Roman" w:hAnsi="Times New Roman"/>
                <w:sz w:val="15"/>
                <w:szCs w:val="15"/>
                <w:color w:val="auto"/>
              </w:rPr>
              <w:t>Always uses monthly budget</w:t>
            </w:r>
          </w:p>
        </w:tc>
        <w:tc>
          <w:tcPr>
            <w:tcW w:w="800" w:type="dxa"/>
            <w:vAlign w:val="bottom"/>
          </w:tcPr>
          <w:p>
            <w:pPr>
              <w:jc w:val="center"/>
              <w:spacing w:after="0"/>
              <w:rPr>
                <w:sz w:val="20"/>
                <w:szCs w:val="20"/>
                <w:color w:val="auto"/>
              </w:rPr>
            </w:pPr>
            <w:r>
              <w:rPr>
                <w:rFonts w:ascii="Times New Roman" w:cs="Times New Roman" w:eastAsia="Times New Roman" w:hAnsi="Times New Roman"/>
                <w:sz w:val="15"/>
                <w:szCs w:val="15"/>
                <w:color w:val="auto"/>
                <w:w w:val="98"/>
              </w:rPr>
              <w:t>0.39</w:t>
            </w:r>
          </w:p>
        </w:tc>
        <w:tc>
          <w:tcPr>
            <w:tcW w:w="660" w:type="dxa"/>
            <w:vAlign w:val="bottom"/>
          </w:tcPr>
          <w:p>
            <w:pPr>
              <w:jc w:val="center"/>
              <w:spacing w:after="0"/>
              <w:rPr>
                <w:sz w:val="20"/>
                <w:szCs w:val="20"/>
                <w:color w:val="auto"/>
              </w:rPr>
            </w:pPr>
            <w:r>
              <w:rPr>
                <w:rFonts w:ascii="Times New Roman" w:cs="Times New Roman" w:eastAsia="Times New Roman" w:hAnsi="Times New Roman"/>
                <w:sz w:val="15"/>
                <w:szCs w:val="15"/>
                <w:color w:val="auto"/>
                <w:w w:val="98"/>
              </w:rPr>
              <w:t>0.37</w:t>
            </w:r>
          </w:p>
        </w:tc>
        <w:tc>
          <w:tcPr>
            <w:tcW w:w="580" w:type="dxa"/>
            <w:vAlign w:val="bottom"/>
          </w:tcPr>
          <w:p>
            <w:pPr>
              <w:ind w:left="120"/>
              <w:spacing w:after="0"/>
              <w:rPr>
                <w:sz w:val="20"/>
                <w:szCs w:val="20"/>
                <w:color w:val="auto"/>
              </w:rPr>
            </w:pPr>
            <w:r>
              <w:rPr>
                <w:rFonts w:ascii="Times New Roman" w:cs="Times New Roman" w:eastAsia="Times New Roman" w:hAnsi="Times New Roman"/>
                <w:sz w:val="15"/>
                <w:szCs w:val="15"/>
                <w:color w:val="auto"/>
              </w:rPr>
              <w:t>0.42</w:t>
            </w:r>
          </w:p>
        </w:tc>
        <w:tc>
          <w:tcPr>
            <w:tcW w:w="700" w:type="dxa"/>
            <w:vAlign w:val="bottom"/>
            <w:gridSpan w:val="2"/>
          </w:tcPr>
          <w:p>
            <w:pPr>
              <w:jc w:val="center"/>
              <w:ind w:left="5"/>
              <w:spacing w:after="0"/>
              <w:rPr>
                <w:sz w:val="20"/>
                <w:szCs w:val="20"/>
                <w:color w:val="auto"/>
              </w:rPr>
            </w:pPr>
            <w:r>
              <w:rPr>
                <w:rFonts w:ascii="Times New Roman" w:cs="Times New Roman" w:eastAsia="Times New Roman" w:hAnsi="Times New Roman"/>
                <w:sz w:val="15"/>
                <w:szCs w:val="15"/>
                <w:color w:val="auto"/>
                <w:w w:val="98"/>
              </w:rPr>
              <w:t>0.39</w:t>
            </w:r>
          </w:p>
        </w:tc>
        <w:tc>
          <w:tcPr>
            <w:tcW w:w="660" w:type="dxa"/>
            <w:vAlign w:val="bottom"/>
          </w:tcPr>
          <w:p>
            <w:pPr>
              <w:ind w:left="160"/>
              <w:spacing w:after="0"/>
              <w:rPr>
                <w:sz w:val="20"/>
                <w:szCs w:val="20"/>
                <w:color w:val="auto"/>
              </w:rPr>
            </w:pPr>
            <w:r>
              <w:rPr>
                <w:rFonts w:ascii="Times New Roman" w:cs="Times New Roman" w:eastAsia="Times New Roman" w:hAnsi="Times New Roman"/>
                <w:sz w:val="15"/>
                <w:szCs w:val="15"/>
                <w:color w:val="auto"/>
              </w:rPr>
              <w:t>0.41</w:t>
            </w:r>
          </w:p>
        </w:tc>
        <w:tc>
          <w:tcPr>
            <w:tcW w:w="620" w:type="dxa"/>
            <w:vAlign w:val="bottom"/>
            <w:gridSpan w:val="2"/>
          </w:tcPr>
          <w:p>
            <w:pPr>
              <w:jc w:val="center"/>
              <w:ind w:left="5"/>
              <w:spacing w:after="0"/>
              <w:rPr>
                <w:sz w:val="20"/>
                <w:szCs w:val="20"/>
                <w:color w:val="auto"/>
              </w:rPr>
            </w:pPr>
            <w:r>
              <w:rPr>
                <w:rFonts w:ascii="Times New Roman" w:cs="Times New Roman" w:eastAsia="Times New Roman" w:hAnsi="Times New Roman"/>
                <w:sz w:val="15"/>
                <w:szCs w:val="15"/>
                <w:color w:val="auto"/>
                <w:w w:val="98"/>
              </w:rPr>
              <w:t>0.28</w:t>
            </w:r>
          </w:p>
        </w:tc>
        <w:tc>
          <w:tcPr>
            <w:tcW w:w="640" w:type="dxa"/>
            <w:vAlign w:val="bottom"/>
          </w:tcPr>
          <w:p>
            <w:pPr>
              <w:ind w:left="160"/>
              <w:spacing w:after="0"/>
              <w:rPr>
                <w:sz w:val="20"/>
                <w:szCs w:val="20"/>
                <w:color w:val="auto"/>
              </w:rPr>
            </w:pPr>
            <w:r>
              <w:rPr>
                <w:rFonts w:ascii="Times New Roman" w:cs="Times New Roman" w:eastAsia="Times New Roman" w:hAnsi="Times New Roman"/>
                <w:sz w:val="15"/>
                <w:szCs w:val="15"/>
                <w:color w:val="auto"/>
              </w:rPr>
              <w:t>0.45</w:t>
            </w:r>
          </w:p>
        </w:tc>
        <w:tc>
          <w:tcPr>
            <w:tcW w:w="0" w:type="dxa"/>
            <w:vAlign w:val="bottom"/>
          </w:tcPr>
          <w:p>
            <w:pPr>
              <w:spacing w:after="0"/>
              <w:rPr>
                <w:sz w:val="1"/>
                <w:szCs w:val="1"/>
                <w:color w:val="auto"/>
              </w:rPr>
            </w:pPr>
          </w:p>
        </w:tc>
      </w:tr>
      <w:tr>
        <w:trPr>
          <w:trHeight w:val="188"/>
        </w:trPr>
        <w:tc>
          <w:tcPr>
            <w:tcW w:w="1800" w:type="dxa"/>
            <w:vAlign w:val="bottom"/>
          </w:tcPr>
          <w:p>
            <w:pPr>
              <w:spacing w:after="0"/>
              <w:rPr>
                <w:sz w:val="20"/>
                <w:szCs w:val="20"/>
                <w:color w:val="auto"/>
              </w:rPr>
            </w:pPr>
            <w:r>
              <w:rPr>
                <w:rFonts w:ascii="Times New Roman" w:cs="Times New Roman" w:eastAsia="Times New Roman" w:hAnsi="Times New Roman"/>
                <w:sz w:val="15"/>
                <w:szCs w:val="15"/>
                <w:color w:val="auto"/>
              </w:rPr>
              <w:t>Always pays bills on time</w:t>
            </w:r>
          </w:p>
        </w:tc>
        <w:tc>
          <w:tcPr>
            <w:tcW w:w="800" w:type="dxa"/>
            <w:vAlign w:val="bottom"/>
          </w:tcPr>
          <w:p>
            <w:pPr>
              <w:jc w:val="center"/>
              <w:spacing w:after="0"/>
              <w:rPr>
                <w:sz w:val="20"/>
                <w:szCs w:val="20"/>
                <w:color w:val="auto"/>
              </w:rPr>
            </w:pPr>
            <w:r>
              <w:rPr>
                <w:rFonts w:ascii="Times New Roman" w:cs="Times New Roman" w:eastAsia="Times New Roman" w:hAnsi="Times New Roman"/>
                <w:sz w:val="15"/>
                <w:szCs w:val="15"/>
                <w:color w:val="auto"/>
                <w:w w:val="98"/>
              </w:rPr>
              <w:t>0.59</w:t>
            </w:r>
          </w:p>
        </w:tc>
        <w:tc>
          <w:tcPr>
            <w:tcW w:w="660" w:type="dxa"/>
            <w:vAlign w:val="bottom"/>
          </w:tcPr>
          <w:p>
            <w:pPr>
              <w:jc w:val="center"/>
              <w:spacing w:after="0"/>
              <w:rPr>
                <w:sz w:val="20"/>
                <w:szCs w:val="20"/>
                <w:color w:val="auto"/>
              </w:rPr>
            </w:pPr>
            <w:r>
              <w:rPr>
                <w:rFonts w:ascii="Times New Roman" w:cs="Times New Roman" w:eastAsia="Times New Roman" w:hAnsi="Times New Roman"/>
                <w:sz w:val="15"/>
                <w:szCs w:val="15"/>
                <w:color w:val="auto"/>
                <w:w w:val="98"/>
              </w:rPr>
              <w:t>0.60</w:t>
            </w:r>
          </w:p>
        </w:tc>
        <w:tc>
          <w:tcPr>
            <w:tcW w:w="580" w:type="dxa"/>
            <w:vAlign w:val="bottom"/>
          </w:tcPr>
          <w:p>
            <w:pPr>
              <w:ind w:left="120"/>
              <w:spacing w:after="0"/>
              <w:rPr>
                <w:sz w:val="20"/>
                <w:szCs w:val="20"/>
                <w:color w:val="auto"/>
              </w:rPr>
            </w:pPr>
            <w:r>
              <w:rPr>
                <w:rFonts w:ascii="Times New Roman" w:cs="Times New Roman" w:eastAsia="Times New Roman" w:hAnsi="Times New Roman"/>
                <w:sz w:val="15"/>
                <w:szCs w:val="15"/>
                <w:color w:val="auto"/>
              </w:rPr>
              <w:t>0.58</w:t>
            </w:r>
          </w:p>
        </w:tc>
        <w:tc>
          <w:tcPr>
            <w:tcW w:w="700" w:type="dxa"/>
            <w:vAlign w:val="bottom"/>
            <w:gridSpan w:val="2"/>
          </w:tcPr>
          <w:p>
            <w:pPr>
              <w:jc w:val="center"/>
              <w:ind w:left="5"/>
              <w:spacing w:after="0"/>
              <w:rPr>
                <w:sz w:val="20"/>
                <w:szCs w:val="20"/>
                <w:color w:val="auto"/>
              </w:rPr>
            </w:pPr>
            <w:r>
              <w:rPr>
                <w:rFonts w:ascii="Times New Roman" w:cs="Times New Roman" w:eastAsia="Times New Roman" w:hAnsi="Times New Roman"/>
                <w:sz w:val="15"/>
                <w:szCs w:val="15"/>
                <w:color w:val="auto"/>
                <w:w w:val="98"/>
              </w:rPr>
              <w:t>0.61</w:t>
            </w:r>
          </w:p>
        </w:tc>
        <w:tc>
          <w:tcPr>
            <w:tcW w:w="660" w:type="dxa"/>
            <w:vAlign w:val="bottom"/>
          </w:tcPr>
          <w:p>
            <w:pPr>
              <w:ind w:left="160"/>
              <w:spacing w:after="0"/>
              <w:rPr>
                <w:sz w:val="20"/>
                <w:szCs w:val="20"/>
                <w:color w:val="auto"/>
              </w:rPr>
            </w:pPr>
            <w:r>
              <w:rPr>
                <w:rFonts w:ascii="Times New Roman" w:cs="Times New Roman" w:eastAsia="Times New Roman" w:hAnsi="Times New Roman"/>
                <w:sz w:val="15"/>
                <w:szCs w:val="15"/>
                <w:color w:val="auto"/>
              </w:rPr>
              <w:t>0.55</w:t>
            </w:r>
          </w:p>
        </w:tc>
        <w:tc>
          <w:tcPr>
            <w:tcW w:w="620" w:type="dxa"/>
            <w:vAlign w:val="bottom"/>
            <w:gridSpan w:val="2"/>
          </w:tcPr>
          <w:p>
            <w:pPr>
              <w:jc w:val="center"/>
              <w:ind w:left="5"/>
              <w:spacing w:after="0"/>
              <w:rPr>
                <w:sz w:val="20"/>
                <w:szCs w:val="20"/>
                <w:color w:val="auto"/>
              </w:rPr>
            </w:pPr>
            <w:r>
              <w:rPr>
                <w:rFonts w:ascii="Times New Roman" w:cs="Times New Roman" w:eastAsia="Times New Roman" w:hAnsi="Times New Roman"/>
                <w:sz w:val="15"/>
                <w:szCs w:val="15"/>
                <w:color w:val="auto"/>
                <w:w w:val="98"/>
              </w:rPr>
              <w:t>0.52</w:t>
            </w:r>
          </w:p>
        </w:tc>
        <w:tc>
          <w:tcPr>
            <w:tcW w:w="640" w:type="dxa"/>
            <w:vAlign w:val="bottom"/>
          </w:tcPr>
          <w:p>
            <w:pPr>
              <w:ind w:left="160"/>
              <w:spacing w:after="0"/>
              <w:rPr>
                <w:sz w:val="20"/>
                <w:szCs w:val="20"/>
                <w:color w:val="auto"/>
              </w:rPr>
            </w:pPr>
            <w:r>
              <w:rPr>
                <w:rFonts w:ascii="Times New Roman" w:cs="Times New Roman" w:eastAsia="Times New Roman" w:hAnsi="Times New Roman"/>
                <w:sz w:val="15"/>
                <w:szCs w:val="15"/>
                <w:color w:val="auto"/>
              </w:rPr>
              <w:t>0.68</w:t>
            </w:r>
          </w:p>
        </w:tc>
        <w:tc>
          <w:tcPr>
            <w:tcW w:w="0" w:type="dxa"/>
            <w:vAlign w:val="bottom"/>
          </w:tcPr>
          <w:p>
            <w:pPr>
              <w:spacing w:after="0"/>
              <w:rPr>
                <w:sz w:val="1"/>
                <w:szCs w:val="1"/>
                <w:color w:val="auto"/>
              </w:rPr>
            </w:pPr>
          </w:p>
        </w:tc>
      </w:tr>
      <w:tr>
        <w:trPr>
          <w:trHeight w:val="189"/>
        </w:trPr>
        <w:tc>
          <w:tcPr>
            <w:tcW w:w="1800" w:type="dxa"/>
            <w:vAlign w:val="bottom"/>
          </w:tcPr>
          <w:p>
            <w:pPr>
              <w:spacing w:after="0"/>
              <w:rPr>
                <w:sz w:val="20"/>
                <w:szCs w:val="20"/>
                <w:color w:val="auto"/>
              </w:rPr>
            </w:pPr>
            <w:r>
              <w:rPr>
                <w:rFonts w:ascii="Times New Roman" w:cs="Times New Roman" w:eastAsia="Times New Roman" w:hAnsi="Times New Roman"/>
                <w:sz w:val="15"/>
                <w:szCs w:val="15"/>
                <w:color w:val="auto"/>
              </w:rPr>
              <w:t>Always plans and sets</w:t>
            </w:r>
          </w:p>
        </w:tc>
        <w:tc>
          <w:tcPr>
            <w:tcW w:w="800" w:type="dxa"/>
            <w:vAlign w:val="bottom"/>
          </w:tcPr>
          <w:p>
            <w:pPr>
              <w:jc w:val="center"/>
              <w:spacing w:after="0"/>
              <w:rPr>
                <w:sz w:val="20"/>
                <w:szCs w:val="20"/>
                <w:color w:val="auto"/>
              </w:rPr>
            </w:pPr>
            <w:r>
              <w:rPr>
                <w:rFonts w:ascii="Times New Roman" w:cs="Times New Roman" w:eastAsia="Times New Roman" w:hAnsi="Times New Roman"/>
                <w:sz w:val="15"/>
                <w:szCs w:val="15"/>
                <w:color w:val="auto"/>
                <w:w w:val="98"/>
              </w:rPr>
              <w:t>0.27</w:t>
            </w:r>
          </w:p>
        </w:tc>
        <w:tc>
          <w:tcPr>
            <w:tcW w:w="660" w:type="dxa"/>
            <w:vAlign w:val="bottom"/>
          </w:tcPr>
          <w:p>
            <w:pPr>
              <w:jc w:val="center"/>
              <w:spacing w:after="0"/>
              <w:rPr>
                <w:sz w:val="20"/>
                <w:szCs w:val="20"/>
                <w:color w:val="auto"/>
              </w:rPr>
            </w:pPr>
            <w:r>
              <w:rPr>
                <w:rFonts w:ascii="Times New Roman" w:cs="Times New Roman" w:eastAsia="Times New Roman" w:hAnsi="Times New Roman"/>
                <w:sz w:val="15"/>
                <w:szCs w:val="15"/>
                <w:color w:val="auto"/>
                <w:w w:val="98"/>
              </w:rPr>
              <w:t>0.27</w:t>
            </w:r>
          </w:p>
        </w:tc>
        <w:tc>
          <w:tcPr>
            <w:tcW w:w="580" w:type="dxa"/>
            <w:vAlign w:val="bottom"/>
          </w:tcPr>
          <w:p>
            <w:pPr>
              <w:ind w:left="120"/>
              <w:spacing w:after="0"/>
              <w:rPr>
                <w:sz w:val="20"/>
                <w:szCs w:val="20"/>
                <w:color w:val="auto"/>
              </w:rPr>
            </w:pPr>
            <w:r>
              <w:rPr>
                <w:rFonts w:ascii="Times New Roman" w:cs="Times New Roman" w:eastAsia="Times New Roman" w:hAnsi="Times New Roman"/>
                <w:sz w:val="15"/>
                <w:szCs w:val="15"/>
                <w:color w:val="auto"/>
              </w:rPr>
              <w:t>0.26</w:t>
            </w:r>
          </w:p>
        </w:tc>
        <w:tc>
          <w:tcPr>
            <w:tcW w:w="700" w:type="dxa"/>
            <w:vAlign w:val="bottom"/>
            <w:gridSpan w:val="2"/>
          </w:tcPr>
          <w:p>
            <w:pPr>
              <w:jc w:val="center"/>
              <w:ind w:left="25"/>
              <w:spacing w:after="0"/>
              <w:rPr>
                <w:sz w:val="20"/>
                <w:szCs w:val="20"/>
                <w:color w:val="auto"/>
              </w:rPr>
            </w:pPr>
            <w:r>
              <w:rPr>
                <w:rFonts w:ascii="Times New Roman" w:cs="Times New Roman" w:eastAsia="Times New Roman" w:hAnsi="Times New Roman"/>
                <w:sz w:val="15"/>
                <w:szCs w:val="15"/>
                <w:color w:val="auto"/>
              </w:rPr>
              <w:t>0.28</w:t>
            </w:r>
          </w:p>
        </w:tc>
        <w:tc>
          <w:tcPr>
            <w:tcW w:w="660" w:type="dxa"/>
            <w:vAlign w:val="bottom"/>
          </w:tcPr>
          <w:p>
            <w:pPr>
              <w:ind w:left="160"/>
              <w:spacing w:after="0"/>
              <w:rPr>
                <w:sz w:val="20"/>
                <w:szCs w:val="20"/>
                <w:color w:val="auto"/>
              </w:rPr>
            </w:pPr>
            <w:r>
              <w:rPr>
                <w:rFonts w:ascii="Times New Roman" w:cs="Times New Roman" w:eastAsia="Times New Roman" w:hAnsi="Times New Roman"/>
                <w:sz w:val="15"/>
                <w:szCs w:val="15"/>
                <w:color w:val="auto"/>
              </w:rPr>
              <w:t>0.24</w:t>
            </w:r>
          </w:p>
        </w:tc>
        <w:tc>
          <w:tcPr>
            <w:tcW w:w="620" w:type="dxa"/>
            <w:vAlign w:val="bottom"/>
            <w:gridSpan w:val="2"/>
          </w:tcPr>
          <w:p>
            <w:pPr>
              <w:jc w:val="center"/>
              <w:ind w:left="5"/>
              <w:spacing w:after="0"/>
              <w:rPr>
                <w:sz w:val="20"/>
                <w:szCs w:val="20"/>
                <w:color w:val="auto"/>
              </w:rPr>
            </w:pPr>
            <w:r>
              <w:rPr>
                <w:rFonts w:ascii="Times New Roman" w:cs="Times New Roman" w:eastAsia="Times New Roman" w:hAnsi="Times New Roman"/>
                <w:sz w:val="15"/>
                <w:szCs w:val="15"/>
                <w:color w:val="auto"/>
                <w:w w:val="98"/>
              </w:rPr>
              <w:t>0.20</w:t>
            </w:r>
          </w:p>
        </w:tc>
        <w:tc>
          <w:tcPr>
            <w:tcW w:w="640" w:type="dxa"/>
            <w:vAlign w:val="bottom"/>
          </w:tcPr>
          <w:p>
            <w:pPr>
              <w:ind w:left="160"/>
              <w:spacing w:after="0"/>
              <w:rPr>
                <w:sz w:val="20"/>
                <w:szCs w:val="20"/>
                <w:color w:val="auto"/>
              </w:rPr>
            </w:pPr>
            <w:r>
              <w:rPr>
                <w:rFonts w:ascii="Times New Roman" w:cs="Times New Roman" w:eastAsia="Times New Roman" w:hAnsi="Times New Roman"/>
                <w:sz w:val="15"/>
                <w:szCs w:val="15"/>
                <w:color w:val="auto"/>
              </w:rPr>
              <w:t>0.32</w:t>
            </w:r>
          </w:p>
        </w:tc>
        <w:tc>
          <w:tcPr>
            <w:tcW w:w="0" w:type="dxa"/>
            <w:vAlign w:val="bottom"/>
          </w:tcPr>
          <w:p>
            <w:pPr>
              <w:spacing w:after="0"/>
              <w:rPr>
                <w:sz w:val="1"/>
                <w:szCs w:val="1"/>
                <w:color w:val="auto"/>
              </w:rPr>
            </w:pPr>
          </w:p>
        </w:tc>
      </w:tr>
      <w:tr>
        <w:trPr>
          <w:trHeight w:val="189"/>
        </w:trPr>
        <w:tc>
          <w:tcPr>
            <w:tcW w:w="1800" w:type="dxa"/>
            <w:vAlign w:val="bottom"/>
          </w:tcPr>
          <w:p>
            <w:pPr>
              <w:ind w:left="160"/>
              <w:spacing w:after="0"/>
              <w:rPr>
                <w:sz w:val="20"/>
                <w:szCs w:val="20"/>
                <w:color w:val="auto"/>
              </w:rPr>
            </w:pPr>
            <w:r>
              <w:rPr>
                <w:rFonts w:ascii="Times New Roman" w:cs="Times New Roman" w:eastAsia="Times New Roman" w:hAnsi="Times New Roman"/>
                <w:sz w:val="15"/>
                <w:szCs w:val="15"/>
                <w:color w:val="auto"/>
              </w:rPr>
              <w:t>goals for financial future</w:t>
            </w:r>
          </w:p>
        </w:tc>
        <w:tc>
          <w:tcPr>
            <w:tcW w:w="800" w:type="dxa"/>
            <w:vAlign w:val="bottom"/>
          </w:tcPr>
          <w:p>
            <w:pPr>
              <w:spacing w:after="0"/>
              <w:rPr>
                <w:sz w:val="16"/>
                <w:szCs w:val="16"/>
                <w:color w:val="auto"/>
              </w:rPr>
            </w:pPr>
          </w:p>
        </w:tc>
        <w:tc>
          <w:tcPr>
            <w:tcW w:w="660" w:type="dxa"/>
            <w:vAlign w:val="bottom"/>
          </w:tcPr>
          <w:p>
            <w:pPr>
              <w:spacing w:after="0"/>
              <w:rPr>
                <w:sz w:val="16"/>
                <w:szCs w:val="16"/>
                <w:color w:val="auto"/>
              </w:rPr>
            </w:pPr>
          </w:p>
        </w:tc>
        <w:tc>
          <w:tcPr>
            <w:tcW w:w="580" w:type="dxa"/>
            <w:vAlign w:val="bottom"/>
          </w:tcPr>
          <w:p>
            <w:pPr>
              <w:spacing w:after="0"/>
              <w:rPr>
                <w:sz w:val="16"/>
                <w:szCs w:val="16"/>
                <w:color w:val="auto"/>
              </w:rPr>
            </w:pPr>
          </w:p>
        </w:tc>
        <w:tc>
          <w:tcPr>
            <w:tcW w:w="80" w:type="dxa"/>
            <w:vAlign w:val="bottom"/>
          </w:tcPr>
          <w:p>
            <w:pPr>
              <w:spacing w:after="0"/>
              <w:rPr>
                <w:sz w:val="16"/>
                <w:szCs w:val="16"/>
                <w:color w:val="auto"/>
              </w:rPr>
            </w:pPr>
          </w:p>
        </w:tc>
        <w:tc>
          <w:tcPr>
            <w:tcW w:w="620" w:type="dxa"/>
            <w:vAlign w:val="bottom"/>
          </w:tcPr>
          <w:p>
            <w:pPr>
              <w:spacing w:after="0"/>
              <w:rPr>
                <w:sz w:val="16"/>
                <w:szCs w:val="16"/>
                <w:color w:val="auto"/>
              </w:rPr>
            </w:pPr>
          </w:p>
        </w:tc>
        <w:tc>
          <w:tcPr>
            <w:tcW w:w="660" w:type="dxa"/>
            <w:vAlign w:val="bottom"/>
          </w:tcPr>
          <w:p>
            <w:pPr>
              <w:spacing w:after="0"/>
              <w:rPr>
                <w:sz w:val="16"/>
                <w:szCs w:val="16"/>
                <w:color w:val="auto"/>
              </w:rPr>
            </w:pPr>
          </w:p>
        </w:tc>
        <w:tc>
          <w:tcPr>
            <w:tcW w:w="60" w:type="dxa"/>
            <w:vAlign w:val="bottom"/>
          </w:tcPr>
          <w:p>
            <w:pPr>
              <w:spacing w:after="0"/>
              <w:rPr>
                <w:sz w:val="16"/>
                <w:szCs w:val="16"/>
                <w:color w:val="auto"/>
              </w:rPr>
            </w:pPr>
          </w:p>
        </w:tc>
        <w:tc>
          <w:tcPr>
            <w:tcW w:w="560" w:type="dxa"/>
            <w:vAlign w:val="bottom"/>
          </w:tcPr>
          <w:p>
            <w:pPr>
              <w:spacing w:after="0"/>
              <w:rPr>
                <w:sz w:val="16"/>
                <w:szCs w:val="16"/>
                <w:color w:val="auto"/>
              </w:rPr>
            </w:pPr>
          </w:p>
        </w:tc>
        <w:tc>
          <w:tcPr>
            <w:tcW w:w="640" w:type="dxa"/>
            <w:vAlign w:val="bottom"/>
          </w:tcPr>
          <w:p>
            <w:pPr>
              <w:spacing w:after="0"/>
              <w:rPr>
                <w:sz w:val="16"/>
                <w:szCs w:val="16"/>
                <w:color w:val="auto"/>
              </w:rPr>
            </w:pPr>
          </w:p>
        </w:tc>
        <w:tc>
          <w:tcPr>
            <w:tcW w:w="0" w:type="dxa"/>
            <w:vAlign w:val="bottom"/>
          </w:tcPr>
          <w:p>
            <w:pPr>
              <w:spacing w:after="0"/>
              <w:rPr>
                <w:sz w:val="1"/>
                <w:szCs w:val="1"/>
                <w:color w:val="auto"/>
              </w:rPr>
            </w:pPr>
          </w:p>
        </w:tc>
      </w:tr>
      <w:tr>
        <w:trPr>
          <w:trHeight w:val="189"/>
        </w:trPr>
        <w:tc>
          <w:tcPr>
            <w:tcW w:w="1800" w:type="dxa"/>
            <w:vAlign w:val="bottom"/>
          </w:tcPr>
          <w:p>
            <w:pPr>
              <w:spacing w:after="0"/>
              <w:rPr>
                <w:sz w:val="20"/>
                <w:szCs w:val="20"/>
                <w:color w:val="auto"/>
              </w:rPr>
            </w:pPr>
            <w:r>
              <w:rPr>
                <w:rFonts w:ascii="Times New Roman" w:cs="Times New Roman" w:eastAsia="Times New Roman" w:hAnsi="Times New Roman"/>
                <w:sz w:val="15"/>
                <w:szCs w:val="15"/>
                <w:color w:val="auto"/>
              </w:rPr>
              <w:t>Pays credit card balance</w:t>
            </w:r>
          </w:p>
        </w:tc>
        <w:tc>
          <w:tcPr>
            <w:tcW w:w="800" w:type="dxa"/>
            <w:vAlign w:val="bottom"/>
          </w:tcPr>
          <w:p>
            <w:pPr>
              <w:jc w:val="center"/>
              <w:spacing w:after="0"/>
              <w:rPr>
                <w:sz w:val="20"/>
                <w:szCs w:val="20"/>
                <w:color w:val="auto"/>
              </w:rPr>
            </w:pPr>
            <w:r>
              <w:rPr>
                <w:rFonts w:ascii="Times New Roman" w:cs="Times New Roman" w:eastAsia="Times New Roman" w:hAnsi="Times New Roman"/>
                <w:sz w:val="15"/>
                <w:szCs w:val="15"/>
                <w:color w:val="auto"/>
                <w:w w:val="98"/>
              </w:rPr>
              <w:t>0.12</w:t>
            </w:r>
          </w:p>
        </w:tc>
        <w:tc>
          <w:tcPr>
            <w:tcW w:w="660" w:type="dxa"/>
            <w:vAlign w:val="bottom"/>
          </w:tcPr>
          <w:p>
            <w:pPr>
              <w:jc w:val="center"/>
              <w:spacing w:after="0"/>
              <w:rPr>
                <w:sz w:val="20"/>
                <w:szCs w:val="20"/>
                <w:color w:val="auto"/>
              </w:rPr>
            </w:pPr>
            <w:r>
              <w:rPr>
                <w:rFonts w:ascii="Times New Roman" w:cs="Times New Roman" w:eastAsia="Times New Roman" w:hAnsi="Times New Roman"/>
                <w:sz w:val="15"/>
                <w:szCs w:val="15"/>
                <w:color w:val="auto"/>
                <w:w w:val="98"/>
              </w:rPr>
              <w:t>0.12</w:t>
            </w:r>
          </w:p>
        </w:tc>
        <w:tc>
          <w:tcPr>
            <w:tcW w:w="580" w:type="dxa"/>
            <w:vAlign w:val="bottom"/>
          </w:tcPr>
          <w:p>
            <w:pPr>
              <w:ind w:left="120"/>
              <w:spacing w:after="0"/>
              <w:rPr>
                <w:sz w:val="20"/>
                <w:szCs w:val="20"/>
                <w:color w:val="auto"/>
              </w:rPr>
            </w:pPr>
            <w:r>
              <w:rPr>
                <w:rFonts w:ascii="Times New Roman" w:cs="Times New Roman" w:eastAsia="Times New Roman" w:hAnsi="Times New Roman"/>
                <w:sz w:val="15"/>
                <w:szCs w:val="15"/>
                <w:color w:val="auto"/>
              </w:rPr>
              <w:t>0.13</w:t>
            </w:r>
          </w:p>
        </w:tc>
        <w:tc>
          <w:tcPr>
            <w:tcW w:w="700" w:type="dxa"/>
            <w:vAlign w:val="bottom"/>
            <w:gridSpan w:val="2"/>
          </w:tcPr>
          <w:p>
            <w:pPr>
              <w:jc w:val="center"/>
              <w:ind w:left="5"/>
              <w:spacing w:after="0"/>
              <w:rPr>
                <w:sz w:val="20"/>
                <w:szCs w:val="20"/>
                <w:color w:val="auto"/>
              </w:rPr>
            </w:pPr>
            <w:r>
              <w:rPr>
                <w:rFonts w:ascii="Times New Roman" w:cs="Times New Roman" w:eastAsia="Times New Roman" w:hAnsi="Times New Roman"/>
                <w:sz w:val="15"/>
                <w:szCs w:val="15"/>
                <w:color w:val="auto"/>
                <w:w w:val="98"/>
              </w:rPr>
              <w:t>0.12</w:t>
            </w:r>
          </w:p>
        </w:tc>
        <w:tc>
          <w:tcPr>
            <w:tcW w:w="660" w:type="dxa"/>
            <w:vAlign w:val="bottom"/>
          </w:tcPr>
          <w:p>
            <w:pPr>
              <w:ind w:left="160"/>
              <w:spacing w:after="0"/>
              <w:rPr>
                <w:sz w:val="20"/>
                <w:szCs w:val="20"/>
                <w:color w:val="auto"/>
              </w:rPr>
            </w:pPr>
            <w:r>
              <w:rPr>
                <w:rFonts w:ascii="Times New Roman" w:cs="Times New Roman" w:eastAsia="Times New Roman" w:hAnsi="Times New Roman"/>
                <w:sz w:val="15"/>
                <w:szCs w:val="15"/>
                <w:color w:val="auto"/>
              </w:rPr>
              <w:t>0.14</w:t>
            </w:r>
          </w:p>
        </w:tc>
        <w:tc>
          <w:tcPr>
            <w:tcW w:w="620" w:type="dxa"/>
            <w:vAlign w:val="bottom"/>
            <w:gridSpan w:val="2"/>
          </w:tcPr>
          <w:p>
            <w:pPr>
              <w:jc w:val="center"/>
              <w:ind w:left="5"/>
              <w:spacing w:after="0"/>
              <w:rPr>
                <w:sz w:val="20"/>
                <w:szCs w:val="20"/>
                <w:color w:val="auto"/>
              </w:rPr>
            </w:pPr>
            <w:r>
              <w:rPr>
                <w:rFonts w:ascii="Times New Roman" w:cs="Times New Roman" w:eastAsia="Times New Roman" w:hAnsi="Times New Roman"/>
                <w:sz w:val="15"/>
                <w:szCs w:val="15"/>
                <w:color w:val="auto"/>
                <w:w w:val="98"/>
              </w:rPr>
              <w:t>0.09</w:t>
            </w:r>
          </w:p>
        </w:tc>
        <w:tc>
          <w:tcPr>
            <w:tcW w:w="640" w:type="dxa"/>
            <w:vAlign w:val="bottom"/>
          </w:tcPr>
          <w:p>
            <w:pPr>
              <w:ind w:left="160"/>
              <w:spacing w:after="0"/>
              <w:rPr>
                <w:sz w:val="20"/>
                <w:szCs w:val="20"/>
                <w:color w:val="auto"/>
              </w:rPr>
            </w:pPr>
            <w:r>
              <w:rPr>
                <w:rFonts w:ascii="Times New Roman" w:cs="Times New Roman" w:eastAsia="Times New Roman" w:hAnsi="Times New Roman"/>
                <w:sz w:val="15"/>
                <w:szCs w:val="15"/>
                <w:color w:val="auto"/>
              </w:rPr>
              <w:t>0.09</w:t>
            </w:r>
          </w:p>
        </w:tc>
        <w:tc>
          <w:tcPr>
            <w:tcW w:w="0" w:type="dxa"/>
            <w:vAlign w:val="bottom"/>
          </w:tcPr>
          <w:p>
            <w:pPr>
              <w:spacing w:after="0"/>
              <w:rPr>
                <w:sz w:val="1"/>
                <w:szCs w:val="1"/>
                <w:color w:val="auto"/>
              </w:rPr>
            </w:pPr>
          </w:p>
        </w:tc>
      </w:tr>
      <w:tr>
        <w:trPr>
          <w:trHeight w:val="213"/>
        </w:trPr>
        <w:tc>
          <w:tcPr>
            <w:tcW w:w="1800" w:type="dxa"/>
            <w:vAlign w:val="bottom"/>
          </w:tcPr>
          <w:p>
            <w:pPr>
              <w:ind w:left="160"/>
              <w:spacing w:after="0" w:line="214" w:lineRule="exact"/>
              <w:rPr>
                <w:sz w:val="20"/>
                <w:szCs w:val="20"/>
                <w:color w:val="auto"/>
              </w:rPr>
            </w:pPr>
            <w:r>
              <w:rPr>
                <w:rFonts w:ascii="Times New Roman" w:cs="Times New Roman" w:eastAsia="Times New Roman" w:hAnsi="Times New Roman"/>
                <w:sz w:val="15"/>
                <w:szCs w:val="15"/>
                <w:color w:val="auto"/>
              </w:rPr>
              <w:t>each month</w:t>
            </w:r>
            <w:r>
              <w:rPr>
                <w:rFonts w:ascii="Times New Roman" w:cs="Times New Roman" w:eastAsia="Times New Roman" w:hAnsi="Times New Roman"/>
                <w:sz w:val="19"/>
                <w:szCs w:val="19"/>
                <w:color w:val="auto"/>
                <w:vertAlign w:val="superscript"/>
              </w:rPr>
              <w:t>c</w:t>
            </w:r>
          </w:p>
        </w:tc>
        <w:tc>
          <w:tcPr>
            <w:tcW w:w="800" w:type="dxa"/>
            <w:vAlign w:val="bottom"/>
          </w:tcPr>
          <w:p>
            <w:pPr>
              <w:spacing w:after="0"/>
              <w:rPr>
                <w:sz w:val="18"/>
                <w:szCs w:val="18"/>
                <w:color w:val="auto"/>
              </w:rPr>
            </w:pPr>
          </w:p>
        </w:tc>
        <w:tc>
          <w:tcPr>
            <w:tcW w:w="660" w:type="dxa"/>
            <w:vAlign w:val="bottom"/>
          </w:tcPr>
          <w:p>
            <w:pPr>
              <w:spacing w:after="0"/>
              <w:rPr>
                <w:sz w:val="18"/>
                <w:szCs w:val="18"/>
                <w:color w:val="auto"/>
              </w:rPr>
            </w:pPr>
          </w:p>
        </w:tc>
        <w:tc>
          <w:tcPr>
            <w:tcW w:w="580" w:type="dxa"/>
            <w:vAlign w:val="bottom"/>
          </w:tcPr>
          <w:p>
            <w:pPr>
              <w:spacing w:after="0"/>
              <w:rPr>
                <w:sz w:val="18"/>
                <w:szCs w:val="18"/>
                <w:color w:val="auto"/>
              </w:rPr>
            </w:pPr>
          </w:p>
        </w:tc>
        <w:tc>
          <w:tcPr>
            <w:tcW w:w="80" w:type="dxa"/>
            <w:vAlign w:val="bottom"/>
          </w:tcPr>
          <w:p>
            <w:pPr>
              <w:spacing w:after="0"/>
              <w:rPr>
                <w:sz w:val="18"/>
                <w:szCs w:val="18"/>
                <w:color w:val="auto"/>
              </w:rPr>
            </w:pPr>
          </w:p>
        </w:tc>
        <w:tc>
          <w:tcPr>
            <w:tcW w:w="620" w:type="dxa"/>
            <w:vAlign w:val="bottom"/>
          </w:tcPr>
          <w:p>
            <w:pPr>
              <w:spacing w:after="0"/>
              <w:rPr>
                <w:sz w:val="18"/>
                <w:szCs w:val="18"/>
                <w:color w:val="auto"/>
              </w:rPr>
            </w:pPr>
          </w:p>
        </w:tc>
        <w:tc>
          <w:tcPr>
            <w:tcW w:w="660" w:type="dxa"/>
            <w:vAlign w:val="bottom"/>
          </w:tcPr>
          <w:p>
            <w:pPr>
              <w:spacing w:after="0"/>
              <w:rPr>
                <w:sz w:val="18"/>
                <w:szCs w:val="18"/>
                <w:color w:val="auto"/>
              </w:rPr>
            </w:pPr>
          </w:p>
        </w:tc>
        <w:tc>
          <w:tcPr>
            <w:tcW w:w="60" w:type="dxa"/>
            <w:vAlign w:val="bottom"/>
          </w:tcPr>
          <w:p>
            <w:pPr>
              <w:spacing w:after="0"/>
              <w:rPr>
                <w:sz w:val="18"/>
                <w:szCs w:val="18"/>
                <w:color w:val="auto"/>
              </w:rPr>
            </w:pPr>
          </w:p>
        </w:tc>
        <w:tc>
          <w:tcPr>
            <w:tcW w:w="560" w:type="dxa"/>
            <w:vAlign w:val="bottom"/>
          </w:tcPr>
          <w:p>
            <w:pPr>
              <w:spacing w:after="0"/>
              <w:rPr>
                <w:sz w:val="18"/>
                <w:szCs w:val="18"/>
                <w:color w:val="auto"/>
              </w:rPr>
            </w:pPr>
          </w:p>
        </w:tc>
        <w:tc>
          <w:tcPr>
            <w:tcW w:w="640" w:type="dxa"/>
            <w:vAlign w:val="bottom"/>
          </w:tcPr>
          <w:p>
            <w:pPr>
              <w:spacing w:after="0"/>
              <w:rPr>
                <w:sz w:val="18"/>
                <w:szCs w:val="18"/>
                <w:color w:val="auto"/>
              </w:rPr>
            </w:pPr>
          </w:p>
        </w:tc>
        <w:tc>
          <w:tcPr>
            <w:tcW w:w="0" w:type="dxa"/>
            <w:vAlign w:val="bottom"/>
          </w:tcPr>
          <w:p>
            <w:pPr>
              <w:spacing w:after="0"/>
              <w:rPr>
                <w:sz w:val="1"/>
                <w:szCs w:val="1"/>
                <w:color w:val="auto"/>
              </w:rPr>
            </w:pPr>
          </w:p>
        </w:tc>
      </w:tr>
      <w:tr>
        <w:trPr>
          <w:trHeight w:val="165"/>
        </w:trPr>
        <w:tc>
          <w:tcPr>
            <w:tcW w:w="1800" w:type="dxa"/>
            <w:vAlign w:val="bottom"/>
          </w:tcPr>
          <w:p>
            <w:pPr>
              <w:spacing w:after="0" w:line="165" w:lineRule="exact"/>
              <w:rPr>
                <w:sz w:val="20"/>
                <w:szCs w:val="20"/>
                <w:color w:val="auto"/>
              </w:rPr>
            </w:pPr>
            <w:r>
              <w:rPr>
                <w:rFonts w:ascii="Times New Roman" w:cs="Times New Roman" w:eastAsia="Times New Roman" w:hAnsi="Times New Roman"/>
                <w:sz w:val="15"/>
                <w:szCs w:val="15"/>
                <w:color w:val="auto"/>
              </w:rPr>
              <w:t>Knows mutual funds</w:t>
            </w:r>
          </w:p>
        </w:tc>
        <w:tc>
          <w:tcPr>
            <w:tcW w:w="800" w:type="dxa"/>
            <w:vAlign w:val="bottom"/>
          </w:tcPr>
          <w:p>
            <w:pPr>
              <w:jc w:val="center"/>
              <w:spacing w:after="0" w:line="165" w:lineRule="exact"/>
              <w:rPr>
                <w:sz w:val="20"/>
                <w:szCs w:val="20"/>
                <w:color w:val="auto"/>
              </w:rPr>
            </w:pPr>
            <w:r>
              <w:rPr>
                <w:rFonts w:ascii="Times New Roman" w:cs="Times New Roman" w:eastAsia="Times New Roman" w:hAnsi="Times New Roman"/>
                <w:sz w:val="15"/>
                <w:szCs w:val="15"/>
                <w:color w:val="auto"/>
                <w:w w:val="98"/>
              </w:rPr>
              <w:t>0.32</w:t>
            </w:r>
          </w:p>
        </w:tc>
        <w:tc>
          <w:tcPr>
            <w:tcW w:w="660" w:type="dxa"/>
            <w:vAlign w:val="bottom"/>
          </w:tcPr>
          <w:p>
            <w:pPr>
              <w:jc w:val="center"/>
              <w:spacing w:after="0" w:line="165" w:lineRule="exact"/>
              <w:rPr>
                <w:sz w:val="20"/>
                <w:szCs w:val="20"/>
                <w:color w:val="auto"/>
              </w:rPr>
            </w:pPr>
            <w:r>
              <w:rPr>
                <w:rFonts w:ascii="Times New Roman" w:cs="Times New Roman" w:eastAsia="Times New Roman" w:hAnsi="Times New Roman"/>
                <w:sz w:val="15"/>
                <w:szCs w:val="15"/>
                <w:color w:val="auto"/>
                <w:w w:val="98"/>
              </w:rPr>
              <w:t>0.30</w:t>
            </w:r>
          </w:p>
        </w:tc>
        <w:tc>
          <w:tcPr>
            <w:tcW w:w="580" w:type="dxa"/>
            <w:vAlign w:val="bottom"/>
          </w:tcPr>
          <w:p>
            <w:pPr>
              <w:ind w:left="120"/>
              <w:spacing w:after="0" w:line="165" w:lineRule="exact"/>
              <w:rPr>
                <w:sz w:val="20"/>
                <w:szCs w:val="20"/>
                <w:color w:val="auto"/>
              </w:rPr>
            </w:pPr>
            <w:r>
              <w:rPr>
                <w:rFonts w:ascii="Times New Roman" w:cs="Times New Roman" w:eastAsia="Times New Roman" w:hAnsi="Times New Roman"/>
                <w:sz w:val="15"/>
                <w:szCs w:val="15"/>
                <w:color w:val="auto"/>
              </w:rPr>
              <w:t>0.35</w:t>
            </w:r>
          </w:p>
        </w:tc>
        <w:tc>
          <w:tcPr>
            <w:tcW w:w="700" w:type="dxa"/>
            <w:vAlign w:val="bottom"/>
            <w:gridSpan w:val="2"/>
          </w:tcPr>
          <w:p>
            <w:pPr>
              <w:jc w:val="center"/>
              <w:ind w:left="5"/>
              <w:spacing w:after="0" w:line="165" w:lineRule="exact"/>
              <w:rPr>
                <w:sz w:val="20"/>
                <w:szCs w:val="20"/>
                <w:color w:val="auto"/>
              </w:rPr>
            </w:pPr>
            <w:r>
              <w:rPr>
                <w:rFonts w:ascii="Times New Roman" w:cs="Times New Roman" w:eastAsia="Times New Roman" w:hAnsi="Times New Roman"/>
                <w:sz w:val="15"/>
                <w:szCs w:val="15"/>
                <w:color w:val="auto"/>
                <w:w w:val="98"/>
              </w:rPr>
              <w:t>0.29</w:t>
            </w:r>
          </w:p>
        </w:tc>
        <w:tc>
          <w:tcPr>
            <w:tcW w:w="660" w:type="dxa"/>
            <w:vAlign w:val="bottom"/>
          </w:tcPr>
          <w:p>
            <w:pPr>
              <w:ind w:left="160"/>
              <w:spacing w:after="0" w:line="165" w:lineRule="exact"/>
              <w:rPr>
                <w:sz w:val="20"/>
                <w:szCs w:val="20"/>
                <w:color w:val="auto"/>
              </w:rPr>
            </w:pPr>
            <w:r>
              <w:rPr>
                <w:rFonts w:ascii="Times New Roman" w:cs="Times New Roman" w:eastAsia="Times New Roman" w:hAnsi="Times New Roman"/>
                <w:sz w:val="15"/>
                <w:szCs w:val="15"/>
                <w:color w:val="auto"/>
              </w:rPr>
              <w:t>0.35</w:t>
            </w:r>
          </w:p>
        </w:tc>
        <w:tc>
          <w:tcPr>
            <w:tcW w:w="620" w:type="dxa"/>
            <w:vAlign w:val="bottom"/>
            <w:gridSpan w:val="2"/>
          </w:tcPr>
          <w:p>
            <w:pPr>
              <w:jc w:val="center"/>
              <w:ind w:left="5"/>
              <w:spacing w:after="0" w:line="165" w:lineRule="exact"/>
              <w:rPr>
                <w:sz w:val="20"/>
                <w:szCs w:val="20"/>
                <w:color w:val="auto"/>
              </w:rPr>
            </w:pPr>
            <w:r>
              <w:rPr>
                <w:rFonts w:ascii="Times New Roman" w:cs="Times New Roman" w:eastAsia="Times New Roman" w:hAnsi="Times New Roman"/>
                <w:sz w:val="15"/>
                <w:szCs w:val="15"/>
                <w:color w:val="auto"/>
                <w:w w:val="98"/>
              </w:rPr>
              <w:t>0.36</w:t>
            </w:r>
          </w:p>
        </w:tc>
        <w:tc>
          <w:tcPr>
            <w:tcW w:w="640" w:type="dxa"/>
            <w:vAlign w:val="bottom"/>
          </w:tcPr>
          <w:p>
            <w:pPr>
              <w:ind w:left="160"/>
              <w:spacing w:after="0" w:line="165" w:lineRule="exact"/>
              <w:rPr>
                <w:sz w:val="20"/>
                <w:szCs w:val="20"/>
                <w:color w:val="auto"/>
              </w:rPr>
            </w:pPr>
            <w:r>
              <w:rPr>
                <w:rFonts w:ascii="Times New Roman" w:cs="Times New Roman" w:eastAsia="Times New Roman" w:hAnsi="Times New Roman"/>
                <w:sz w:val="15"/>
                <w:szCs w:val="15"/>
                <w:color w:val="auto"/>
              </w:rPr>
              <w:t>0.32</w:t>
            </w:r>
          </w:p>
        </w:tc>
        <w:tc>
          <w:tcPr>
            <w:tcW w:w="0" w:type="dxa"/>
            <w:vAlign w:val="bottom"/>
          </w:tcPr>
          <w:p>
            <w:pPr>
              <w:spacing w:after="0"/>
              <w:rPr>
                <w:sz w:val="1"/>
                <w:szCs w:val="1"/>
                <w:color w:val="auto"/>
              </w:rPr>
            </w:pPr>
          </w:p>
        </w:tc>
      </w:tr>
      <w:tr>
        <w:trPr>
          <w:trHeight w:val="189"/>
        </w:trPr>
        <w:tc>
          <w:tcPr>
            <w:tcW w:w="1800" w:type="dxa"/>
            <w:vAlign w:val="bottom"/>
          </w:tcPr>
          <w:p>
            <w:pPr>
              <w:ind w:left="160"/>
              <w:spacing w:after="0"/>
              <w:rPr>
                <w:sz w:val="20"/>
                <w:szCs w:val="20"/>
                <w:color w:val="auto"/>
              </w:rPr>
            </w:pPr>
            <w:r>
              <w:rPr>
                <w:rFonts w:ascii="Times New Roman" w:cs="Times New Roman" w:eastAsia="Times New Roman" w:hAnsi="Times New Roman"/>
                <w:sz w:val="15"/>
                <w:szCs w:val="15"/>
                <w:color w:val="auto"/>
              </w:rPr>
              <w:t>have risk</w:t>
            </w:r>
          </w:p>
        </w:tc>
        <w:tc>
          <w:tcPr>
            <w:tcW w:w="800" w:type="dxa"/>
            <w:vAlign w:val="bottom"/>
          </w:tcPr>
          <w:p>
            <w:pPr>
              <w:spacing w:after="0"/>
              <w:rPr>
                <w:sz w:val="16"/>
                <w:szCs w:val="16"/>
                <w:color w:val="auto"/>
              </w:rPr>
            </w:pPr>
          </w:p>
        </w:tc>
        <w:tc>
          <w:tcPr>
            <w:tcW w:w="660" w:type="dxa"/>
            <w:vAlign w:val="bottom"/>
          </w:tcPr>
          <w:p>
            <w:pPr>
              <w:spacing w:after="0"/>
              <w:rPr>
                <w:sz w:val="16"/>
                <w:szCs w:val="16"/>
                <w:color w:val="auto"/>
              </w:rPr>
            </w:pPr>
          </w:p>
        </w:tc>
        <w:tc>
          <w:tcPr>
            <w:tcW w:w="580" w:type="dxa"/>
            <w:vAlign w:val="bottom"/>
          </w:tcPr>
          <w:p>
            <w:pPr>
              <w:spacing w:after="0"/>
              <w:rPr>
                <w:sz w:val="16"/>
                <w:szCs w:val="16"/>
                <w:color w:val="auto"/>
              </w:rPr>
            </w:pPr>
          </w:p>
        </w:tc>
        <w:tc>
          <w:tcPr>
            <w:tcW w:w="80" w:type="dxa"/>
            <w:vAlign w:val="bottom"/>
          </w:tcPr>
          <w:p>
            <w:pPr>
              <w:spacing w:after="0"/>
              <w:rPr>
                <w:sz w:val="16"/>
                <w:szCs w:val="16"/>
                <w:color w:val="auto"/>
              </w:rPr>
            </w:pPr>
          </w:p>
        </w:tc>
        <w:tc>
          <w:tcPr>
            <w:tcW w:w="620" w:type="dxa"/>
            <w:vAlign w:val="bottom"/>
          </w:tcPr>
          <w:p>
            <w:pPr>
              <w:spacing w:after="0"/>
              <w:rPr>
                <w:sz w:val="16"/>
                <w:szCs w:val="16"/>
                <w:color w:val="auto"/>
              </w:rPr>
            </w:pPr>
          </w:p>
        </w:tc>
        <w:tc>
          <w:tcPr>
            <w:tcW w:w="660" w:type="dxa"/>
            <w:vAlign w:val="bottom"/>
          </w:tcPr>
          <w:p>
            <w:pPr>
              <w:spacing w:after="0"/>
              <w:rPr>
                <w:sz w:val="16"/>
                <w:szCs w:val="16"/>
                <w:color w:val="auto"/>
              </w:rPr>
            </w:pPr>
          </w:p>
        </w:tc>
        <w:tc>
          <w:tcPr>
            <w:tcW w:w="60" w:type="dxa"/>
            <w:vAlign w:val="bottom"/>
          </w:tcPr>
          <w:p>
            <w:pPr>
              <w:spacing w:after="0"/>
              <w:rPr>
                <w:sz w:val="16"/>
                <w:szCs w:val="16"/>
                <w:color w:val="auto"/>
              </w:rPr>
            </w:pPr>
          </w:p>
        </w:tc>
        <w:tc>
          <w:tcPr>
            <w:tcW w:w="560" w:type="dxa"/>
            <w:vAlign w:val="bottom"/>
          </w:tcPr>
          <w:p>
            <w:pPr>
              <w:spacing w:after="0"/>
              <w:rPr>
                <w:sz w:val="16"/>
                <w:szCs w:val="16"/>
                <w:color w:val="auto"/>
              </w:rPr>
            </w:pPr>
          </w:p>
        </w:tc>
        <w:tc>
          <w:tcPr>
            <w:tcW w:w="640" w:type="dxa"/>
            <w:vAlign w:val="bottom"/>
          </w:tcPr>
          <w:p>
            <w:pPr>
              <w:spacing w:after="0"/>
              <w:rPr>
                <w:sz w:val="16"/>
                <w:szCs w:val="16"/>
                <w:color w:val="auto"/>
              </w:rPr>
            </w:pPr>
          </w:p>
        </w:tc>
        <w:tc>
          <w:tcPr>
            <w:tcW w:w="0" w:type="dxa"/>
            <w:vAlign w:val="bottom"/>
          </w:tcPr>
          <w:p>
            <w:pPr>
              <w:spacing w:after="0"/>
              <w:rPr>
                <w:sz w:val="1"/>
                <w:szCs w:val="1"/>
                <w:color w:val="auto"/>
              </w:rPr>
            </w:pPr>
          </w:p>
        </w:tc>
      </w:tr>
      <w:tr>
        <w:trPr>
          <w:trHeight w:val="189"/>
        </w:trPr>
        <w:tc>
          <w:tcPr>
            <w:tcW w:w="1800" w:type="dxa"/>
            <w:vAlign w:val="bottom"/>
          </w:tcPr>
          <w:p>
            <w:pPr>
              <w:spacing w:after="0"/>
              <w:rPr>
                <w:sz w:val="20"/>
                <w:szCs w:val="20"/>
                <w:color w:val="auto"/>
              </w:rPr>
            </w:pPr>
            <w:r>
              <w:rPr>
                <w:rFonts w:ascii="Times New Roman" w:cs="Times New Roman" w:eastAsia="Times New Roman" w:hAnsi="Times New Roman"/>
                <w:sz w:val="15"/>
                <w:szCs w:val="15"/>
                <w:color w:val="auto"/>
              </w:rPr>
              <w:t>Knows how to minimize</w:t>
            </w:r>
          </w:p>
        </w:tc>
        <w:tc>
          <w:tcPr>
            <w:tcW w:w="800" w:type="dxa"/>
            <w:vAlign w:val="bottom"/>
          </w:tcPr>
          <w:p>
            <w:pPr>
              <w:jc w:val="center"/>
              <w:spacing w:after="0"/>
              <w:rPr>
                <w:sz w:val="20"/>
                <w:szCs w:val="20"/>
                <w:color w:val="auto"/>
              </w:rPr>
            </w:pPr>
            <w:r>
              <w:rPr>
                <w:rFonts w:ascii="Times New Roman" w:cs="Times New Roman" w:eastAsia="Times New Roman" w:hAnsi="Times New Roman"/>
                <w:sz w:val="15"/>
                <w:szCs w:val="15"/>
                <w:color w:val="auto"/>
                <w:w w:val="98"/>
              </w:rPr>
              <w:t>0.87</w:t>
            </w:r>
          </w:p>
        </w:tc>
        <w:tc>
          <w:tcPr>
            <w:tcW w:w="660" w:type="dxa"/>
            <w:vAlign w:val="bottom"/>
          </w:tcPr>
          <w:p>
            <w:pPr>
              <w:jc w:val="center"/>
              <w:spacing w:after="0"/>
              <w:rPr>
                <w:sz w:val="20"/>
                <w:szCs w:val="20"/>
                <w:color w:val="auto"/>
              </w:rPr>
            </w:pPr>
            <w:r>
              <w:rPr>
                <w:rFonts w:ascii="Times New Roman" w:cs="Times New Roman" w:eastAsia="Times New Roman" w:hAnsi="Times New Roman"/>
                <w:sz w:val="15"/>
                <w:szCs w:val="15"/>
                <w:color w:val="auto"/>
                <w:w w:val="98"/>
              </w:rPr>
              <w:t>0.88</w:t>
            </w:r>
          </w:p>
        </w:tc>
        <w:tc>
          <w:tcPr>
            <w:tcW w:w="580" w:type="dxa"/>
            <w:vAlign w:val="bottom"/>
          </w:tcPr>
          <w:p>
            <w:pPr>
              <w:ind w:left="120"/>
              <w:spacing w:after="0"/>
              <w:rPr>
                <w:sz w:val="20"/>
                <w:szCs w:val="20"/>
                <w:color w:val="auto"/>
              </w:rPr>
            </w:pPr>
            <w:r>
              <w:rPr>
                <w:rFonts w:ascii="Times New Roman" w:cs="Times New Roman" w:eastAsia="Times New Roman" w:hAnsi="Times New Roman"/>
                <w:sz w:val="15"/>
                <w:szCs w:val="15"/>
                <w:color w:val="auto"/>
              </w:rPr>
              <w:t>0.86</w:t>
            </w:r>
          </w:p>
        </w:tc>
        <w:tc>
          <w:tcPr>
            <w:tcW w:w="700" w:type="dxa"/>
            <w:vAlign w:val="bottom"/>
            <w:gridSpan w:val="2"/>
          </w:tcPr>
          <w:p>
            <w:pPr>
              <w:jc w:val="center"/>
              <w:ind w:left="5"/>
              <w:spacing w:after="0"/>
              <w:rPr>
                <w:sz w:val="20"/>
                <w:szCs w:val="20"/>
                <w:color w:val="auto"/>
              </w:rPr>
            </w:pPr>
            <w:r>
              <w:rPr>
                <w:rFonts w:ascii="Times New Roman" w:cs="Times New Roman" w:eastAsia="Times New Roman" w:hAnsi="Times New Roman"/>
                <w:sz w:val="15"/>
                <w:szCs w:val="15"/>
                <w:color w:val="auto"/>
                <w:w w:val="98"/>
              </w:rPr>
              <w:t>0.89</w:t>
            </w:r>
          </w:p>
        </w:tc>
        <w:tc>
          <w:tcPr>
            <w:tcW w:w="660" w:type="dxa"/>
            <w:vAlign w:val="bottom"/>
          </w:tcPr>
          <w:p>
            <w:pPr>
              <w:ind w:left="160"/>
              <w:spacing w:after="0"/>
              <w:rPr>
                <w:sz w:val="20"/>
                <w:szCs w:val="20"/>
                <w:color w:val="auto"/>
              </w:rPr>
            </w:pPr>
            <w:r>
              <w:rPr>
                <w:rFonts w:ascii="Times New Roman" w:cs="Times New Roman" w:eastAsia="Times New Roman" w:hAnsi="Times New Roman"/>
                <w:sz w:val="15"/>
                <w:szCs w:val="15"/>
                <w:color w:val="auto"/>
              </w:rPr>
              <w:t>0.84</w:t>
            </w:r>
          </w:p>
        </w:tc>
        <w:tc>
          <w:tcPr>
            <w:tcW w:w="620" w:type="dxa"/>
            <w:vAlign w:val="bottom"/>
            <w:gridSpan w:val="2"/>
          </w:tcPr>
          <w:p>
            <w:pPr>
              <w:jc w:val="center"/>
              <w:ind w:left="5"/>
              <w:spacing w:after="0"/>
              <w:rPr>
                <w:sz w:val="20"/>
                <w:szCs w:val="20"/>
                <w:color w:val="auto"/>
              </w:rPr>
            </w:pPr>
            <w:r>
              <w:rPr>
                <w:rFonts w:ascii="Times New Roman" w:cs="Times New Roman" w:eastAsia="Times New Roman" w:hAnsi="Times New Roman"/>
                <w:sz w:val="15"/>
                <w:szCs w:val="15"/>
                <w:color w:val="auto"/>
                <w:w w:val="98"/>
              </w:rPr>
              <w:t>0.80</w:t>
            </w:r>
          </w:p>
        </w:tc>
        <w:tc>
          <w:tcPr>
            <w:tcW w:w="640" w:type="dxa"/>
            <w:vAlign w:val="bottom"/>
          </w:tcPr>
          <w:p>
            <w:pPr>
              <w:ind w:left="160"/>
              <w:spacing w:after="0"/>
              <w:rPr>
                <w:sz w:val="20"/>
                <w:szCs w:val="20"/>
                <w:color w:val="auto"/>
              </w:rPr>
            </w:pPr>
            <w:r>
              <w:rPr>
                <w:rFonts w:ascii="Times New Roman" w:cs="Times New Roman" w:eastAsia="Times New Roman" w:hAnsi="Times New Roman"/>
                <w:sz w:val="15"/>
                <w:szCs w:val="15"/>
                <w:color w:val="auto"/>
              </w:rPr>
              <w:t>0.91</w:t>
            </w:r>
          </w:p>
        </w:tc>
        <w:tc>
          <w:tcPr>
            <w:tcW w:w="0" w:type="dxa"/>
            <w:vAlign w:val="bottom"/>
          </w:tcPr>
          <w:p>
            <w:pPr>
              <w:spacing w:after="0"/>
              <w:rPr>
                <w:sz w:val="1"/>
                <w:szCs w:val="1"/>
                <w:color w:val="auto"/>
              </w:rPr>
            </w:pPr>
          </w:p>
        </w:tc>
      </w:tr>
      <w:tr>
        <w:trPr>
          <w:trHeight w:val="189"/>
        </w:trPr>
        <w:tc>
          <w:tcPr>
            <w:tcW w:w="1800" w:type="dxa"/>
            <w:vAlign w:val="bottom"/>
          </w:tcPr>
          <w:p>
            <w:pPr>
              <w:ind w:left="160"/>
              <w:spacing w:after="0"/>
              <w:rPr>
                <w:sz w:val="20"/>
                <w:szCs w:val="20"/>
                <w:color w:val="auto"/>
              </w:rPr>
            </w:pPr>
            <w:r>
              <w:rPr>
                <w:rFonts w:ascii="Times New Roman" w:cs="Times New Roman" w:eastAsia="Times New Roman" w:hAnsi="Times New Roman"/>
                <w:sz w:val="15"/>
                <w:szCs w:val="15"/>
                <w:color w:val="auto"/>
              </w:rPr>
              <w:t>credit card interest</w:t>
            </w:r>
          </w:p>
        </w:tc>
        <w:tc>
          <w:tcPr>
            <w:tcW w:w="800" w:type="dxa"/>
            <w:vAlign w:val="bottom"/>
          </w:tcPr>
          <w:p>
            <w:pPr>
              <w:spacing w:after="0"/>
              <w:rPr>
                <w:sz w:val="16"/>
                <w:szCs w:val="16"/>
                <w:color w:val="auto"/>
              </w:rPr>
            </w:pPr>
          </w:p>
        </w:tc>
        <w:tc>
          <w:tcPr>
            <w:tcW w:w="660" w:type="dxa"/>
            <w:vAlign w:val="bottom"/>
          </w:tcPr>
          <w:p>
            <w:pPr>
              <w:spacing w:after="0"/>
              <w:rPr>
                <w:sz w:val="16"/>
                <w:szCs w:val="16"/>
                <w:color w:val="auto"/>
              </w:rPr>
            </w:pPr>
          </w:p>
        </w:tc>
        <w:tc>
          <w:tcPr>
            <w:tcW w:w="580" w:type="dxa"/>
            <w:vAlign w:val="bottom"/>
          </w:tcPr>
          <w:p>
            <w:pPr>
              <w:spacing w:after="0"/>
              <w:rPr>
                <w:sz w:val="16"/>
                <w:szCs w:val="16"/>
                <w:color w:val="auto"/>
              </w:rPr>
            </w:pPr>
          </w:p>
        </w:tc>
        <w:tc>
          <w:tcPr>
            <w:tcW w:w="80" w:type="dxa"/>
            <w:vAlign w:val="bottom"/>
          </w:tcPr>
          <w:p>
            <w:pPr>
              <w:spacing w:after="0"/>
              <w:rPr>
                <w:sz w:val="16"/>
                <w:szCs w:val="16"/>
                <w:color w:val="auto"/>
              </w:rPr>
            </w:pPr>
          </w:p>
        </w:tc>
        <w:tc>
          <w:tcPr>
            <w:tcW w:w="620" w:type="dxa"/>
            <w:vAlign w:val="bottom"/>
          </w:tcPr>
          <w:p>
            <w:pPr>
              <w:spacing w:after="0"/>
              <w:rPr>
                <w:sz w:val="16"/>
                <w:szCs w:val="16"/>
                <w:color w:val="auto"/>
              </w:rPr>
            </w:pPr>
          </w:p>
        </w:tc>
        <w:tc>
          <w:tcPr>
            <w:tcW w:w="660" w:type="dxa"/>
            <w:vAlign w:val="bottom"/>
          </w:tcPr>
          <w:p>
            <w:pPr>
              <w:spacing w:after="0"/>
              <w:rPr>
                <w:sz w:val="16"/>
                <w:szCs w:val="16"/>
                <w:color w:val="auto"/>
              </w:rPr>
            </w:pPr>
          </w:p>
        </w:tc>
        <w:tc>
          <w:tcPr>
            <w:tcW w:w="60" w:type="dxa"/>
            <w:vAlign w:val="bottom"/>
          </w:tcPr>
          <w:p>
            <w:pPr>
              <w:spacing w:after="0"/>
              <w:rPr>
                <w:sz w:val="16"/>
                <w:szCs w:val="16"/>
                <w:color w:val="auto"/>
              </w:rPr>
            </w:pPr>
          </w:p>
        </w:tc>
        <w:tc>
          <w:tcPr>
            <w:tcW w:w="560" w:type="dxa"/>
            <w:vAlign w:val="bottom"/>
          </w:tcPr>
          <w:p>
            <w:pPr>
              <w:spacing w:after="0"/>
              <w:rPr>
                <w:sz w:val="16"/>
                <w:szCs w:val="16"/>
                <w:color w:val="auto"/>
              </w:rPr>
            </w:pPr>
          </w:p>
        </w:tc>
        <w:tc>
          <w:tcPr>
            <w:tcW w:w="640" w:type="dxa"/>
            <w:vAlign w:val="bottom"/>
          </w:tcPr>
          <w:p>
            <w:pPr>
              <w:spacing w:after="0"/>
              <w:rPr>
                <w:sz w:val="16"/>
                <w:szCs w:val="16"/>
                <w:color w:val="auto"/>
              </w:rPr>
            </w:pPr>
          </w:p>
        </w:tc>
        <w:tc>
          <w:tcPr>
            <w:tcW w:w="0" w:type="dxa"/>
            <w:vAlign w:val="bottom"/>
          </w:tcPr>
          <w:p>
            <w:pPr>
              <w:spacing w:after="0"/>
              <w:rPr>
                <w:sz w:val="1"/>
                <w:szCs w:val="1"/>
                <w:color w:val="auto"/>
              </w:rPr>
            </w:pPr>
          </w:p>
        </w:tc>
      </w:tr>
      <w:tr>
        <w:trPr>
          <w:trHeight w:val="189"/>
        </w:trPr>
        <w:tc>
          <w:tcPr>
            <w:tcW w:w="1800" w:type="dxa"/>
            <w:vAlign w:val="bottom"/>
          </w:tcPr>
          <w:p>
            <w:pPr>
              <w:spacing w:after="0"/>
              <w:rPr>
                <w:sz w:val="20"/>
                <w:szCs w:val="20"/>
                <w:color w:val="auto"/>
              </w:rPr>
            </w:pPr>
            <w:r>
              <w:rPr>
                <w:rFonts w:ascii="Times New Roman" w:cs="Times New Roman" w:eastAsia="Times New Roman" w:hAnsi="Times New Roman"/>
                <w:sz w:val="15"/>
                <w:szCs w:val="15"/>
                <w:color w:val="auto"/>
              </w:rPr>
              <w:t>Uses Internet often</w:t>
            </w:r>
          </w:p>
        </w:tc>
        <w:tc>
          <w:tcPr>
            <w:tcW w:w="800" w:type="dxa"/>
            <w:vAlign w:val="bottom"/>
          </w:tcPr>
          <w:p>
            <w:pPr>
              <w:jc w:val="center"/>
              <w:spacing w:after="0"/>
              <w:rPr>
                <w:sz w:val="20"/>
                <w:szCs w:val="20"/>
                <w:color w:val="auto"/>
              </w:rPr>
            </w:pPr>
            <w:r>
              <w:rPr>
                <w:rFonts w:ascii="Times New Roman" w:cs="Times New Roman" w:eastAsia="Times New Roman" w:hAnsi="Times New Roman"/>
                <w:sz w:val="15"/>
                <w:szCs w:val="15"/>
                <w:color w:val="auto"/>
                <w:w w:val="98"/>
              </w:rPr>
              <w:t>0.21</w:t>
            </w:r>
          </w:p>
        </w:tc>
        <w:tc>
          <w:tcPr>
            <w:tcW w:w="660" w:type="dxa"/>
            <w:vAlign w:val="bottom"/>
          </w:tcPr>
          <w:p>
            <w:pPr>
              <w:jc w:val="center"/>
              <w:spacing w:after="0"/>
              <w:rPr>
                <w:sz w:val="20"/>
                <w:szCs w:val="20"/>
                <w:color w:val="auto"/>
              </w:rPr>
            </w:pPr>
            <w:r>
              <w:rPr>
                <w:rFonts w:ascii="Times New Roman" w:cs="Times New Roman" w:eastAsia="Times New Roman" w:hAnsi="Times New Roman"/>
                <w:sz w:val="15"/>
                <w:szCs w:val="15"/>
                <w:color w:val="auto"/>
                <w:w w:val="98"/>
              </w:rPr>
              <w:t>0.24</w:t>
            </w:r>
          </w:p>
        </w:tc>
        <w:tc>
          <w:tcPr>
            <w:tcW w:w="580" w:type="dxa"/>
            <w:vAlign w:val="bottom"/>
          </w:tcPr>
          <w:p>
            <w:pPr>
              <w:ind w:left="120"/>
              <w:spacing w:after="0"/>
              <w:rPr>
                <w:sz w:val="20"/>
                <w:szCs w:val="20"/>
                <w:color w:val="auto"/>
              </w:rPr>
            </w:pPr>
            <w:r>
              <w:rPr>
                <w:rFonts w:ascii="Times New Roman" w:cs="Times New Roman" w:eastAsia="Times New Roman" w:hAnsi="Times New Roman"/>
                <w:sz w:val="15"/>
                <w:szCs w:val="15"/>
                <w:color w:val="auto"/>
              </w:rPr>
              <w:t>0.14*</w:t>
            </w:r>
          </w:p>
        </w:tc>
        <w:tc>
          <w:tcPr>
            <w:tcW w:w="700" w:type="dxa"/>
            <w:vAlign w:val="bottom"/>
            <w:gridSpan w:val="2"/>
          </w:tcPr>
          <w:p>
            <w:pPr>
              <w:jc w:val="center"/>
              <w:ind w:left="5"/>
              <w:spacing w:after="0"/>
              <w:rPr>
                <w:sz w:val="20"/>
                <w:szCs w:val="20"/>
                <w:color w:val="auto"/>
              </w:rPr>
            </w:pPr>
            <w:r>
              <w:rPr>
                <w:rFonts w:ascii="Times New Roman" w:cs="Times New Roman" w:eastAsia="Times New Roman" w:hAnsi="Times New Roman"/>
                <w:sz w:val="15"/>
                <w:szCs w:val="15"/>
                <w:color w:val="auto"/>
                <w:w w:val="98"/>
              </w:rPr>
              <w:t>0.26</w:t>
            </w:r>
          </w:p>
        </w:tc>
        <w:tc>
          <w:tcPr>
            <w:tcW w:w="660" w:type="dxa"/>
            <w:vAlign w:val="bottom"/>
          </w:tcPr>
          <w:p>
            <w:pPr>
              <w:ind w:left="160"/>
              <w:spacing w:after="0"/>
              <w:rPr>
                <w:sz w:val="20"/>
                <w:szCs w:val="20"/>
                <w:color w:val="auto"/>
              </w:rPr>
            </w:pPr>
            <w:r>
              <w:rPr>
                <w:rFonts w:ascii="Times New Roman" w:cs="Times New Roman" w:eastAsia="Times New Roman" w:hAnsi="Times New Roman"/>
                <w:sz w:val="15"/>
                <w:szCs w:val="15"/>
                <w:color w:val="auto"/>
              </w:rPr>
              <w:t>0.10**</w:t>
            </w:r>
          </w:p>
        </w:tc>
        <w:tc>
          <w:tcPr>
            <w:tcW w:w="620" w:type="dxa"/>
            <w:vAlign w:val="bottom"/>
            <w:gridSpan w:val="2"/>
          </w:tcPr>
          <w:p>
            <w:pPr>
              <w:jc w:val="center"/>
              <w:ind w:left="5"/>
              <w:spacing w:after="0"/>
              <w:rPr>
                <w:sz w:val="20"/>
                <w:szCs w:val="20"/>
                <w:color w:val="auto"/>
              </w:rPr>
            </w:pPr>
            <w:r>
              <w:rPr>
                <w:rFonts w:ascii="Times New Roman" w:cs="Times New Roman" w:eastAsia="Times New Roman" w:hAnsi="Times New Roman"/>
                <w:sz w:val="15"/>
                <w:szCs w:val="15"/>
                <w:color w:val="auto"/>
                <w:w w:val="98"/>
              </w:rPr>
              <w:t>0.16</w:t>
            </w:r>
          </w:p>
        </w:tc>
        <w:tc>
          <w:tcPr>
            <w:tcW w:w="640" w:type="dxa"/>
            <w:vAlign w:val="bottom"/>
          </w:tcPr>
          <w:p>
            <w:pPr>
              <w:ind w:left="160"/>
              <w:spacing w:after="0"/>
              <w:rPr>
                <w:sz w:val="20"/>
                <w:szCs w:val="20"/>
                <w:color w:val="auto"/>
              </w:rPr>
            </w:pPr>
            <w:r>
              <w:rPr>
                <w:rFonts w:ascii="Times New Roman" w:cs="Times New Roman" w:eastAsia="Times New Roman" w:hAnsi="Times New Roman"/>
                <w:sz w:val="15"/>
                <w:szCs w:val="15"/>
                <w:color w:val="auto"/>
              </w:rPr>
              <w:t>0.24</w:t>
            </w:r>
          </w:p>
        </w:tc>
        <w:tc>
          <w:tcPr>
            <w:tcW w:w="0" w:type="dxa"/>
            <w:vAlign w:val="bottom"/>
          </w:tcPr>
          <w:p>
            <w:pPr>
              <w:spacing w:after="0"/>
              <w:rPr>
                <w:sz w:val="1"/>
                <w:szCs w:val="1"/>
                <w:color w:val="auto"/>
              </w:rPr>
            </w:pPr>
          </w:p>
        </w:tc>
      </w:tr>
      <w:tr>
        <w:trPr>
          <w:trHeight w:val="189"/>
        </w:trPr>
        <w:tc>
          <w:tcPr>
            <w:tcW w:w="1800" w:type="dxa"/>
            <w:vAlign w:val="bottom"/>
          </w:tcPr>
          <w:p>
            <w:pPr>
              <w:spacing w:after="0"/>
              <w:rPr>
                <w:sz w:val="20"/>
                <w:szCs w:val="20"/>
                <w:color w:val="auto"/>
              </w:rPr>
            </w:pPr>
            <w:r>
              <w:rPr>
                <w:rFonts w:ascii="Times New Roman" w:cs="Times New Roman" w:eastAsia="Times New Roman" w:hAnsi="Times New Roman"/>
                <w:sz w:val="15"/>
                <w:szCs w:val="15"/>
                <w:color w:val="auto"/>
              </w:rPr>
              <w:t>Uses Internet sometimes</w:t>
            </w:r>
          </w:p>
        </w:tc>
        <w:tc>
          <w:tcPr>
            <w:tcW w:w="800" w:type="dxa"/>
            <w:vAlign w:val="bottom"/>
          </w:tcPr>
          <w:p>
            <w:pPr>
              <w:jc w:val="center"/>
              <w:spacing w:after="0"/>
              <w:rPr>
                <w:sz w:val="20"/>
                <w:szCs w:val="20"/>
                <w:color w:val="auto"/>
              </w:rPr>
            </w:pPr>
            <w:r>
              <w:rPr>
                <w:rFonts w:ascii="Times New Roman" w:cs="Times New Roman" w:eastAsia="Times New Roman" w:hAnsi="Times New Roman"/>
                <w:sz w:val="15"/>
                <w:szCs w:val="15"/>
                <w:color w:val="auto"/>
                <w:w w:val="98"/>
              </w:rPr>
              <w:t>0.22</w:t>
            </w:r>
          </w:p>
        </w:tc>
        <w:tc>
          <w:tcPr>
            <w:tcW w:w="660" w:type="dxa"/>
            <w:vAlign w:val="bottom"/>
          </w:tcPr>
          <w:p>
            <w:pPr>
              <w:jc w:val="center"/>
              <w:spacing w:after="0"/>
              <w:rPr>
                <w:sz w:val="20"/>
                <w:szCs w:val="20"/>
                <w:color w:val="auto"/>
              </w:rPr>
            </w:pPr>
            <w:r>
              <w:rPr>
                <w:rFonts w:ascii="Times New Roman" w:cs="Times New Roman" w:eastAsia="Times New Roman" w:hAnsi="Times New Roman"/>
                <w:sz w:val="15"/>
                <w:szCs w:val="15"/>
                <w:color w:val="auto"/>
                <w:w w:val="98"/>
              </w:rPr>
              <w:t>0.28</w:t>
            </w:r>
          </w:p>
        </w:tc>
        <w:tc>
          <w:tcPr>
            <w:tcW w:w="580" w:type="dxa"/>
            <w:vAlign w:val="bottom"/>
          </w:tcPr>
          <w:p>
            <w:pPr>
              <w:ind w:left="120"/>
              <w:spacing w:after="0"/>
              <w:rPr>
                <w:sz w:val="20"/>
                <w:szCs w:val="20"/>
                <w:color w:val="auto"/>
              </w:rPr>
            </w:pPr>
            <w:r>
              <w:rPr>
                <w:rFonts w:ascii="Times New Roman" w:cs="Times New Roman" w:eastAsia="Times New Roman" w:hAnsi="Times New Roman"/>
                <w:sz w:val="15"/>
                <w:szCs w:val="15"/>
                <w:color w:val="auto"/>
              </w:rPr>
              <w:t>0.10**</w:t>
            </w:r>
          </w:p>
        </w:tc>
        <w:tc>
          <w:tcPr>
            <w:tcW w:w="700" w:type="dxa"/>
            <w:vAlign w:val="bottom"/>
            <w:gridSpan w:val="2"/>
          </w:tcPr>
          <w:p>
            <w:pPr>
              <w:jc w:val="center"/>
              <w:ind w:left="5"/>
              <w:spacing w:after="0"/>
              <w:rPr>
                <w:sz w:val="20"/>
                <w:szCs w:val="20"/>
                <w:color w:val="auto"/>
              </w:rPr>
            </w:pPr>
            <w:r>
              <w:rPr>
                <w:rFonts w:ascii="Times New Roman" w:cs="Times New Roman" w:eastAsia="Times New Roman" w:hAnsi="Times New Roman"/>
                <w:sz w:val="15"/>
                <w:szCs w:val="15"/>
                <w:color w:val="auto"/>
                <w:w w:val="98"/>
              </w:rPr>
              <w:t>0.28</w:t>
            </w:r>
          </w:p>
        </w:tc>
        <w:tc>
          <w:tcPr>
            <w:tcW w:w="660" w:type="dxa"/>
            <w:vAlign w:val="bottom"/>
          </w:tcPr>
          <w:p>
            <w:pPr>
              <w:ind w:left="160"/>
              <w:spacing w:after="0"/>
              <w:rPr>
                <w:sz w:val="20"/>
                <w:szCs w:val="20"/>
                <w:color w:val="auto"/>
              </w:rPr>
            </w:pPr>
            <w:r>
              <w:rPr>
                <w:rFonts w:ascii="Times New Roman" w:cs="Times New Roman" w:eastAsia="Times New Roman" w:hAnsi="Times New Roman"/>
                <w:sz w:val="15"/>
                <w:szCs w:val="15"/>
                <w:color w:val="auto"/>
              </w:rPr>
              <w:t>0.12**</w:t>
            </w:r>
          </w:p>
        </w:tc>
        <w:tc>
          <w:tcPr>
            <w:tcW w:w="620" w:type="dxa"/>
            <w:vAlign w:val="bottom"/>
            <w:gridSpan w:val="2"/>
          </w:tcPr>
          <w:p>
            <w:pPr>
              <w:jc w:val="center"/>
              <w:ind w:left="5"/>
              <w:spacing w:after="0"/>
              <w:rPr>
                <w:sz w:val="20"/>
                <w:szCs w:val="20"/>
                <w:color w:val="auto"/>
              </w:rPr>
            </w:pPr>
            <w:r>
              <w:rPr>
                <w:rFonts w:ascii="Times New Roman" w:cs="Times New Roman" w:eastAsia="Times New Roman" w:hAnsi="Times New Roman"/>
                <w:sz w:val="15"/>
                <w:szCs w:val="15"/>
                <w:color w:val="auto"/>
                <w:w w:val="98"/>
              </w:rPr>
              <w:t>0.28</w:t>
            </w:r>
          </w:p>
        </w:tc>
        <w:tc>
          <w:tcPr>
            <w:tcW w:w="640" w:type="dxa"/>
            <w:vAlign w:val="bottom"/>
          </w:tcPr>
          <w:p>
            <w:pPr>
              <w:ind w:left="160"/>
              <w:spacing w:after="0"/>
              <w:rPr>
                <w:sz w:val="20"/>
                <w:szCs w:val="20"/>
                <w:color w:val="auto"/>
              </w:rPr>
            </w:pPr>
            <w:r>
              <w:rPr>
                <w:rFonts w:ascii="Times New Roman" w:cs="Times New Roman" w:eastAsia="Times New Roman" w:hAnsi="Times New Roman"/>
                <w:sz w:val="15"/>
                <w:szCs w:val="15"/>
                <w:color w:val="auto"/>
              </w:rPr>
              <w:t>0.05**</w:t>
            </w:r>
          </w:p>
        </w:tc>
        <w:tc>
          <w:tcPr>
            <w:tcW w:w="0" w:type="dxa"/>
            <w:vAlign w:val="bottom"/>
          </w:tcPr>
          <w:p>
            <w:pPr>
              <w:spacing w:after="0"/>
              <w:rPr>
                <w:sz w:val="1"/>
                <w:szCs w:val="1"/>
                <w:color w:val="auto"/>
              </w:rPr>
            </w:pPr>
          </w:p>
        </w:tc>
      </w:tr>
      <w:tr>
        <w:trPr>
          <w:trHeight w:val="43"/>
        </w:trPr>
        <w:tc>
          <w:tcPr>
            <w:tcW w:w="1800" w:type="dxa"/>
            <w:vAlign w:val="bottom"/>
            <w:tcBorders>
              <w:bottom w:val="single" w:sz="8" w:color="auto"/>
            </w:tcBorders>
          </w:tcPr>
          <w:p>
            <w:pPr>
              <w:spacing w:after="0"/>
              <w:rPr>
                <w:sz w:val="3"/>
                <w:szCs w:val="3"/>
                <w:color w:val="auto"/>
              </w:rPr>
            </w:pPr>
          </w:p>
        </w:tc>
        <w:tc>
          <w:tcPr>
            <w:tcW w:w="800" w:type="dxa"/>
            <w:vAlign w:val="bottom"/>
            <w:tcBorders>
              <w:bottom w:val="single" w:sz="8" w:color="auto"/>
            </w:tcBorders>
          </w:tcPr>
          <w:p>
            <w:pPr>
              <w:spacing w:after="0"/>
              <w:rPr>
                <w:sz w:val="3"/>
                <w:szCs w:val="3"/>
                <w:color w:val="auto"/>
              </w:rPr>
            </w:pPr>
          </w:p>
        </w:tc>
        <w:tc>
          <w:tcPr>
            <w:tcW w:w="660" w:type="dxa"/>
            <w:vAlign w:val="bottom"/>
            <w:tcBorders>
              <w:bottom w:val="single" w:sz="8" w:color="auto"/>
            </w:tcBorders>
          </w:tcPr>
          <w:p>
            <w:pPr>
              <w:spacing w:after="0"/>
              <w:rPr>
                <w:sz w:val="3"/>
                <w:szCs w:val="3"/>
                <w:color w:val="auto"/>
              </w:rPr>
            </w:pPr>
          </w:p>
        </w:tc>
        <w:tc>
          <w:tcPr>
            <w:tcW w:w="580" w:type="dxa"/>
            <w:vAlign w:val="bottom"/>
            <w:tcBorders>
              <w:bottom w:val="single" w:sz="8" w:color="auto"/>
            </w:tcBorders>
          </w:tcPr>
          <w:p>
            <w:pPr>
              <w:spacing w:after="0"/>
              <w:rPr>
                <w:sz w:val="3"/>
                <w:szCs w:val="3"/>
                <w:color w:val="auto"/>
              </w:rPr>
            </w:pPr>
          </w:p>
        </w:tc>
        <w:tc>
          <w:tcPr>
            <w:tcW w:w="80" w:type="dxa"/>
            <w:vAlign w:val="bottom"/>
            <w:tcBorders>
              <w:bottom w:val="single" w:sz="8" w:color="auto"/>
            </w:tcBorders>
          </w:tcPr>
          <w:p>
            <w:pPr>
              <w:spacing w:after="0"/>
              <w:rPr>
                <w:sz w:val="3"/>
                <w:szCs w:val="3"/>
                <w:color w:val="auto"/>
              </w:rPr>
            </w:pPr>
          </w:p>
        </w:tc>
        <w:tc>
          <w:tcPr>
            <w:tcW w:w="620" w:type="dxa"/>
            <w:vAlign w:val="bottom"/>
            <w:tcBorders>
              <w:bottom w:val="single" w:sz="8" w:color="auto"/>
            </w:tcBorders>
          </w:tcPr>
          <w:p>
            <w:pPr>
              <w:spacing w:after="0"/>
              <w:rPr>
                <w:sz w:val="3"/>
                <w:szCs w:val="3"/>
                <w:color w:val="auto"/>
              </w:rPr>
            </w:pPr>
          </w:p>
        </w:tc>
        <w:tc>
          <w:tcPr>
            <w:tcW w:w="660" w:type="dxa"/>
            <w:vAlign w:val="bottom"/>
            <w:tcBorders>
              <w:bottom w:val="single" w:sz="8" w:color="auto"/>
            </w:tcBorders>
          </w:tcPr>
          <w:p>
            <w:pPr>
              <w:spacing w:after="0"/>
              <w:rPr>
                <w:sz w:val="3"/>
                <w:szCs w:val="3"/>
                <w:color w:val="auto"/>
              </w:rPr>
            </w:pPr>
          </w:p>
        </w:tc>
        <w:tc>
          <w:tcPr>
            <w:tcW w:w="60" w:type="dxa"/>
            <w:vAlign w:val="bottom"/>
            <w:tcBorders>
              <w:bottom w:val="single" w:sz="8" w:color="auto"/>
            </w:tcBorders>
          </w:tcPr>
          <w:p>
            <w:pPr>
              <w:spacing w:after="0"/>
              <w:rPr>
                <w:sz w:val="3"/>
                <w:szCs w:val="3"/>
                <w:color w:val="auto"/>
              </w:rPr>
            </w:pPr>
          </w:p>
        </w:tc>
        <w:tc>
          <w:tcPr>
            <w:tcW w:w="560" w:type="dxa"/>
            <w:vAlign w:val="bottom"/>
            <w:tcBorders>
              <w:bottom w:val="single" w:sz="8" w:color="auto"/>
            </w:tcBorders>
          </w:tcPr>
          <w:p>
            <w:pPr>
              <w:spacing w:after="0"/>
              <w:rPr>
                <w:sz w:val="3"/>
                <w:szCs w:val="3"/>
                <w:color w:val="auto"/>
              </w:rPr>
            </w:pPr>
          </w:p>
        </w:tc>
        <w:tc>
          <w:tcPr>
            <w:tcW w:w="640" w:type="dxa"/>
            <w:vAlign w:val="bottom"/>
            <w:tcBorders>
              <w:bottom w:val="single" w:sz="8" w:color="auto"/>
            </w:tcBorders>
          </w:tcPr>
          <w:p>
            <w:pPr>
              <w:spacing w:after="0"/>
              <w:rPr>
                <w:sz w:val="3"/>
                <w:szCs w:val="3"/>
                <w:color w:val="auto"/>
              </w:rPr>
            </w:pPr>
          </w:p>
        </w:tc>
        <w:tc>
          <w:tcPr>
            <w:tcW w:w="0" w:type="dxa"/>
            <w:vAlign w:val="bottom"/>
          </w:tcPr>
          <w:p>
            <w:pPr>
              <w:spacing w:after="0"/>
              <w:rPr>
                <w:sz w:val="1"/>
                <w:szCs w:val="1"/>
                <w:color w:val="auto"/>
              </w:rPr>
            </w:pPr>
          </w:p>
        </w:tc>
      </w:tr>
    </w:tbl>
    <w:p>
      <w:pPr>
        <w:spacing w:after="0" w:line="114" w:lineRule="exact"/>
        <w:rPr>
          <w:sz w:val="20"/>
          <w:szCs w:val="20"/>
          <w:color w:val="auto"/>
        </w:rPr>
      </w:pPr>
    </w:p>
    <w:p>
      <w:pPr>
        <w:jc w:val="both"/>
        <w:spacing w:after="0" w:line="227" w:lineRule="auto"/>
        <w:rPr>
          <w:sz w:val="20"/>
          <w:szCs w:val="20"/>
          <w:color w:val="auto"/>
        </w:rPr>
      </w:pPr>
      <w:r>
        <w:rPr>
          <w:rFonts w:ascii="Times New Roman" w:cs="Times New Roman" w:eastAsia="Times New Roman" w:hAnsi="Times New Roman"/>
          <w:sz w:val="16"/>
          <w:szCs w:val="16"/>
          <w:color w:val="auto"/>
        </w:rPr>
        <w:t>Note: Asterisks indicate that difference in means is statistically significant at specified level. Difference in means is within columns as labeled in first row of table.</w:t>
      </w:r>
    </w:p>
    <w:p>
      <w:pPr>
        <w:spacing w:after="0" w:line="18" w:lineRule="exact"/>
        <w:rPr>
          <w:sz w:val="20"/>
          <w:szCs w:val="20"/>
          <w:color w:val="auto"/>
        </w:rPr>
      </w:pPr>
    </w:p>
    <w:p>
      <w:pPr>
        <w:jc w:val="both"/>
        <w:spacing w:after="0" w:line="214" w:lineRule="auto"/>
        <w:rPr>
          <w:sz w:val="20"/>
          <w:szCs w:val="20"/>
          <w:color w:val="auto"/>
        </w:rPr>
      </w:pPr>
      <w:r>
        <w:rPr>
          <w:rFonts w:ascii="Times New Roman" w:cs="Times New Roman" w:eastAsia="Times New Roman" w:hAnsi="Times New Roman"/>
          <w:sz w:val="21"/>
          <w:szCs w:val="21"/>
          <w:color w:val="auto"/>
          <w:vertAlign w:val="superscript"/>
        </w:rPr>
        <w:t>a</w:t>
      </w:r>
      <w:r>
        <w:rPr>
          <w:rFonts w:ascii="Times New Roman" w:cs="Times New Roman" w:eastAsia="Times New Roman" w:hAnsi="Times New Roman"/>
          <w:sz w:val="16"/>
          <w:szCs w:val="16"/>
          <w:color w:val="auto"/>
        </w:rPr>
        <w:t>Sample sizes listed in column headings represent number of interviews and not number of valid responses. The number of valid responses differs for each item.</w:t>
      </w:r>
    </w:p>
    <w:p>
      <w:pPr>
        <w:spacing w:after="0" w:line="225" w:lineRule="auto"/>
        <w:rPr>
          <w:sz w:val="20"/>
          <w:szCs w:val="20"/>
          <w:color w:val="auto"/>
        </w:rPr>
      </w:pPr>
      <w:r>
        <w:rPr>
          <w:rFonts w:ascii="Times New Roman" w:cs="Times New Roman" w:eastAsia="Times New Roman" w:hAnsi="Times New Roman"/>
          <w:sz w:val="21"/>
          <w:szCs w:val="21"/>
          <w:color w:val="auto"/>
          <w:vertAlign w:val="superscript"/>
        </w:rPr>
        <w:t>b</w:t>
      </w:r>
      <w:r>
        <w:rPr>
          <w:rFonts w:ascii="Times New Roman" w:cs="Times New Roman" w:eastAsia="Times New Roman" w:hAnsi="Times New Roman"/>
          <w:sz w:val="16"/>
          <w:szCs w:val="16"/>
          <w:color w:val="auto"/>
        </w:rPr>
        <w:t>Calculated for those with valid earnings.</w:t>
      </w:r>
    </w:p>
    <w:p>
      <w:pPr>
        <w:spacing w:after="0" w:line="181" w:lineRule="auto"/>
        <w:rPr>
          <w:sz w:val="20"/>
          <w:szCs w:val="20"/>
          <w:color w:val="auto"/>
        </w:rPr>
      </w:pPr>
      <w:r>
        <w:rPr>
          <w:rFonts w:ascii="Times New Roman" w:cs="Times New Roman" w:eastAsia="Times New Roman" w:hAnsi="Times New Roman"/>
          <w:sz w:val="20"/>
          <w:szCs w:val="20"/>
          <w:color w:val="auto"/>
          <w:vertAlign w:val="superscript"/>
        </w:rPr>
        <w:t>c</w:t>
      </w:r>
      <w:r>
        <w:rPr>
          <w:rFonts w:ascii="Times New Roman" w:cs="Times New Roman" w:eastAsia="Times New Roman" w:hAnsi="Times New Roman"/>
          <w:sz w:val="15"/>
          <w:szCs w:val="15"/>
          <w:color w:val="auto"/>
        </w:rPr>
        <w:t>Calculated for those with credit cards.</w:t>
      </w:r>
    </w:p>
    <w:p>
      <w:pPr>
        <w:spacing w:after="0" w:line="19" w:lineRule="exact"/>
        <w:rPr>
          <w:sz w:val="20"/>
          <w:szCs w:val="20"/>
          <w:color w:val="auto"/>
        </w:rPr>
      </w:pPr>
    </w:p>
    <w:p>
      <w:pPr>
        <w:spacing w:after="0"/>
        <w:rPr>
          <w:sz w:val="20"/>
          <w:szCs w:val="20"/>
          <w:color w:val="auto"/>
        </w:rPr>
      </w:pPr>
      <w:r>
        <w:rPr>
          <w:rFonts w:ascii="Times New Roman" w:cs="Times New Roman" w:eastAsia="Times New Roman" w:hAnsi="Times New Roman"/>
          <w:sz w:val="16"/>
          <w:szCs w:val="16"/>
          <w:color w:val="auto"/>
        </w:rPr>
        <w:t xml:space="preserve">*.05 </w:t>
      </w:r>
      <w:r>
        <w:rPr>
          <w:rFonts w:ascii="Arial" w:cs="Arial" w:eastAsia="Arial" w:hAnsi="Arial"/>
          <w:sz w:val="16"/>
          <w:szCs w:val="16"/>
          <w:color w:val="auto"/>
        </w:rPr>
        <w:t>,</w:t>
      </w:r>
      <w:r>
        <w:rPr>
          <w:rFonts w:ascii="Times New Roman" w:cs="Times New Roman" w:eastAsia="Times New Roman" w:hAnsi="Times New Roman"/>
          <w:sz w:val="16"/>
          <w:szCs w:val="16"/>
          <w:color w:val="auto"/>
        </w:rPr>
        <w:t xml:space="preserve"> </w:t>
      </w:r>
      <w:r>
        <w:rPr>
          <w:rFonts w:ascii="Arial" w:cs="Arial" w:eastAsia="Arial" w:hAnsi="Arial"/>
          <w:sz w:val="16"/>
          <w:szCs w:val="16"/>
          <w:color w:val="auto"/>
        </w:rPr>
        <w:t>p</w:t>
      </w:r>
      <w:r>
        <w:rPr>
          <w:rFonts w:ascii="Times New Roman" w:cs="Times New Roman" w:eastAsia="Times New Roman" w:hAnsi="Times New Roman"/>
          <w:sz w:val="16"/>
          <w:szCs w:val="16"/>
          <w:color w:val="auto"/>
        </w:rPr>
        <w:t xml:space="preserve"> </w:t>
      </w:r>
      <w:r>
        <w:rPr>
          <w:rFonts w:ascii="Arial" w:cs="Arial" w:eastAsia="Arial" w:hAnsi="Arial"/>
          <w:sz w:val="16"/>
          <w:szCs w:val="16"/>
          <w:color w:val="auto"/>
        </w:rPr>
        <w:t>,</w:t>
      </w:r>
      <w:r>
        <w:rPr>
          <w:rFonts w:ascii="Times New Roman" w:cs="Times New Roman" w:eastAsia="Times New Roman" w:hAnsi="Times New Roman"/>
          <w:sz w:val="16"/>
          <w:szCs w:val="16"/>
          <w:color w:val="auto"/>
        </w:rPr>
        <w:t xml:space="preserve"> .10, **</w:t>
      </w:r>
      <w:r>
        <w:rPr>
          <w:rFonts w:ascii="Arial" w:cs="Arial" w:eastAsia="Arial" w:hAnsi="Arial"/>
          <w:sz w:val="16"/>
          <w:szCs w:val="16"/>
          <w:color w:val="auto"/>
        </w:rPr>
        <w:t>p</w:t>
      </w:r>
      <w:r>
        <w:rPr>
          <w:rFonts w:ascii="Times New Roman" w:cs="Times New Roman" w:eastAsia="Times New Roman" w:hAnsi="Times New Roman"/>
          <w:sz w:val="16"/>
          <w:szCs w:val="16"/>
          <w:color w:val="auto"/>
        </w:rPr>
        <w:t xml:space="preserve"> </w:t>
      </w:r>
      <w:r>
        <w:rPr>
          <w:rFonts w:ascii="Arial" w:cs="Arial" w:eastAsia="Arial" w:hAnsi="Arial"/>
          <w:sz w:val="16"/>
          <w:szCs w:val="16"/>
          <w:color w:val="auto"/>
        </w:rPr>
        <w:t>,</w:t>
      </w:r>
      <w:r>
        <w:rPr>
          <w:rFonts w:ascii="Times New Roman" w:cs="Times New Roman" w:eastAsia="Times New Roman" w:hAnsi="Times New Roman"/>
          <w:sz w:val="16"/>
          <w:szCs w:val="16"/>
          <w:color w:val="auto"/>
        </w:rPr>
        <w:t xml:space="preserve"> .05.</w:t>
      </w:r>
    </w:p>
    <w:p>
      <w:pPr>
        <w:sectPr>
          <w:pgSz w:w="8640" w:h="13320" w:orient="portrait"/>
          <w:cols w:equalWidth="0" w:num="1">
            <w:col w:w="6460"/>
          </w:cols>
          <w:pgMar w:left="1240" w:top="771" w:right="940" w:bottom="913" w:gutter="0" w:footer="0" w:header="0"/>
        </w:sectPr>
      </w:pPr>
    </w:p>
    <w:bookmarkStart w:id="17" w:name="page18"/>
    <w:bookmarkEnd w:id="17"/>
    <w:p>
      <w:pPr>
        <w:spacing w:after="0"/>
        <w:tabs>
          <w:tab w:leader="none" w:pos="3460" w:val="left"/>
        </w:tabs>
        <w:rPr>
          <w:sz w:val="20"/>
          <w:szCs w:val="20"/>
          <w:color w:val="auto"/>
        </w:rPr>
      </w:pPr>
      <w:r>
        <w:rPr>
          <w:rFonts w:ascii="Times New Roman" w:cs="Times New Roman" w:eastAsia="Times New Roman" w:hAnsi="Times New Roman"/>
          <w:sz w:val="20"/>
          <w:szCs w:val="20"/>
          <w:color w:val="auto"/>
        </w:rPr>
        <w:t>288</w:t>
      </w:r>
      <w:r>
        <w:rPr>
          <w:sz w:val="20"/>
          <w:szCs w:val="20"/>
          <w:color w:val="auto"/>
        </w:rPr>
        <w:tab/>
      </w:r>
      <w:r>
        <w:rPr>
          <w:rFonts w:ascii="Times New Roman" w:cs="Times New Roman" w:eastAsia="Times New Roman" w:hAnsi="Times New Roman"/>
          <w:sz w:val="16"/>
          <w:szCs w:val="16"/>
          <w:color w:val="auto"/>
        </w:rPr>
        <w:t>THE JOURNAL OF CONSUMER AFFAIRS</w:t>
      </w:r>
    </w:p>
    <w:p>
      <w:pPr>
        <w:spacing w:after="0" w:line="200" w:lineRule="exact"/>
        <w:rPr>
          <w:sz w:val="20"/>
          <w:szCs w:val="20"/>
          <w:color w:val="auto"/>
        </w:rPr>
      </w:pPr>
    </w:p>
    <w:p>
      <w:pPr>
        <w:spacing w:after="0" w:line="344" w:lineRule="exact"/>
        <w:rPr>
          <w:sz w:val="20"/>
          <w:szCs w:val="20"/>
          <w:color w:val="auto"/>
        </w:rPr>
      </w:pPr>
    </w:p>
    <w:p>
      <w:pPr>
        <w:jc w:val="both"/>
        <w:spacing w:after="0" w:line="252" w:lineRule="auto"/>
        <w:rPr>
          <w:sz w:val="20"/>
          <w:szCs w:val="20"/>
          <w:color w:val="auto"/>
        </w:rPr>
      </w:pPr>
      <w:r>
        <w:rPr>
          <w:rFonts w:ascii="Times New Roman" w:cs="Times New Roman" w:eastAsia="Times New Roman" w:hAnsi="Times New Roman"/>
          <w:sz w:val="21"/>
          <w:szCs w:val="21"/>
          <w:color w:val="auto"/>
        </w:rPr>
        <w:t>This finding is similar to that for the full sample of which participants from site 3 make up 81 percent. In site 4, members of the treatment group are less likely to be single parents and more likely to use the Internet than members of the control group. Other differences between the treatment and the con-trol groups in site 4 are sometimes large, but because of the small sample sizes, these differences are not statistically significant. For example, 40 per-cent of the treatment group worked full time and full year, whereas 60 per-cent of the control group worked this amount.</w:t>
      </w:r>
    </w:p>
    <w:p>
      <w:pPr>
        <w:spacing w:after="0" w:line="44" w:lineRule="exact"/>
        <w:rPr>
          <w:sz w:val="20"/>
          <w:szCs w:val="20"/>
          <w:color w:val="auto"/>
        </w:rPr>
      </w:pPr>
    </w:p>
    <w:p>
      <w:pPr>
        <w:jc w:val="both"/>
        <w:ind w:firstLine="239"/>
        <w:spacing w:after="0" w:line="250" w:lineRule="auto"/>
        <w:rPr>
          <w:sz w:val="20"/>
          <w:szCs w:val="20"/>
          <w:color w:val="auto"/>
        </w:rPr>
      </w:pPr>
      <w:r>
        <w:rPr>
          <w:rFonts w:ascii="Times New Roman" w:cs="Times New Roman" w:eastAsia="Times New Roman" w:hAnsi="Times New Roman"/>
          <w:sz w:val="21"/>
          <w:szCs w:val="21"/>
          <w:color w:val="auto"/>
        </w:rPr>
        <w:t>In sum, the sample represents a relatively low-income group that is financially and technologically unsophisticated. These are exactly the types of persons who may benefit from the Program. The provision of computers, computer instruction, and financial literacy training may improve the finan-cial planning skills of this group and their computer skills, which would lower the cost of access to banking and financial advice and information.</w:t>
      </w:r>
    </w:p>
    <w:p>
      <w:pPr>
        <w:spacing w:after="0" w:line="264" w:lineRule="exact"/>
        <w:rPr>
          <w:sz w:val="20"/>
          <w:szCs w:val="20"/>
          <w:color w:val="auto"/>
        </w:rPr>
      </w:pPr>
    </w:p>
    <w:p>
      <w:pPr>
        <w:spacing w:after="0"/>
        <w:rPr>
          <w:sz w:val="20"/>
          <w:szCs w:val="20"/>
          <w:color w:val="auto"/>
        </w:rPr>
      </w:pPr>
      <w:r>
        <w:rPr>
          <w:rFonts w:ascii="Arial" w:cs="Arial" w:eastAsia="Arial" w:hAnsi="Arial"/>
          <w:sz w:val="22"/>
          <w:szCs w:val="22"/>
          <w:color w:val="auto"/>
        </w:rPr>
        <w:t>Attrition</w:t>
      </w:r>
    </w:p>
    <w:p>
      <w:pPr>
        <w:spacing w:after="0" w:line="305" w:lineRule="exact"/>
        <w:rPr>
          <w:sz w:val="20"/>
          <w:szCs w:val="20"/>
          <w:color w:val="auto"/>
        </w:rPr>
      </w:pPr>
    </w:p>
    <w:p>
      <w:pPr>
        <w:jc w:val="both"/>
        <w:ind w:firstLine="239"/>
        <w:spacing w:after="0" w:line="253" w:lineRule="auto"/>
        <w:rPr>
          <w:sz w:val="20"/>
          <w:szCs w:val="20"/>
          <w:color w:val="auto"/>
        </w:rPr>
      </w:pPr>
      <w:r>
        <w:rPr>
          <w:rFonts w:ascii="Times New Roman" w:cs="Times New Roman" w:eastAsia="Times New Roman" w:hAnsi="Times New Roman"/>
          <w:sz w:val="21"/>
          <w:szCs w:val="21"/>
          <w:color w:val="auto"/>
        </w:rPr>
        <w:t>The respondents (treatments and controls) to the baseline survey were recontacted approximately one year subsequent to the first interview. The goal of the follow-up survey was to obtain information that could be used to assess whether the Program had an impact on computer use and financial planning skills. We also collected information about participants’ satisfac-tion with the training classes that were offered. Before assessing program impacts, however, it is of interest to investigate the extent and nature of attrition from the sample. Ideally, there would be no attrition, but if there is, it would be preferable that the attrition not be related to experimental status—that is, whether you were in the treatment or in the control group.</w:t>
      </w:r>
    </w:p>
    <w:p>
      <w:pPr>
        <w:spacing w:after="0" w:line="45" w:lineRule="exact"/>
        <w:rPr>
          <w:sz w:val="20"/>
          <w:szCs w:val="20"/>
          <w:color w:val="auto"/>
        </w:rPr>
      </w:pPr>
    </w:p>
    <w:p>
      <w:pPr>
        <w:jc w:val="both"/>
        <w:ind w:firstLine="239"/>
        <w:spacing w:after="0" w:line="252" w:lineRule="auto"/>
        <w:rPr>
          <w:sz w:val="20"/>
          <w:szCs w:val="20"/>
          <w:color w:val="auto"/>
        </w:rPr>
      </w:pPr>
      <w:r>
        <w:rPr>
          <w:rFonts w:ascii="Times New Roman" w:cs="Times New Roman" w:eastAsia="Times New Roman" w:hAnsi="Times New Roman"/>
          <w:sz w:val="21"/>
          <w:szCs w:val="21"/>
          <w:color w:val="auto"/>
        </w:rPr>
        <w:t>Table 3 presents the results of an ordinary least squares regression anal-ysis of attrition. The dependent variable is equal to one if the respondent was not successfully contacted at the time of the follow-up interview. The regression model includes all the variables listed in Table 1 as control var-iables plus a set of dummy variables that measure the number of times the person was called to obtain the baseline interview. For example, one person may have responded to the survey on the first call, while it may have taken several calls before another person responded.</w:t>
      </w:r>
    </w:p>
    <w:p>
      <w:pPr>
        <w:spacing w:after="0" w:line="43" w:lineRule="exact"/>
        <w:rPr>
          <w:sz w:val="20"/>
          <w:szCs w:val="20"/>
          <w:color w:val="auto"/>
        </w:rPr>
      </w:pPr>
    </w:p>
    <w:p>
      <w:pPr>
        <w:jc w:val="both"/>
        <w:ind w:firstLine="239"/>
        <w:spacing w:after="0" w:line="250" w:lineRule="auto"/>
        <w:rPr>
          <w:sz w:val="20"/>
          <w:szCs w:val="20"/>
          <w:color w:val="auto"/>
        </w:rPr>
      </w:pPr>
      <w:r>
        <w:rPr>
          <w:rFonts w:ascii="Times New Roman" w:cs="Times New Roman" w:eastAsia="Times New Roman" w:hAnsi="Times New Roman"/>
          <w:sz w:val="21"/>
          <w:szCs w:val="21"/>
          <w:color w:val="auto"/>
        </w:rPr>
        <w:t>Estimates shown in Table 3 indicate that attrition is significantly related to experimental group status; persons in the treatment group—those who re-ceived a computer—were significantly less likely to participate in the follow-up survey than those in the control group who were waiting to receive a computer. The probability of participating in the follow-up survey was 19 percentage points lower among the treatment group than the</w:t>
      </w:r>
    </w:p>
    <w:p>
      <w:pPr>
        <w:sectPr>
          <w:pgSz w:w="8640" w:h="13320" w:orient="portrait"/>
          <w:cols w:equalWidth="0" w:num="1">
            <w:col w:w="6460"/>
          </w:cols>
          <w:pgMar w:left="940" w:top="731" w:right="1240" w:bottom="674" w:gutter="0" w:footer="0" w:header="0"/>
        </w:sectPr>
      </w:pPr>
    </w:p>
    <w:bookmarkStart w:id="18" w:name="page19"/>
    <w:bookmarkEnd w:id="18"/>
    <w:tbl>
      <w:tblPr>
        <w:tblLayout w:type="fixed"/>
        <w:tblInd w:w="0" w:type="dxa"/>
        <w:tblCellMar>
          <w:top w:w="0" w:type="dxa"/>
          <w:left w:w="0" w:type="dxa"/>
          <w:bottom w:w="0" w:type="dxa"/>
          <w:right w:w="0" w:type="dxa"/>
        </w:tblCellMar>
      </w:tblPr>
      <w:tr>
        <w:trPr>
          <w:trHeight w:val="230"/>
        </w:trPr>
        <w:tc>
          <w:tcPr>
            <w:tcW w:w="2340" w:type="dxa"/>
            <w:vAlign w:val="bottom"/>
          </w:tcPr>
          <w:p>
            <w:pPr>
              <w:spacing w:after="0"/>
              <w:rPr>
                <w:sz w:val="20"/>
                <w:szCs w:val="20"/>
                <w:color w:val="auto"/>
              </w:rPr>
            </w:pPr>
            <w:r>
              <w:rPr>
                <w:rFonts w:ascii="Times New Roman" w:cs="Times New Roman" w:eastAsia="Times New Roman" w:hAnsi="Times New Roman"/>
                <w:sz w:val="16"/>
                <w:szCs w:val="16"/>
                <w:color w:val="auto"/>
              </w:rPr>
              <w:t>SUMMER 2008</w:t>
            </w:r>
          </w:p>
        </w:tc>
        <w:tc>
          <w:tcPr>
            <w:tcW w:w="2920" w:type="dxa"/>
            <w:vAlign w:val="bottom"/>
          </w:tcPr>
          <w:p>
            <w:pPr>
              <w:spacing w:after="0"/>
              <w:rPr>
                <w:sz w:val="20"/>
                <w:szCs w:val="20"/>
                <w:color w:val="auto"/>
              </w:rPr>
            </w:pPr>
            <w:r>
              <w:rPr>
                <w:rFonts w:ascii="Times New Roman" w:cs="Times New Roman" w:eastAsia="Times New Roman" w:hAnsi="Times New Roman"/>
                <w:sz w:val="16"/>
                <w:szCs w:val="16"/>
                <w:color w:val="auto"/>
              </w:rPr>
              <w:t>VOLUME 42, NUMBER 2</w:t>
            </w:r>
          </w:p>
        </w:tc>
        <w:tc>
          <w:tcPr>
            <w:tcW w:w="640" w:type="dxa"/>
            <w:vAlign w:val="bottom"/>
          </w:tcPr>
          <w:p>
            <w:pPr>
              <w:spacing w:after="0"/>
              <w:rPr>
                <w:sz w:val="19"/>
                <w:szCs w:val="19"/>
                <w:color w:val="auto"/>
              </w:rPr>
            </w:pPr>
          </w:p>
        </w:tc>
        <w:tc>
          <w:tcPr>
            <w:tcW w:w="560" w:type="dxa"/>
            <w:vAlign w:val="bottom"/>
          </w:tcPr>
          <w:p>
            <w:pPr>
              <w:jc w:val="right"/>
              <w:spacing w:after="0"/>
              <w:rPr>
                <w:sz w:val="20"/>
                <w:szCs w:val="20"/>
                <w:color w:val="auto"/>
              </w:rPr>
            </w:pPr>
            <w:r>
              <w:rPr>
                <w:rFonts w:ascii="Times New Roman" w:cs="Times New Roman" w:eastAsia="Times New Roman" w:hAnsi="Times New Roman"/>
                <w:sz w:val="20"/>
                <w:szCs w:val="20"/>
                <w:color w:val="auto"/>
              </w:rPr>
              <w:t>289</w:t>
            </w:r>
          </w:p>
        </w:tc>
      </w:tr>
      <w:tr>
        <w:trPr>
          <w:trHeight w:val="675"/>
        </w:trPr>
        <w:tc>
          <w:tcPr>
            <w:tcW w:w="2340" w:type="dxa"/>
            <w:vAlign w:val="bottom"/>
          </w:tcPr>
          <w:p>
            <w:pPr>
              <w:spacing w:after="0"/>
              <w:rPr>
                <w:sz w:val="20"/>
                <w:szCs w:val="20"/>
                <w:color w:val="auto"/>
              </w:rPr>
            </w:pPr>
            <w:r>
              <w:rPr>
                <w:rFonts w:ascii="Times New Roman" w:cs="Times New Roman" w:eastAsia="Times New Roman" w:hAnsi="Times New Roman"/>
                <w:sz w:val="18"/>
                <w:szCs w:val="18"/>
                <w:color w:val="auto"/>
              </w:rPr>
              <w:t>TABLE 3</w:t>
            </w:r>
          </w:p>
        </w:tc>
        <w:tc>
          <w:tcPr>
            <w:tcW w:w="2920" w:type="dxa"/>
            <w:vAlign w:val="bottom"/>
          </w:tcPr>
          <w:p>
            <w:pPr>
              <w:spacing w:after="0"/>
              <w:rPr>
                <w:sz w:val="24"/>
                <w:szCs w:val="24"/>
                <w:color w:val="auto"/>
              </w:rPr>
            </w:pPr>
          </w:p>
        </w:tc>
        <w:tc>
          <w:tcPr>
            <w:tcW w:w="640" w:type="dxa"/>
            <w:vAlign w:val="bottom"/>
          </w:tcPr>
          <w:p>
            <w:pPr>
              <w:spacing w:after="0"/>
              <w:rPr>
                <w:sz w:val="24"/>
                <w:szCs w:val="24"/>
                <w:color w:val="auto"/>
              </w:rPr>
            </w:pPr>
          </w:p>
        </w:tc>
        <w:tc>
          <w:tcPr>
            <w:tcW w:w="560" w:type="dxa"/>
            <w:vAlign w:val="bottom"/>
          </w:tcPr>
          <w:p>
            <w:pPr>
              <w:spacing w:after="0"/>
              <w:rPr>
                <w:sz w:val="24"/>
                <w:szCs w:val="24"/>
                <w:color w:val="auto"/>
              </w:rPr>
            </w:pPr>
          </w:p>
        </w:tc>
      </w:tr>
      <w:tr>
        <w:trPr>
          <w:trHeight w:val="225"/>
        </w:trPr>
        <w:tc>
          <w:tcPr>
            <w:tcW w:w="5260" w:type="dxa"/>
            <w:vAlign w:val="bottom"/>
            <w:gridSpan w:val="2"/>
          </w:tcPr>
          <w:p>
            <w:pPr>
              <w:spacing w:after="0"/>
              <w:rPr>
                <w:sz w:val="20"/>
                <w:szCs w:val="20"/>
                <w:color w:val="auto"/>
              </w:rPr>
            </w:pPr>
            <w:r>
              <w:rPr>
                <w:rFonts w:ascii="Arial" w:cs="Arial" w:eastAsia="Arial" w:hAnsi="Arial"/>
                <w:sz w:val="18"/>
                <w:szCs w:val="18"/>
                <w:color w:val="auto"/>
                <w:w w:val="96"/>
              </w:rPr>
              <w:t>Ordinary Least Squares Regression Estimates of Attrition Probability</w:t>
            </w:r>
          </w:p>
        </w:tc>
        <w:tc>
          <w:tcPr>
            <w:tcW w:w="640" w:type="dxa"/>
            <w:vAlign w:val="bottom"/>
          </w:tcPr>
          <w:p>
            <w:pPr>
              <w:spacing w:after="0"/>
              <w:rPr>
                <w:sz w:val="19"/>
                <w:szCs w:val="19"/>
                <w:color w:val="auto"/>
              </w:rPr>
            </w:pPr>
          </w:p>
        </w:tc>
        <w:tc>
          <w:tcPr>
            <w:tcW w:w="560" w:type="dxa"/>
            <w:vAlign w:val="bottom"/>
          </w:tcPr>
          <w:p>
            <w:pPr>
              <w:spacing w:after="0"/>
              <w:rPr>
                <w:sz w:val="19"/>
                <w:szCs w:val="19"/>
                <w:color w:val="auto"/>
              </w:rPr>
            </w:pPr>
          </w:p>
        </w:tc>
      </w:tr>
      <w:tr>
        <w:trPr>
          <w:trHeight w:val="74"/>
        </w:trPr>
        <w:tc>
          <w:tcPr>
            <w:tcW w:w="2340" w:type="dxa"/>
            <w:vAlign w:val="bottom"/>
            <w:tcBorders>
              <w:bottom w:val="single" w:sz="8" w:color="auto"/>
            </w:tcBorders>
          </w:tcPr>
          <w:p>
            <w:pPr>
              <w:spacing w:after="0"/>
              <w:rPr>
                <w:sz w:val="6"/>
                <w:szCs w:val="6"/>
                <w:color w:val="auto"/>
              </w:rPr>
            </w:pPr>
          </w:p>
        </w:tc>
        <w:tc>
          <w:tcPr>
            <w:tcW w:w="2920" w:type="dxa"/>
            <w:vAlign w:val="bottom"/>
            <w:tcBorders>
              <w:bottom w:val="single" w:sz="8" w:color="auto"/>
            </w:tcBorders>
          </w:tcPr>
          <w:p>
            <w:pPr>
              <w:spacing w:after="0"/>
              <w:rPr>
                <w:sz w:val="6"/>
                <w:szCs w:val="6"/>
                <w:color w:val="auto"/>
              </w:rPr>
            </w:pPr>
          </w:p>
        </w:tc>
        <w:tc>
          <w:tcPr>
            <w:tcW w:w="1200" w:type="dxa"/>
            <w:vAlign w:val="bottom"/>
            <w:tcBorders>
              <w:bottom w:val="single" w:sz="8" w:color="auto"/>
            </w:tcBorders>
            <w:gridSpan w:val="2"/>
          </w:tcPr>
          <w:p>
            <w:pPr>
              <w:spacing w:after="0"/>
              <w:rPr>
                <w:sz w:val="6"/>
                <w:szCs w:val="6"/>
                <w:color w:val="auto"/>
              </w:rPr>
            </w:pPr>
          </w:p>
        </w:tc>
      </w:tr>
      <w:tr>
        <w:trPr>
          <w:trHeight w:val="202"/>
        </w:trPr>
        <w:tc>
          <w:tcPr>
            <w:tcW w:w="2340" w:type="dxa"/>
            <w:vAlign w:val="bottom"/>
          </w:tcPr>
          <w:p>
            <w:pPr>
              <w:spacing w:after="0"/>
              <w:rPr>
                <w:sz w:val="20"/>
                <w:szCs w:val="20"/>
                <w:color w:val="auto"/>
              </w:rPr>
            </w:pPr>
            <w:r>
              <w:rPr>
                <w:rFonts w:ascii="Times New Roman" w:cs="Times New Roman" w:eastAsia="Times New Roman" w:hAnsi="Times New Roman"/>
                <w:sz w:val="16"/>
                <w:szCs w:val="16"/>
                <w:color w:val="auto"/>
              </w:rPr>
              <w:t>Variable</w:t>
            </w:r>
          </w:p>
        </w:tc>
        <w:tc>
          <w:tcPr>
            <w:tcW w:w="2920" w:type="dxa"/>
            <w:vAlign w:val="bottom"/>
          </w:tcPr>
          <w:p>
            <w:pPr>
              <w:spacing w:after="0"/>
              <w:rPr>
                <w:sz w:val="17"/>
                <w:szCs w:val="17"/>
                <w:color w:val="auto"/>
              </w:rPr>
            </w:pPr>
          </w:p>
        </w:tc>
        <w:tc>
          <w:tcPr>
            <w:tcW w:w="1200" w:type="dxa"/>
            <w:vAlign w:val="bottom"/>
            <w:gridSpan w:val="2"/>
          </w:tcPr>
          <w:p>
            <w:pPr>
              <w:jc w:val="right"/>
              <w:ind w:right="40"/>
              <w:spacing w:after="0"/>
              <w:rPr>
                <w:sz w:val="20"/>
                <w:szCs w:val="20"/>
                <w:color w:val="auto"/>
              </w:rPr>
            </w:pPr>
            <w:r>
              <w:rPr>
                <w:rFonts w:ascii="Times New Roman" w:cs="Times New Roman" w:eastAsia="Times New Roman" w:hAnsi="Times New Roman"/>
                <w:sz w:val="16"/>
                <w:szCs w:val="16"/>
                <w:color w:val="auto"/>
              </w:rPr>
              <w:t>Coefficients</w:t>
            </w:r>
          </w:p>
        </w:tc>
      </w:tr>
      <w:tr>
        <w:trPr>
          <w:trHeight w:val="49"/>
        </w:trPr>
        <w:tc>
          <w:tcPr>
            <w:tcW w:w="2340" w:type="dxa"/>
            <w:vAlign w:val="bottom"/>
            <w:tcBorders>
              <w:bottom w:val="single" w:sz="8" w:color="auto"/>
            </w:tcBorders>
          </w:tcPr>
          <w:p>
            <w:pPr>
              <w:spacing w:after="0"/>
              <w:rPr>
                <w:sz w:val="4"/>
                <w:szCs w:val="4"/>
                <w:color w:val="auto"/>
              </w:rPr>
            </w:pPr>
          </w:p>
        </w:tc>
        <w:tc>
          <w:tcPr>
            <w:tcW w:w="2920" w:type="dxa"/>
            <w:vAlign w:val="bottom"/>
            <w:tcBorders>
              <w:bottom w:val="single" w:sz="8" w:color="auto"/>
            </w:tcBorders>
          </w:tcPr>
          <w:p>
            <w:pPr>
              <w:spacing w:after="0"/>
              <w:rPr>
                <w:sz w:val="4"/>
                <w:szCs w:val="4"/>
                <w:color w:val="auto"/>
              </w:rPr>
            </w:pPr>
          </w:p>
        </w:tc>
        <w:tc>
          <w:tcPr>
            <w:tcW w:w="640" w:type="dxa"/>
            <w:vAlign w:val="bottom"/>
            <w:tcBorders>
              <w:bottom w:val="single" w:sz="8" w:color="auto"/>
            </w:tcBorders>
          </w:tcPr>
          <w:p>
            <w:pPr>
              <w:spacing w:after="0"/>
              <w:rPr>
                <w:sz w:val="4"/>
                <w:szCs w:val="4"/>
                <w:color w:val="auto"/>
              </w:rPr>
            </w:pPr>
          </w:p>
        </w:tc>
        <w:tc>
          <w:tcPr>
            <w:tcW w:w="560" w:type="dxa"/>
            <w:vAlign w:val="bottom"/>
            <w:tcBorders>
              <w:bottom w:val="single" w:sz="8" w:color="auto"/>
            </w:tcBorders>
          </w:tcPr>
          <w:p>
            <w:pPr>
              <w:spacing w:after="0"/>
              <w:rPr>
                <w:sz w:val="4"/>
                <w:szCs w:val="4"/>
                <w:color w:val="auto"/>
              </w:rPr>
            </w:pPr>
          </w:p>
        </w:tc>
      </w:tr>
      <w:tr>
        <w:trPr>
          <w:trHeight w:val="216"/>
        </w:trPr>
        <w:tc>
          <w:tcPr>
            <w:tcW w:w="2340" w:type="dxa"/>
            <w:vAlign w:val="bottom"/>
          </w:tcPr>
          <w:p>
            <w:pPr>
              <w:spacing w:after="0"/>
              <w:rPr>
                <w:sz w:val="20"/>
                <w:szCs w:val="20"/>
                <w:color w:val="auto"/>
              </w:rPr>
            </w:pPr>
            <w:r>
              <w:rPr>
                <w:rFonts w:ascii="Times New Roman" w:cs="Times New Roman" w:eastAsia="Times New Roman" w:hAnsi="Times New Roman"/>
                <w:sz w:val="16"/>
                <w:szCs w:val="16"/>
                <w:color w:val="auto"/>
              </w:rPr>
              <w:t>Site 3</w:t>
            </w:r>
          </w:p>
        </w:tc>
        <w:tc>
          <w:tcPr>
            <w:tcW w:w="2920" w:type="dxa"/>
            <w:vAlign w:val="bottom"/>
          </w:tcPr>
          <w:p>
            <w:pPr>
              <w:spacing w:after="0"/>
              <w:rPr>
                <w:sz w:val="18"/>
                <w:szCs w:val="18"/>
                <w:color w:val="auto"/>
              </w:rPr>
            </w:pPr>
          </w:p>
        </w:tc>
        <w:tc>
          <w:tcPr>
            <w:tcW w:w="640" w:type="dxa"/>
            <w:vAlign w:val="bottom"/>
          </w:tcPr>
          <w:p>
            <w:pPr>
              <w:jc w:val="right"/>
              <w:spacing w:after="0"/>
              <w:rPr>
                <w:sz w:val="20"/>
                <w:szCs w:val="20"/>
                <w:color w:val="auto"/>
              </w:rPr>
            </w:pPr>
            <w:r>
              <w:rPr>
                <w:rFonts w:ascii="Arial" w:cs="Arial" w:eastAsia="Arial" w:hAnsi="Arial"/>
                <w:sz w:val="16"/>
                <w:szCs w:val="16"/>
                <w:color w:val="auto"/>
              </w:rPr>
              <w:t>2</w:t>
            </w:r>
            <w:r>
              <w:rPr>
                <w:rFonts w:ascii="Times New Roman" w:cs="Times New Roman" w:eastAsia="Times New Roman" w:hAnsi="Times New Roman"/>
                <w:sz w:val="16"/>
                <w:szCs w:val="16"/>
                <w:color w:val="auto"/>
              </w:rPr>
              <w:t>0.06</w:t>
            </w:r>
          </w:p>
        </w:tc>
        <w:tc>
          <w:tcPr>
            <w:tcW w:w="560" w:type="dxa"/>
            <w:vAlign w:val="bottom"/>
          </w:tcPr>
          <w:p>
            <w:pPr>
              <w:jc w:val="right"/>
              <w:ind w:right="80"/>
              <w:spacing w:after="0"/>
              <w:rPr>
                <w:sz w:val="20"/>
                <w:szCs w:val="20"/>
                <w:color w:val="auto"/>
              </w:rPr>
            </w:pPr>
            <w:r>
              <w:rPr>
                <w:rFonts w:ascii="Times New Roman" w:cs="Times New Roman" w:eastAsia="Times New Roman" w:hAnsi="Times New Roman"/>
                <w:sz w:val="16"/>
                <w:szCs w:val="16"/>
                <w:color w:val="auto"/>
                <w:w w:val="98"/>
              </w:rPr>
              <w:t>(0.09)</w:t>
            </w:r>
          </w:p>
        </w:tc>
      </w:tr>
      <w:tr>
        <w:trPr>
          <w:trHeight w:val="200"/>
        </w:trPr>
        <w:tc>
          <w:tcPr>
            <w:tcW w:w="2340" w:type="dxa"/>
            <w:vAlign w:val="bottom"/>
          </w:tcPr>
          <w:p>
            <w:pPr>
              <w:spacing w:after="0"/>
              <w:rPr>
                <w:sz w:val="20"/>
                <w:szCs w:val="20"/>
                <w:color w:val="auto"/>
              </w:rPr>
            </w:pPr>
            <w:r>
              <w:rPr>
                <w:rFonts w:ascii="Times New Roman" w:cs="Times New Roman" w:eastAsia="Times New Roman" w:hAnsi="Times New Roman"/>
                <w:sz w:val="16"/>
                <w:szCs w:val="16"/>
                <w:color w:val="auto"/>
              </w:rPr>
              <w:t>Control group</w:t>
            </w:r>
          </w:p>
        </w:tc>
        <w:tc>
          <w:tcPr>
            <w:tcW w:w="2920" w:type="dxa"/>
            <w:vAlign w:val="bottom"/>
          </w:tcPr>
          <w:p>
            <w:pPr>
              <w:spacing w:after="0"/>
              <w:rPr>
                <w:sz w:val="17"/>
                <w:szCs w:val="17"/>
                <w:color w:val="auto"/>
              </w:rPr>
            </w:pPr>
          </w:p>
        </w:tc>
        <w:tc>
          <w:tcPr>
            <w:tcW w:w="640" w:type="dxa"/>
            <w:vAlign w:val="bottom"/>
          </w:tcPr>
          <w:p>
            <w:pPr>
              <w:jc w:val="right"/>
              <w:spacing w:after="0"/>
              <w:rPr>
                <w:sz w:val="20"/>
                <w:szCs w:val="20"/>
                <w:color w:val="auto"/>
              </w:rPr>
            </w:pPr>
            <w:r>
              <w:rPr>
                <w:rFonts w:ascii="Arial" w:cs="Arial" w:eastAsia="Arial" w:hAnsi="Arial"/>
                <w:sz w:val="16"/>
                <w:szCs w:val="16"/>
                <w:color w:val="auto"/>
              </w:rPr>
              <w:t>2</w:t>
            </w:r>
            <w:r>
              <w:rPr>
                <w:rFonts w:ascii="Times New Roman" w:cs="Times New Roman" w:eastAsia="Times New Roman" w:hAnsi="Times New Roman"/>
                <w:sz w:val="16"/>
                <w:szCs w:val="16"/>
                <w:color w:val="auto"/>
              </w:rPr>
              <w:t>0.19</w:t>
            </w:r>
          </w:p>
        </w:tc>
        <w:tc>
          <w:tcPr>
            <w:tcW w:w="560" w:type="dxa"/>
            <w:vAlign w:val="bottom"/>
          </w:tcPr>
          <w:p>
            <w:pPr>
              <w:jc w:val="right"/>
              <w:spacing w:after="0"/>
              <w:rPr>
                <w:sz w:val="20"/>
                <w:szCs w:val="20"/>
                <w:color w:val="auto"/>
              </w:rPr>
            </w:pPr>
            <w:r>
              <w:rPr>
                <w:rFonts w:ascii="Times New Roman" w:cs="Times New Roman" w:eastAsia="Times New Roman" w:hAnsi="Times New Roman"/>
                <w:sz w:val="16"/>
                <w:szCs w:val="16"/>
                <w:color w:val="auto"/>
                <w:w w:val="98"/>
              </w:rPr>
              <w:t>(0.07)**</w:t>
            </w:r>
          </w:p>
        </w:tc>
      </w:tr>
      <w:tr>
        <w:trPr>
          <w:trHeight w:val="200"/>
        </w:trPr>
        <w:tc>
          <w:tcPr>
            <w:tcW w:w="2340" w:type="dxa"/>
            <w:vAlign w:val="bottom"/>
          </w:tcPr>
          <w:p>
            <w:pPr>
              <w:spacing w:after="0"/>
              <w:rPr>
                <w:sz w:val="20"/>
                <w:szCs w:val="20"/>
                <w:color w:val="auto"/>
              </w:rPr>
            </w:pPr>
            <w:r>
              <w:rPr>
                <w:rFonts w:ascii="Times New Roman" w:cs="Times New Roman" w:eastAsia="Times New Roman" w:hAnsi="Times New Roman"/>
                <w:sz w:val="16"/>
                <w:szCs w:val="16"/>
                <w:color w:val="auto"/>
              </w:rPr>
              <w:t>Female</w:t>
            </w:r>
          </w:p>
        </w:tc>
        <w:tc>
          <w:tcPr>
            <w:tcW w:w="2920" w:type="dxa"/>
            <w:vAlign w:val="bottom"/>
          </w:tcPr>
          <w:p>
            <w:pPr>
              <w:spacing w:after="0"/>
              <w:rPr>
                <w:sz w:val="17"/>
                <w:szCs w:val="17"/>
                <w:color w:val="auto"/>
              </w:rPr>
            </w:pPr>
          </w:p>
        </w:tc>
        <w:tc>
          <w:tcPr>
            <w:tcW w:w="640" w:type="dxa"/>
            <w:vAlign w:val="bottom"/>
          </w:tcPr>
          <w:p>
            <w:pPr>
              <w:jc w:val="right"/>
              <w:spacing w:after="0"/>
              <w:rPr>
                <w:sz w:val="20"/>
                <w:szCs w:val="20"/>
                <w:color w:val="auto"/>
              </w:rPr>
            </w:pPr>
            <w:r>
              <w:rPr>
                <w:rFonts w:ascii="Arial" w:cs="Arial" w:eastAsia="Arial" w:hAnsi="Arial"/>
                <w:sz w:val="16"/>
                <w:szCs w:val="16"/>
                <w:color w:val="auto"/>
              </w:rPr>
              <w:t>2</w:t>
            </w:r>
            <w:r>
              <w:rPr>
                <w:rFonts w:ascii="Times New Roman" w:cs="Times New Roman" w:eastAsia="Times New Roman" w:hAnsi="Times New Roman"/>
                <w:sz w:val="16"/>
                <w:szCs w:val="16"/>
                <w:color w:val="auto"/>
              </w:rPr>
              <w:t>0.18</w:t>
            </w:r>
          </w:p>
        </w:tc>
        <w:tc>
          <w:tcPr>
            <w:tcW w:w="560" w:type="dxa"/>
            <w:vAlign w:val="bottom"/>
          </w:tcPr>
          <w:p>
            <w:pPr>
              <w:jc w:val="right"/>
              <w:spacing w:after="0"/>
              <w:rPr>
                <w:sz w:val="20"/>
                <w:szCs w:val="20"/>
                <w:color w:val="auto"/>
              </w:rPr>
            </w:pPr>
            <w:r>
              <w:rPr>
                <w:rFonts w:ascii="Times New Roman" w:cs="Times New Roman" w:eastAsia="Times New Roman" w:hAnsi="Times New Roman"/>
                <w:sz w:val="16"/>
                <w:szCs w:val="16"/>
                <w:color w:val="auto"/>
                <w:w w:val="98"/>
              </w:rPr>
              <w:t>(0.09)**</w:t>
            </w:r>
          </w:p>
        </w:tc>
      </w:tr>
      <w:tr>
        <w:trPr>
          <w:trHeight w:val="196"/>
        </w:trPr>
        <w:tc>
          <w:tcPr>
            <w:tcW w:w="2340" w:type="dxa"/>
            <w:vAlign w:val="bottom"/>
          </w:tcPr>
          <w:p>
            <w:pPr>
              <w:spacing w:after="0"/>
              <w:rPr>
                <w:sz w:val="20"/>
                <w:szCs w:val="20"/>
                <w:color w:val="auto"/>
              </w:rPr>
            </w:pPr>
            <w:r>
              <w:rPr>
                <w:rFonts w:ascii="Times New Roman" w:cs="Times New Roman" w:eastAsia="Times New Roman" w:hAnsi="Times New Roman"/>
                <w:sz w:val="16"/>
                <w:szCs w:val="16"/>
                <w:color w:val="auto"/>
              </w:rPr>
              <w:t>Hispanic</w:t>
            </w:r>
          </w:p>
        </w:tc>
        <w:tc>
          <w:tcPr>
            <w:tcW w:w="2920" w:type="dxa"/>
            <w:vAlign w:val="bottom"/>
          </w:tcPr>
          <w:p>
            <w:pPr>
              <w:spacing w:after="0"/>
              <w:rPr>
                <w:sz w:val="17"/>
                <w:szCs w:val="17"/>
                <w:color w:val="auto"/>
              </w:rPr>
            </w:pPr>
          </w:p>
        </w:tc>
        <w:tc>
          <w:tcPr>
            <w:tcW w:w="640" w:type="dxa"/>
            <w:vAlign w:val="bottom"/>
          </w:tcPr>
          <w:p>
            <w:pPr>
              <w:jc w:val="right"/>
              <w:spacing w:after="0"/>
              <w:rPr>
                <w:sz w:val="20"/>
                <w:szCs w:val="20"/>
                <w:color w:val="auto"/>
              </w:rPr>
            </w:pPr>
            <w:r>
              <w:rPr>
                <w:rFonts w:ascii="Times New Roman" w:cs="Times New Roman" w:eastAsia="Times New Roman" w:hAnsi="Times New Roman"/>
                <w:sz w:val="16"/>
                <w:szCs w:val="16"/>
                <w:color w:val="auto"/>
              </w:rPr>
              <w:t>0.28</w:t>
            </w:r>
          </w:p>
        </w:tc>
        <w:tc>
          <w:tcPr>
            <w:tcW w:w="560" w:type="dxa"/>
            <w:vAlign w:val="bottom"/>
          </w:tcPr>
          <w:p>
            <w:pPr>
              <w:jc w:val="right"/>
              <w:ind w:right="80"/>
              <w:spacing w:after="0"/>
              <w:rPr>
                <w:sz w:val="20"/>
                <w:szCs w:val="20"/>
                <w:color w:val="auto"/>
              </w:rPr>
            </w:pPr>
            <w:r>
              <w:rPr>
                <w:rFonts w:ascii="Times New Roman" w:cs="Times New Roman" w:eastAsia="Times New Roman" w:hAnsi="Times New Roman"/>
                <w:sz w:val="16"/>
                <w:szCs w:val="16"/>
                <w:color w:val="auto"/>
                <w:w w:val="98"/>
              </w:rPr>
              <w:t>(0.25)</w:t>
            </w:r>
          </w:p>
        </w:tc>
      </w:tr>
      <w:tr>
        <w:trPr>
          <w:trHeight w:val="202"/>
        </w:trPr>
        <w:tc>
          <w:tcPr>
            <w:tcW w:w="2340" w:type="dxa"/>
            <w:vAlign w:val="bottom"/>
          </w:tcPr>
          <w:p>
            <w:pPr>
              <w:spacing w:after="0"/>
              <w:rPr>
                <w:sz w:val="20"/>
                <w:szCs w:val="20"/>
                <w:color w:val="auto"/>
              </w:rPr>
            </w:pPr>
            <w:r>
              <w:rPr>
                <w:rFonts w:ascii="Times New Roman" w:cs="Times New Roman" w:eastAsia="Times New Roman" w:hAnsi="Times New Roman"/>
                <w:sz w:val="16"/>
                <w:szCs w:val="16"/>
                <w:color w:val="auto"/>
              </w:rPr>
              <w:t>Non-Hispanic black</w:t>
            </w:r>
          </w:p>
        </w:tc>
        <w:tc>
          <w:tcPr>
            <w:tcW w:w="2920" w:type="dxa"/>
            <w:vAlign w:val="bottom"/>
          </w:tcPr>
          <w:p>
            <w:pPr>
              <w:spacing w:after="0"/>
              <w:rPr>
                <w:sz w:val="17"/>
                <w:szCs w:val="17"/>
                <w:color w:val="auto"/>
              </w:rPr>
            </w:pPr>
          </w:p>
        </w:tc>
        <w:tc>
          <w:tcPr>
            <w:tcW w:w="640" w:type="dxa"/>
            <w:vAlign w:val="bottom"/>
          </w:tcPr>
          <w:p>
            <w:pPr>
              <w:jc w:val="right"/>
              <w:spacing w:after="0"/>
              <w:rPr>
                <w:sz w:val="20"/>
                <w:szCs w:val="20"/>
                <w:color w:val="auto"/>
              </w:rPr>
            </w:pPr>
            <w:r>
              <w:rPr>
                <w:rFonts w:ascii="Arial" w:cs="Arial" w:eastAsia="Arial" w:hAnsi="Arial"/>
                <w:sz w:val="16"/>
                <w:szCs w:val="16"/>
                <w:color w:val="auto"/>
              </w:rPr>
              <w:t>2</w:t>
            </w:r>
            <w:r>
              <w:rPr>
                <w:rFonts w:ascii="Times New Roman" w:cs="Times New Roman" w:eastAsia="Times New Roman" w:hAnsi="Times New Roman"/>
                <w:sz w:val="16"/>
                <w:szCs w:val="16"/>
                <w:color w:val="auto"/>
              </w:rPr>
              <w:t>0.01</w:t>
            </w:r>
          </w:p>
        </w:tc>
        <w:tc>
          <w:tcPr>
            <w:tcW w:w="560" w:type="dxa"/>
            <w:vAlign w:val="bottom"/>
          </w:tcPr>
          <w:p>
            <w:pPr>
              <w:jc w:val="right"/>
              <w:ind w:right="80"/>
              <w:spacing w:after="0"/>
              <w:rPr>
                <w:sz w:val="20"/>
                <w:szCs w:val="20"/>
                <w:color w:val="auto"/>
              </w:rPr>
            </w:pPr>
            <w:r>
              <w:rPr>
                <w:rFonts w:ascii="Times New Roman" w:cs="Times New Roman" w:eastAsia="Times New Roman" w:hAnsi="Times New Roman"/>
                <w:sz w:val="16"/>
                <w:szCs w:val="16"/>
                <w:color w:val="auto"/>
                <w:w w:val="98"/>
              </w:rPr>
              <w:t>(0.23)</w:t>
            </w:r>
          </w:p>
        </w:tc>
      </w:tr>
      <w:tr>
        <w:trPr>
          <w:trHeight w:val="200"/>
        </w:trPr>
        <w:tc>
          <w:tcPr>
            <w:tcW w:w="2340" w:type="dxa"/>
            <w:vAlign w:val="bottom"/>
          </w:tcPr>
          <w:p>
            <w:pPr>
              <w:spacing w:after="0"/>
              <w:rPr>
                <w:sz w:val="20"/>
                <w:szCs w:val="20"/>
                <w:color w:val="auto"/>
              </w:rPr>
            </w:pPr>
            <w:r>
              <w:rPr>
                <w:rFonts w:ascii="Times New Roman" w:cs="Times New Roman" w:eastAsia="Times New Roman" w:hAnsi="Times New Roman"/>
                <w:sz w:val="16"/>
                <w:szCs w:val="16"/>
                <w:color w:val="auto"/>
              </w:rPr>
              <w:t>Other race</w:t>
            </w:r>
          </w:p>
        </w:tc>
        <w:tc>
          <w:tcPr>
            <w:tcW w:w="2920" w:type="dxa"/>
            <w:vAlign w:val="bottom"/>
          </w:tcPr>
          <w:p>
            <w:pPr>
              <w:spacing w:after="0"/>
              <w:rPr>
                <w:sz w:val="17"/>
                <w:szCs w:val="17"/>
                <w:color w:val="auto"/>
              </w:rPr>
            </w:pPr>
          </w:p>
        </w:tc>
        <w:tc>
          <w:tcPr>
            <w:tcW w:w="640" w:type="dxa"/>
            <w:vAlign w:val="bottom"/>
          </w:tcPr>
          <w:p>
            <w:pPr>
              <w:jc w:val="right"/>
              <w:spacing w:after="0"/>
              <w:rPr>
                <w:sz w:val="20"/>
                <w:szCs w:val="20"/>
                <w:color w:val="auto"/>
              </w:rPr>
            </w:pPr>
            <w:r>
              <w:rPr>
                <w:rFonts w:ascii="Arial" w:cs="Arial" w:eastAsia="Arial" w:hAnsi="Arial"/>
                <w:sz w:val="16"/>
                <w:szCs w:val="16"/>
                <w:color w:val="auto"/>
              </w:rPr>
              <w:t>2</w:t>
            </w:r>
            <w:r>
              <w:rPr>
                <w:rFonts w:ascii="Times New Roman" w:cs="Times New Roman" w:eastAsia="Times New Roman" w:hAnsi="Times New Roman"/>
                <w:sz w:val="16"/>
                <w:szCs w:val="16"/>
                <w:color w:val="auto"/>
              </w:rPr>
              <w:t>0.13</w:t>
            </w:r>
          </w:p>
        </w:tc>
        <w:tc>
          <w:tcPr>
            <w:tcW w:w="560" w:type="dxa"/>
            <w:vAlign w:val="bottom"/>
          </w:tcPr>
          <w:p>
            <w:pPr>
              <w:jc w:val="right"/>
              <w:ind w:right="80"/>
              <w:spacing w:after="0"/>
              <w:rPr>
                <w:sz w:val="20"/>
                <w:szCs w:val="20"/>
                <w:color w:val="auto"/>
              </w:rPr>
            </w:pPr>
            <w:r>
              <w:rPr>
                <w:rFonts w:ascii="Times New Roman" w:cs="Times New Roman" w:eastAsia="Times New Roman" w:hAnsi="Times New Roman"/>
                <w:sz w:val="16"/>
                <w:szCs w:val="16"/>
                <w:color w:val="auto"/>
                <w:w w:val="98"/>
              </w:rPr>
              <w:t>(0.25)</w:t>
            </w:r>
          </w:p>
        </w:tc>
      </w:tr>
      <w:tr>
        <w:trPr>
          <w:trHeight w:val="198"/>
        </w:trPr>
        <w:tc>
          <w:tcPr>
            <w:tcW w:w="2340" w:type="dxa"/>
            <w:vAlign w:val="bottom"/>
          </w:tcPr>
          <w:p>
            <w:pPr>
              <w:spacing w:after="0"/>
              <w:rPr>
                <w:sz w:val="20"/>
                <w:szCs w:val="20"/>
                <w:color w:val="auto"/>
              </w:rPr>
            </w:pPr>
            <w:r>
              <w:rPr>
                <w:rFonts w:ascii="Times New Roman" w:cs="Times New Roman" w:eastAsia="Times New Roman" w:hAnsi="Times New Roman"/>
                <w:sz w:val="16"/>
                <w:szCs w:val="16"/>
                <w:color w:val="auto"/>
              </w:rPr>
              <w:t>Married</w:t>
            </w:r>
          </w:p>
        </w:tc>
        <w:tc>
          <w:tcPr>
            <w:tcW w:w="2920" w:type="dxa"/>
            <w:vAlign w:val="bottom"/>
          </w:tcPr>
          <w:p>
            <w:pPr>
              <w:spacing w:after="0"/>
              <w:rPr>
                <w:sz w:val="17"/>
                <w:szCs w:val="17"/>
                <w:color w:val="auto"/>
              </w:rPr>
            </w:pPr>
          </w:p>
        </w:tc>
        <w:tc>
          <w:tcPr>
            <w:tcW w:w="640" w:type="dxa"/>
            <w:vAlign w:val="bottom"/>
          </w:tcPr>
          <w:p>
            <w:pPr>
              <w:jc w:val="right"/>
              <w:spacing w:after="0"/>
              <w:rPr>
                <w:sz w:val="20"/>
                <w:szCs w:val="20"/>
                <w:color w:val="auto"/>
              </w:rPr>
            </w:pPr>
            <w:r>
              <w:rPr>
                <w:rFonts w:ascii="Times New Roman" w:cs="Times New Roman" w:eastAsia="Times New Roman" w:hAnsi="Times New Roman"/>
                <w:sz w:val="16"/>
                <w:szCs w:val="16"/>
                <w:color w:val="auto"/>
              </w:rPr>
              <w:t>0.00</w:t>
            </w:r>
          </w:p>
        </w:tc>
        <w:tc>
          <w:tcPr>
            <w:tcW w:w="560" w:type="dxa"/>
            <w:vAlign w:val="bottom"/>
          </w:tcPr>
          <w:p>
            <w:pPr>
              <w:jc w:val="right"/>
              <w:ind w:right="80"/>
              <w:spacing w:after="0"/>
              <w:rPr>
                <w:sz w:val="20"/>
                <w:szCs w:val="20"/>
                <w:color w:val="auto"/>
              </w:rPr>
            </w:pPr>
            <w:r>
              <w:rPr>
                <w:rFonts w:ascii="Times New Roman" w:cs="Times New Roman" w:eastAsia="Times New Roman" w:hAnsi="Times New Roman"/>
                <w:sz w:val="16"/>
                <w:szCs w:val="16"/>
                <w:color w:val="auto"/>
                <w:w w:val="98"/>
              </w:rPr>
              <w:t>(0.12)</w:t>
            </w:r>
          </w:p>
        </w:tc>
      </w:tr>
      <w:tr>
        <w:trPr>
          <w:trHeight w:val="198"/>
        </w:trPr>
        <w:tc>
          <w:tcPr>
            <w:tcW w:w="2340" w:type="dxa"/>
            <w:vAlign w:val="bottom"/>
          </w:tcPr>
          <w:p>
            <w:pPr>
              <w:spacing w:after="0"/>
              <w:rPr>
                <w:sz w:val="20"/>
                <w:szCs w:val="20"/>
                <w:color w:val="auto"/>
              </w:rPr>
            </w:pPr>
            <w:r>
              <w:rPr>
                <w:rFonts w:ascii="Times New Roman" w:cs="Times New Roman" w:eastAsia="Times New Roman" w:hAnsi="Times New Roman"/>
                <w:sz w:val="16"/>
                <w:szCs w:val="16"/>
                <w:color w:val="auto"/>
              </w:rPr>
              <w:t>Number of children in household</w:t>
            </w:r>
          </w:p>
        </w:tc>
        <w:tc>
          <w:tcPr>
            <w:tcW w:w="2920" w:type="dxa"/>
            <w:vAlign w:val="bottom"/>
          </w:tcPr>
          <w:p>
            <w:pPr>
              <w:spacing w:after="0"/>
              <w:rPr>
                <w:sz w:val="17"/>
                <w:szCs w:val="17"/>
                <w:color w:val="auto"/>
              </w:rPr>
            </w:pPr>
          </w:p>
        </w:tc>
        <w:tc>
          <w:tcPr>
            <w:tcW w:w="640" w:type="dxa"/>
            <w:vAlign w:val="bottom"/>
          </w:tcPr>
          <w:p>
            <w:pPr>
              <w:jc w:val="right"/>
              <w:spacing w:after="0"/>
              <w:rPr>
                <w:sz w:val="20"/>
                <w:szCs w:val="20"/>
                <w:color w:val="auto"/>
              </w:rPr>
            </w:pPr>
            <w:r>
              <w:rPr>
                <w:rFonts w:ascii="Times New Roman" w:cs="Times New Roman" w:eastAsia="Times New Roman" w:hAnsi="Times New Roman"/>
                <w:sz w:val="16"/>
                <w:szCs w:val="16"/>
                <w:color w:val="auto"/>
              </w:rPr>
              <w:t>0.06</w:t>
            </w:r>
          </w:p>
        </w:tc>
        <w:tc>
          <w:tcPr>
            <w:tcW w:w="560" w:type="dxa"/>
            <w:vAlign w:val="bottom"/>
          </w:tcPr>
          <w:p>
            <w:pPr>
              <w:jc w:val="right"/>
              <w:spacing w:after="0"/>
              <w:rPr>
                <w:sz w:val="20"/>
                <w:szCs w:val="20"/>
                <w:color w:val="auto"/>
              </w:rPr>
            </w:pPr>
            <w:r>
              <w:rPr>
                <w:rFonts w:ascii="Times New Roman" w:cs="Times New Roman" w:eastAsia="Times New Roman" w:hAnsi="Times New Roman"/>
                <w:sz w:val="16"/>
                <w:szCs w:val="16"/>
                <w:color w:val="auto"/>
                <w:w w:val="98"/>
              </w:rPr>
              <w:t>(0.03)**</w:t>
            </w:r>
          </w:p>
        </w:tc>
      </w:tr>
      <w:tr>
        <w:trPr>
          <w:trHeight w:val="202"/>
        </w:trPr>
        <w:tc>
          <w:tcPr>
            <w:tcW w:w="2340" w:type="dxa"/>
            <w:vAlign w:val="bottom"/>
          </w:tcPr>
          <w:p>
            <w:pPr>
              <w:spacing w:after="0"/>
              <w:rPr>
                <w:sz w:val="20"/>
                <w:szCs w:val="20"/>
                <w:color w:val="auto"/>
              </w:rPr>
            </w:pPr>
            <w:r>
              <w:rPr>
                <w:rFonts w:ascii="Times New Roman" w:cs="Times New Roman" w:eastAsia="Times New Roman" w:hAnsi="Times New Roman"/>
                <w:sz w:val="16"/>
                <w:szCs w:val="16"/>
                <w:color w:val="auto"/>
              </w:rPr>
              <w:t>Single parent</w:t>
            </w:r>
          </w:p>
        </w:tc>
        <w:tc>
          <w:tcPr>
            <w:tcW w:w="2920" w:type="dxa"/>
            <w:vAlign w:val="bottom"/>
          </w:tcPr>
          <w:p>
            <w:pPr>
              <w:spacing w:after="0"/>
              <w:rPr>
                <w:sz w:val="17"/>
                <w:szCs w:val="17"/>
                <w:color w:val="auto"/>
              </w:rPr>
            </w:pPr>
          </w:p>
        </w:tc>
        <w:tc>
          <w:tcPr>
            <w:tcW w:w="640" w:type="dxa"/>
            <w:vAlign w:val="bottom"/>
          </w:tcPr>
          <w:p>
            <w:pPr>
              <w:jc w:val="right"/>
              <w:spacing w:after="0"/>
              <w:rPr>
                <w:sz w:val="20"/>
                <w:szCs w:val="20"/>
                <w:color w:val="auto"/>
              </w:rPr>
            </w:pPr>
            <w:r>
              <w:rPr>
                <w:rFonts w:ascii="Arial" w:cs="Arial" w:eastAsia="Arial" w:hAnsi="Arial"/>
                <w:sz w:val="16"/>
                <w:szCs w:val="16"/>
                <w:color w:val="auto"/>
              </w:rPr>
              <w:t>2</w:t>
            </w:r>
            <w:r>
              <w:rPr>
                <w:rFonts w:ascii="Times New Roman" w:cs="Times New Roman" w:eastAsia="Times New Roman" w:hAnsi="Times New Roman"/>
                <w:sz w:val="16"/>
                <w:szCs w:val="16"/>
                <w:color w:val="auto"/>
              </w:rPr>
              <w:t>0.08</w:t>
            </w:r>
          </w:p>
        </w:tc>
        <w:tc>
          <w:tcPr>
            <w:tcW w:w="560" w:type="dxa"/>
            <w:vAlign w:val="bottom"/>
          </w:tcPr>
          <w:p>
            <w:pPr>
              <w:jc w:val="right"/>
              <w:ind w:right="80"/>
              <w:spacing w:after="0"/>
              <w:rPr>
                <w:sz w:val="20"/>
                <w:szCs w:val="20"/>
                <w:color w:val="auto"/>
              </w:rPr>
            </w:pPr>
            <w:r>
              <w:rPr>
                <w:rFonts w:ascii="Times New Roman" w:cs="Times New Roman" w:eastAsia="Times New Roman" w:hAnsi="Times New Roman"/>
                <w:sz w:val="16"/>
                <w:szCs w:val="16"/>
                <w:color w:val="auto"/>
                <w:w w:val="98"/>
              </w:rPr>
              <w:t>(0.11)</w:t>
            </w:r>
          </w:p>
        </w:tc>
      </w:tr>
      <w:tr>
        <w:trPr>
          <w:trHeight w:val="200"/>
        </w:trPr>
        <w:tc>
          <w:tcPr>
            <w:tcW w:w="2340" w:type="dxa"/>
            <w:vAlign w:val="bottom"/>
          </w:tcPr>
          <w:p>
            <w:pPr>
              <w:spacing w:after="0"/>
              <w:rPr>
                <w:sz w:val="20"/>
                <w:szCs w:val="20"/>
                <w:color w:val="auto"/>
              </w:rPr>
            </w:pPr>
            <w:r>
              <w:rPr>
                <w:rFonts w:ascii="Times New Roman" w:cs="Times New Roman" w:eastAsia="Times New Roman" w:hAnsi="Times New Roman"/>
                <w:sz w:val="16"/>
                <w:szCs w:val="16"/>
                <w:color w:val="auto"/>
              </w:rPr>
              <w:t>Less than twelve years of education</w:t>
            </w:r>
          </w:p>
        </w:tc>
        <w:tc>
          <w:tcPr>
            <w:tcW w:w="2920" w:type="dxa"/>
            <w:vAlign w:val="bottom"/>
          </w:tcPr>
          <w:p>
            <w:pPr>
              <w:spacing w:after="0"/>
              <w:rPr>
                <w:sz w:val="17"/>
                <w:szCs w:val="17"/>
                <w:color w:val="auto"/>
              </w:rPr>
            </w:pPr>
          </w:p>
        </w:tc>
        <w:tc>
          <w:tcPr>
            <w:tcW w:w="640" w:type="dxa"/>
            <w:vAlign w:val="bottom"/>
          </w:tcPr>
          <w:p>
            <w:pPr>
              <w:jc w:val="right"/>
              <w:spacing w:after="0"/>
              <w:rPr>
                <w:sz w:val="20"/>
                <w:szCs w:val="20"/>
                <w:color w:val="auto"/>
              </w:rPr>
            </w:pPr>
            <w:r>
              <w:rPr>
                <w:rFonts w:ascii="Arial" w:cs="Arial" w:eastAsia="Arial" w:hAnsi="Arial"/>
                <w:sz w:val="16"/>
                <w:szCs w:val="16"/>
                <w:color w:val="auto"/>
              </w:rPr>
              <w:t>2</w:t>
            </w:r>
            <w:r>
              <w:rPr>
                <w:rFonts w:ascii="Times New Roman" w:cs="Times New Roman" w:eastAsia="Times New Roman" w:hAnsi="Times New Roman"/>
                <w:sz w:val="16"/>
                <w:szCs w:val="16"/>
                <w:color w:val="auto"/>
              </w:rPr>
              <w:t>0.08</w:t>
            </w:r>
          </w:p>
        </w:tc>
        <w:tc>
          <w:tcPr>
            <w:tcW w:w="560" w:type="dxa"/>
            <w:vAlign w:val="bottom"/>
          </w:tcPr>
          <w:p>
            <w:pPr>
              <w:jc w:val="right"/>
              <w:ind w:right="80"/>
              <w:spacing w:after="0"/>
              <w:rPr>
                <w:sz w:val="20"/>
                <w:szCs w:val="20"/>
                <w:color w:val="auto"/>
              </w:rPr>
            </w:pPr>
            <w:r>
              <w:rPr>
                <w:rFonts w:ascii="Times New Roman" w:cs="Times New Roman" w:eastAsia="Times New Roman" w:hAnsi="Times New Roman"/>
                <w:sz w:val="16"/>
                <w:szCs w:val="16"/>
                <w:color w:val="auto"/>
                <w:w w:val="98"/>
              </w:rPr>
              <w:t>(0.14)</w:t>
            </w:r>
          </w:p>
        </w:tc>
      </w:tr>
      <w:tr>
        <w:trPr>
          <w:trHeight w:val="198"/>
        </w:trPr>
        <w:tc>
          <w:tcPr>
            <w:tcW w:w="2340" w:type="dxa"/>
            <w:vAlign w:val="bottom"/>
          </w:tcPr>
          <w:p>
            <w:pPr>
              <w:spacing w:after="0"/>
              <w:rPr>
                <w:sz w:val="20"/>
                <w:szCs w:val="20"/>
                <w:color w:val="auto"/>
              </w:rPr>
            </w:pPr>
            <w:r>
              <w:rPr>
                <w:rFonts w:ascii="Times New Roman" w:cs="Times New Roman" w:eastAsia="Times New Roman" w:hAnsi="Times New Roman"/>
                <w:sz w:val="16"/>
                <w:szCs w:val="16"/>
                <w:color w:val="auto"/>
              </w:rPr>
              <w:t>Twelve years of education</w:t>
            </w:r>
          </w:p>
        </w:tc>
        <w:tc>
          <w:tcPr>
            <w:tcW w:w="2920" w:type="dxa"/>
            <w:vAlign w:val="bottom"/>
          </w:tcPr>
          <w:p>
            <w:pPr>
              <w:spacing w:after="0"/>
              <w:rPr>
                <w:sz w:val="17"/>
                <w:szCs w:val="17"/>
                <w:color w:val="auto"/>
              </w:rPr>
            </w:pPr>
          </w:p>
        </w:tc>
        <w:tc>
          <w:tcPr>
            <w:tcW w:w="640" w:type="dxa"/>
            <w:vAlign w:val="bottom"/>
          </w:tcPr>
          <w:p>
            <w:pPr>
              <w:jc w:val="right"/>
              <w:spacing w:after="0"/>
              <w:rPr>
                <w:sz w:val="20"/>
                <w:szCs w:val="20"/>
                <w:color w:val="auto"/>
              </w:rPr>
            </w:pPr>
            <w:r>
              <w:rPr>
                <w:rFonts w:ascii="Arial" w:cs="Arial" w:eastAsia="Arial" w:hAnsi="Arial"/>
                <w:sz w:val="16"/>
                <w:szCs w:val="16"/>
                <w:color w:val="auto"/>
              </w:rPr>
              <w:t>2</w:t>
            </w:r>
            <w:r>
              <w:rPr>
                <w:rFonts w:ascii="Times New Roman" w:cs="Times New Roman" w:eastAsia="Times New Roman" w:hAnsi="Times New Roman"/>
                <w:sz w:val="16"/>
                <w:szCs w:val="16"/>
                <w:color w:val="auto"/>
              </w:rPr>
              <w:t>0.10</w:t>
            </w:r>
          </w:p>
        </w:tc>
        <w:tc>
          <w:tcPr>
            <w:tcW w:w="560" w:type="dxa"/>
            <w:vAlign w:val="bottom"/>
          </w:tcPr>
          <w:p>
            <w:pPr>
              <w:jc w:val="right"/>
              <w:ind w:right="80"/>
              <w:spacing w:after="0"/>
              <w:rPr>
                <w:sz w:val="20"/>
                <w:szCs w:val="20"/>
                <w:color w:val="auto"/>
              </w:rPr>
            </w:pPr>
            <w:r>
              <w:rPr>
                <w:rFonts w:ascii="Times New Roman" w:cs="Times New Roman" w:eastAsia="Times New Roman" w:hAnsi="Times New Roman"/>
                <w:sz w:val="16"/>
                <w:szCs w:val="16"/>
                <w:color w:val="auto"/>
                <w:w w:val="98"/>
              </w:rPr>
              <w:t>(0.08)</w:t>
            </w:r>
          </w:p>
        </w:tc>
      </w:tr>
      <w:tr>
        <w:trPr>
          <w:trHeight w:val="198"/>
        </w:trPr>
        <w:tc>
          <w:tcPr>
            <w:tcW w:w="2340" w:type="dxa"/>
            <w:vAlign w:val="bottom"/>
          </w:tcPr>
          <w:p>
            <w:pPr>
              <w:spacing w:after="0"/>
              <w:rPr>
                <w:sz w:val="20"/>
                <w:szCs w:val="20"/>
                <w:color w:val="auto"/>
              </w:rPr>
            </w:pPr>
            <w:r>
              <w:rPr>
                <w:rFonts w:ascii="Times New Roman" w:cs="Times New Roman" w:eastAsia="Times New Roman" w:hAnsi="Times New Roman"/>
                <w:sz w:val="16"/>
                <w:szCs w:val="16"/>
                <w:color w:val="auto"/>
              </w:rPr>
              <w:t>Did not work past year</w:t>
            </w:r>
          </w:p>
        </w:tc>
        <w:tc>
          <w:tcPr>
            <w:tcW w:w="2920" w:type="dxa"/>
            <w:vAlign w:val="bottom"/>
          </w:tcPr>
          <w:p>
            <w:pPr>
              <w:spacing w:after="0"/>
              <w:rPr>
                <w:sz w:val="17"/>
                <w:szCs w:val="17"/>
                <w:color w:val="auto"/>
              </w:rPr>
            </w:pPr>
          </w:p>
        </w:tc>
        <w:tc>
          <w:tcPr>
            <w:tcW w:w="640" w:type="dxa"/>
            <w:vAlign w:val="bottom"/>
          </w:tcPr>
          <w:p>
            <w:pPr>
              <w:jc w:val="right"/>
              <w:spacing w:after="0"/>
              <w:rPr>
                <w:sz w:val="20"/>
                <w:szCs w:val="20"/>
                <w:color w:val="auto"/>
              </w:rPr>
            </w:pPr>
            <w:r>
              <w:rPr>
                <w:rFonts w:ascii="Times New Roman" w:cs="Times New Roman" w:eastAsia="Times New Roman" w:hAnsi="Times New Roman"/>
                <w:sz w:val="16"/>
                <w:szCs w:val="16"/>
                <w:color w:val="auto"/>
              </w:rPr>
              <w:t>0.02</w:t>
            </w:r>
          </w:p>
        </w:tc>
        <w:tc>
          <w:tcPr>
            <w:tcW w:w="560" w:type="dxa"/>
            <w:vAlign w:val="bottom"/>
          </w:tcPr>
          <w:p>
            <w:pPr>
              <w:jc w:val="right"/>
              <w:ind w:right="80"/>
              <w:spacing w:after="0"/>
              <w:rPr>
                <w:sz w:val="20"/>
                <w:szCs w:val="20"/>
                <w:color w:val="auto"/>
              </w:rPr>
            </w:pPr>
            <w:r>
              <w:rPr>
                <w:rFonts w:ascii="Times New Roman" w:cs="Times New Roman" w:eastAsia="Times New Roman" w:hAnsi="Times New Roman"/>
                <w:sz w:val="16"/>
                <w:szCs w:val="16"/>
                <w:color w:val="auto"/>
                <w:w w:val="98"/>
              </w:rPr>
              <w:t>(0.11)</w:t>
            </w:r>
          </w:p>
        </w:tc>
      </w:tr>
      <w:tr>
        <w:trPr>
          <w:trHeight w:val="200"/>
        </w:trPr>
        <w:tc>
          <w:tcPr>
            <w:tcW w:w="2340" w:type="dxa"/>
            <w:vAlign w:val="bottom"/>
          </w:tcPr>
          <w:p>
            <w:pPr>
              <w:spacing w:after="0"/>
              <w:rPr>
                <w:sz w:val="20"/>
                <w:szCs w:val="20"/>
                <w:color w:val="auto"/>
              </w:rPr>
            </w:pPr>
            <w:r>
              <w:rPr>
                <w:rFonts w:ascii="Times New Roman" w:cs="Times New Roman" w:eastAsia="Times New Roman" w:hAnsi="Times New Roman"/>
                <w:sz w:val="16"/>
                <w:szCs w:val="16"/>
                <w:color w:val="auto"/>
              </w:rPr>
              <w:t>Worked full time–full year</w:t>
            </w:r>
          </w:p>
        </w:tc>
        <w:tc>
          <w:tcPr>
            <w:tcW w:w="2920" w:type="dxa"/>
            <w:vAlign w:val="bottom"/>
          </w:tcPr>
          <w:p>
            <w:pPr>
              <w:spacing w:after="0"/>
              <w:rPr>
                <w:sz w:val="17"/>
                <w:szCs w:val="17"/>
                <w:color w:val="auto"/>
              </w:rPr>
            </w:pPr>
          </w:p>
        </w:tc>
        <w:tc>
          <w:tcPr>
            <w:tcW w:w="640" w:type="dxa"/>
            <w:vAlign w:val="bottom"/>
          </w:tcPr>
          <w:p>
            <w:pPr>
              <w:jc w:val="right"/>
              <w:spacing w:after="0"/>
              <w:rPr>
                <w:sz w:val="20"/>
                <w:szCs w:val="20"/>
                <w:color w:val="auto"/>
              </w:rPr>
            </w:pPr>
            <w:r>
              <w:rPr>
                <w:rFonts w:ascii="Times New Roman" w:cs="Times New Roman" w:eastAsia="Times New Roman" w:hAnsi="Times New Roman"/>
                <w:sz w:val="16"/>
                <w:szCs w:val="16"/>
                <w:color w:val="auto"/>
              </w:rPr>
              <w:t>0.00</w:t>
            </w:r>
          </w:p>
        </w:tc>
        <w:tc>
          <w:tcPr>
            <w:tcW w:w="560" w:type="dxa"/>
            <w:vAlign w:val="bottom"/>
          </w:tcPr>
          <w:p>
            <w:pPr>
              <w:jc w:val="right"/>
              <w:ind w:right="80"/>
              <w:spacing w:after="0"/>
              <w:rPr>
                <w:sz w:val="20"/>
                <w:szCs w:val="20"/>
                <w:color w:val="auto"/>
              </w:rPr>
            </w:pPr>
            <w:r>
              <w:rPr>
                <w:rFonts w:ascii="Times New Roman" w:cs="Times New Roman" w:eastAsia="Times New Roman" w:hAnsi="Times New Roman"/>
                <w:sz w:val="16"/>
                <w:szCs w:val="16"/>
                <w:color w:val="auto"/>
                <w:w w:val="98"/>
              </w:rPr>
              <w:t>(0.08)</w:t>
            </w:r>
          </w:p>
        </w:tc>
      </w:tr>
      <w:tr>
        <w:trPr>
          <w:trHeight w:val="202"/>
        </w:trPr>
        <w:tc>
          <w:tcPr>
            <w:tcW w:w="2340" w:type="dxa"/>
            <w:vAlign w:val="bottom"/>
          </w:tcPr>
          <w:p>
            <w:pPr>
              <w:spacing w:after="0"/>
              <w:rPr>
                <w:sz w:val="20"/>
                <w:szCs w:val="20"/>
                <w:color w:val="auto"/>
              </w:rPr>
            </w:pPr>
            <w:r>
              <w:rPr>
                <w:rFonts w:ascii="Times New Roman" w:cs="Times New Roman" w:eastAsia="Times New Roman" w:hAnsi="Times New Roman"/>
                <w:sz w:val="16"/>
                <w:szCs w:val="16"/>
                <w:color w:val="auto"/>
              </w:rPr>
              <w:t>Annual earnings</w:t>
            </w:r>
          </w:p>
        </w:tc>
        <w:tc>
          <w:tcPr>
            <w:tcW w:w="2920" w:type="dxa"/>
            <w:vAlign w:val="bottom"/>
          </w:tcPr>
          <w:p>
            <w:pPr>
              <w:spacing w:after="0"/>
              <w:rPr>
                <w:sz w:val="17"/>
                <w:szCs w:val="17"/>
                <w:color w:val="auto"/>
              </w:rPr>
            </w:pPr>
          </w:p>
        </w:tc>
        <w:tc>
          <w:tcPr>
            <w:tcW w:w="640" w:type="dxa"/>
            <w:vAlign w:val="bottom"/>
          </w:tcPr>
          <w:p>
            <w:pPr>
              <w:jc w:val="right"/>
              <w:spacing w:after="0"/>
              <w:rPr>
                <w:sz w:val="20"/>
                <w:szCs w:val="20"/>
                <w:color w:val="auto"/>
              </w:rPr>
            </w:pPr>
            <w:r>
              <w:rPr>
                <w:rFonts w:ascii="Arial" w:cs="Arial" w:eastAsia="Arial" w:hAnsi="Arial"/>
                <w:sz w:val="16"/>
                <w:szCs w:val="16"/>
                <w:color w:val="auto"/>
              </w:rPr>
              <w:t>2</w:t>
            </w:r>
            <w:r>
              <w:rPr>
                <w:rFonts w:ascii="Times New Roman" w:cs="Times New Roman" w:eastAsia="Times New Roman" w:hAnsi="Times New Roman"/>
                <w:sz w:val="16"/>
                <w:szCs w:val="16"/>
                <w:color w:val="auto"/>
              </w:rPr>
              <w:t>0.00</w:t>
            </w:r>
          </w:p>
        </w:tc>
        <w:tc>
          <w:tcPr>
            <w:tcW w:w="560" w:type="dxa"/>
            <w:vAlign w:val="bottom"/>
          </w:tcPr>
          <w:p>
            <w:pPr>
              <w:jc w:val="right"/>
              <w:ind w:right="80"/>
              <w:spacing w:after="0"/>
              <w:rPr>
                <w:sz w:val="20"/>
                <w:szCs w:val="20"/>
                <w:color w:val="auto"/>
              </w:rPr>
            </w:pPr>
            <w:r>
              <w:rPr>
                <w:rFonts w:ascii="Times New Roman" w:cs="Times New Roman" w:eastAsia="Times New Roman" w:hAnsi="Times New Roman"/>
                <w:sz w:val="16"/>
                <w:szCs w:val="16"/>
                <w:color w:val="auto"/>
                <w:w w:val="98"/>
              </w:rPr>
              <w:t>(0.00)</w:t>
            </w:r>
          </w:p>
        </w:tc>
      </w:tr>
      <w:tr>
        <w:trPr>
          <w:trHeight w:val="198"/>
        </w:trPr>
        <w:tc>
          <w:tcPr>
            <w:tcW w:w="2340" w:type="dxa"/>
            <w:vAlign w:val="bottom"/>
          </w:tcPr>
          <w:p>
            <w:pPr>
              <w:spacing w:after="0"/>
              <w:rPr>
                <w:sz w:val="20"/>
                <w:szCs w:val="20"/>
                <w:color w:val="auto"/>
              </w:rPr>
            </w:pPr>
            <w:r>
              <w:rPr>
                <w:rFonts w:ascii="Times New Roman" w:cs="Times New Roman" w:eastAsia="Times New Roman" w:hAnsi="Times New Roman"/>
                <w:sz w:val="16"/>
                <w:szCs w:val="16"/>
                <w:color w:val="auto"/>
              </w:rPr>
              <w:t>Missing earnings</w:t>
            </w:r>
          </w:p>
        </w:tc>
        <w:tc>
          <w:tcPr>
            <w:tcW w:w="2920" w:type="dxa"/>
            <w:vAlign w:val="bottom"/>
          </w:tcPr>
          <w:p>
            <w:pPr>
              <w:spacing w:after="0"/>
              <w:rPr>
                <w:sz w:val="17"/>
                <w:szCs w:val="17"/>
                <w:color w:val="auto"/>
              </w:rPr>
            </w:pPr>
          </w:p>
        </w:tc>
        <w:tc>
          <w:tcPr>
            <w:tcW w:w="640" w:type="dxa"/>
            <w:vAlign w:val="bottom"/>
          </w:tcPr>
          <w:p>
            <w:pPr>
              <w:jc w:val="right"/>
              <w:spacing w:after="0"/>
              <w:rPr>
                <w:sz w:val="20"/>
                <w:szCs w:val="20"/>
                <w:color w:val="auto"/>
              </w:rPr>
            </w:pPr>
            <w:r>
              <w:rPr>
                <w:rFonts w:ascii="Arial" w:cs="Arial" w:eastAsia="Arial" w:hAnsi="Arial"/>
                <w:sz w:val="16"/>
                <w:szCs w:val="16"/>
                <w:color w:val="auto"/>
              </w:rPr>
              <w:t>2</w:t>
            </w:r>
            <w:r>
              <w:rPr>
                <w:rFonts w:ascii="Times New Roman" w:cs="Times New Roman" w:eastAsia="Times New Roman" w:hAnsi="Times New Roman"/>
                <w:sz w:val="16"/>
                <w:szCs w:val="16"/>
                <w:color w:val="auto"/>
              </w:rPr>
              <w:t>0.02</w:t>
            </w:r>
          </w:p>
        </w:tc>
        <w:tc>
          <w:tcPr>
            <w:tcW w:w="560" w:type="dxa"/>
            <w:vAlign w:val="bottom"/>
          </w:tcPr>
          <w:p>
            <w:pPr>
              <w:jc w:val="right"/>
              <w:ind w:right="80"/>
              <w:spacing w:after="0"/>
              <w:rPr>
                <w:sz w:val="20"/>
                <w:szCs w:val="20"/>
                <w:color w:val="auto"/>
              </w:rPr>
            </w:pPr>
            <w:r>
              <w:rPr>
                <w:rFonts w:ascii="Times New Roman" w:cs="Times New Roman" w:eastAsia="Times New Roman" w:hAnsi="Times New Roman"/>
                <w:sz w:val="16"/>
                <w:szCs w:val="16"/>
                <w:color w:val="auto"/>
                <w:w w:val="98"/>
              </w:rPr>
              <w:t>(0.08)</w:t>
            </w:r>
          </w:p>
        </w:tc>
      </w:tr>
      <w:tr>
        <w:trPr>
          <w:trHeight w:val="198"/>
        </w:trPr>
        <w:tc>
          <w:tcPr>
            <w:tcW w:w="2340" w:type="dxa"/>
            <w:vAlign w:val="bottom"/>
          </w:tcPr>
          <w:p>
            <w:pPr>
              <w:spacing w:after="0"/>
              <w:rPr>
                <w:sz w:val="20"/>
                <w:szCs w:val="20"/>
                <w:color w:val="auto"/>
              </w:rPr>
            </w:pPr>
            <w:r>
              <w:rPr>
                <w:rFonts w:ascii="Times New Roman" w:cs="Times New Roman" w:eastAsia="Times New Roman" w:hAnsi="Times New Roman"/>
                <w:sz w:val="16"/>
                <w:szCs w:val="16"/>
                <w:color w:val="auto"/>
              </w:rPr>
              <w:t>Received public assistance</w:t>
            </w:r>
          </w:p>
        </w:tc>
        <w:tc>
          <w:tcPr>
            <w:tcW w:w="2920" w:type="dxa"/>
            <w:vAlign w:val="bottom"/>
          </w:tcPr>
          <w:p>
            <w:pPr>
              <w:spacing w:after="0"/>
              <w:rPr>
                <w:sz w:val="17"/>
                <w:szCs w:val="17"/>
                <w:color w:val="auto"/>
              </w:rPr>
            </w:pPr>
          </w:p>
        </w:tc>
        <w:tc>
          <w:tcPr>
            <w:tcW w:w="640" w:type="dxa"/>
            <w:vAlign w:val="bottom"/>
          </w:tcPr>
          <w:p>
            <w:pPr>
              <w:jc w:val="right"/>
              <w:spacing w:after="0"/>
              <w:rPr>
                <w:sz w:val="20"/>
                <w:szCs w:val="20"/>
                <w:color w:val="auto"/>
              </w:rPr>
            </w:pPr>
            <w:r>
              <w:rPr>
                <w:rFonts w:ascii="Times New Roman" w:cs="Times New Roman" w:eastAsia="Times New Roman" w:hAnsi="Times New Roman"/>
                <w:sz w:val="16"/>
                <w:szCs w:val="16"/>
                <w:color w:val="auto"/>
              </w:rPr>
              <w:t>0.07</w:t>
            </w:r>
          </w:p>
        </w:tc>
        <w:tc>
          <w:tcPr>
            <w:tcW w:w="560" w:type="dxa"/>
            <w:vAlign w:val="bottom"/>
          </w:tcPr>
          <w:p>
            <w:pPr>
              <w:jc w:val="right"/>
              <w:ind w:right="80"/>
              <w:spacing w:after="0"/>
              <w:rPr>
                <w:sz w:val="20"/>
                <w:szCs w:val="20"/>
                <w:color w:val="auto"/>
              </w:rPr>
            </w:pPr>
            <w:r>
              <w:rPr>
                <w:rFonts w:ascii="Times New Roman" w:cs="Times New Roman" w:eastAsia="Times New Roman" w:hAnsi="Times New Roman"/>
                <w:sz w:val="16"/>
                <w:szCs w:val="16"/>
                <w:color w:val="auto"/>
                <w:w w:val="98"/>
              </w:rPr>
              <w:t>(0.10)</w:t>
            </w:r>
          </w:p>
        </w:tc>
      </w:tr>
      <w:tr>
        <w:trPr>
          <w:trHeight w:val="200"/>
        </w:trPr>
        <w:tc>
          <w:tcPr>
            <w:tcW w:w="2340" w:type="dxa"/>
            <w:vAlign w:val="bottom"/>
          </w:tcPr>
          <w:p>
            <w:pPr>
              <w:spacing w:after="0"/>
              <w:rPr>
                <w:sz w:val="20"/>
                <w:szCs w:val="20"/>
                <w:color w:val="auto"/>
              </w:rPr>
            </w:pPr>
            <w:r>
              <w:rPr>
                <w:rFonts w:ascii="Times New Roman" w:cs="Times New Roman" w:eastAsia="Times New Roman" w:hAnsi="Times New Roman"/>
                <w:sz w:val="16"/>
                <w:szCs w:val="16"/>
                <w:color w:val="auto"/>
              </w:rPr>
              <w:t>Has checking account</w:t>
            </w:r>
          </w:p>
        </w:tc>
        <w:tc>
          <w:tcPr>
            <w:tcW w:w="2920" w:type="dxa"/>
            <w:vAlign w:val="bottom"/>
          </w:tcPr>
          <w:p>
            <w:pPr>
              <w:spacing w:after="0"/>
              <w:rPr>
                <w:sz w:val="17"/>
                <w:szCs w:val="17"/>
                <w:color w:val="auto"/>
              </w:rPr>
            </w:pPr>
          </w:p>
        </w:tc>
        <w:tc>
          <w:tcPr>
            <w:tcW w:w="640" w:type="dxa"/>
            <w:vAlign w:val="bottom"/>
          </w:tcPr>
          <w:p>
            <w:pPr>
              <w:jc w:val="right"/>
              <w:spacing w:after="0"/>
              <w:rPr>
                <w:sz w:val="20"/>
                <w:szCs w:val="20"/>
                <w:color w:val="auto"/>
              </w:rPr>
            </w:pPr>
            <w:r>
              <w:rPr>
                <w:rFonts w:ascii="Times New Roman" w:cs="Times New Roman" w:eastAsia="Times New Roman" w:hAnsi="Times New Roman"/>
                <w:sz w:val="16"/>
                <w:szCs w:val="16"/>
                <w:color w:val="auto"/>
              </w:rPr>
              <w:t>0.02</w:t>
            </w:r>
          </w:p>
        </w:tc>
        <w:tc>
          <w:tcPr>
            <w:tcW w:w="560" w:type="dxa"/>
            <w:vAlign w:val="bottom"/>
          </w:tcPr>
          <w:p>
            <w:pPr>
              <w:jc w:val="right"/>
              <w:ind w:right="80"/>
              <w:spacing w:after="0"/>
              <w:rPr>
                <w:sz w:val="20"/>
                <w:szCs w:val="20"/>
                <w:color w:val="auto"/>
              </w:rPr>
            </w:pPr>
            <w:r>
              <w:rPr>
                <w:rFonts w:ascii="Times New Roman" w:cs="Times New Roman" w:eastAsia="Times New Roman" w:hAnsi="Times New Roman"/>
                <w:sz w:val="16"/>
                <w:szCs w:val="16"/>
                <w:color w:val="auto"/>
                <w:w w:val="98"/>
              </w:rPr>
              <w:t>(0.11)</w:t>
            </w:r>
          </w:p>
        </w:tc>
      </w:tr>
      <w:tr>
        <w:trPr>
          <w:trHeight w:val="202"/>
        </w:trPr>
        <w:tc>
          <w:tcPr>
            <w:tcW w:w="2340" w:type="dxa"/>
            <w:vAlign w:val="bottom"/>
          </w:tcPr>
          <w:p>
            <w:pPr>
              <w:spacing w:after="0"/>
              <w:rPr>
                <w:sz w:val="20"/>
                <w:szCs w:val="20"/>
                <w:color w:val="auto"/>
              </w:rPr>
            </w:pPr>
            <w:r>
              <w:rPr>
                <w:rFonts w:ascii="Times New Roman" w:cs="Times New Roman" w:eastAsia="Times New Roman" w:hAnsi="Times New Roman"/>
                <w:sz w:val="16"/>
                <w:szCs w:val="16"/>
                <w:color w:val="auto"/>
              </w:rPr>
              <w:t>Has savings account</w:t>
            </w:r>
          </w:p>
        </w:tc>
        <w:tc>
          <w:tcPr>
            <w:tcW w:w="2920" w:type="dxa"/>
            <w:vAlign w:val="bottom"/>
          </w:tcPr>
          <w:p>
            <w:pPr>
              <w:spacing w:after="0"/>
              <w:rPr>
                <w:sz w:val="17"/>
                <w:szCs w:val="17"/>
                <w:color w:val="auto"/>
              </w:rPr>
            </w:pPr>
          </w:p>
        </w:tc>
        <w:tc>
          <w:tcPr>
            <w:tcW w:w="640" w:type="dxa"/>
            <w:vAlign w:val="bottom"/>
          </w:tcPr>
          <w:p>
            <w:pPr>
              <w:jc w:val="right"/>
              <w:spacing w:after="0"/>
              <w:rPr>
                <w:sz w:val="20"/>
                <w:szCs w:val="20"/>
                <w:color w:val="auto"/>
              </w:rPr>
            </w:pPr>
            <w:r>
              <w:rPr>
                <w:rFonts w:ascii="Arial" w:cs="Arial" w:eastAsia="Arial" w:hAnsi="Arial"/>
                <w:sz w:val="16"/>
                <w:szCs w:val="16"/>
                <w:color w:val="auto"/>
              </w:rPr>
              <w:t>2</w:t>
            </w:r>
            <w:r>
              <w:rPr>
                <w:rFonts w:ascii="Times New Roman" w:cs="Times New Roman" w:eastAsia="Times New Roman" w:hAnsi="Times New Roman"/>
                <w:sz w:val="16"/>
                <w:szCs w:val="16"/>
                <w:color w:val="auto"/>
              </w:rPr>
              <w:t>0.03</w:t>
            </w:r>
          </w:p>
        </w:tc>
        <w:tc>
          <w:tcPr>
            <w:tcW w:w="560" w:type="dxa"/>
            <w:vAlign w:val="bottom"/>
          </w:tcPr>
          <w:p>
            <w:pPr>
              <w:jc w:val="right"/>
              <w:ind w:right="80"/>
              <w:spacing w:after="0"/>
              <w:rPr>
                <w:sz w:val="20"/>
                <w:szCs w:val="20"/>
                <w:color w:val="auto"/>
              </w:rPr>
            </w:pPr>
            <w:r>
              <w:rPr>
                <w:rFonts w:ascii="Times New Roman" w:cs="Times New Roman" w:eastAsia="Times New Roman" w:hAnsi="Times New Roman"/>
                <w:sz w:val="16"/>
                <w:szCs w:val="16"/>
                <w:color w:val="auto"/>
                <w:w w:val="98"/>
              </w:rPr>
              <w:t>(0.10)</w:t>
            </w:r>
          </w:p>
        </w:tc>
      </w:tr>
      <w:tr>
        <w:trPr>
          <w:trHeight w:val="198"/>
        </w:trPr>
        <w:tc>
          <w:tcPr>
            <w:tcW w:w="2340" w:type="dxa"/>
            <w:vAlign w:val="bottom"/>
          </w:tcPr>
          <w:p>
            <w:pPr>
              <w:spacing w:after="0"/>
              <w:rPr>
                <w:sz w:val="20"/>
                <w:szCs w:val="20"/>
                <w:color w:val="auto"/>
              </w:rPr>
            </w:pPr>
            <w:r>
              <w:rPr>
                <w:rFonts w:ascii="Times New Roman" w:cs="Times New Roman" w:eastAsia="Times New Roman" w:hAnsi="Times New Roman"/>
                <w:sz w:val="16"/>
                <w:szCs w:val="16"/>
                <w:color w:val="auto"/>
              </w:rPr>
              <w:t>Has stocks, bonds, mutual funds</w:t>
            </w:r>
          </w:p>
        </w:tc>
        <w:tc>
          <w:tcPr>
            <w:tcW w:w="2920" w:type="dxa"/>
            <w:vAlign w:val="bottom"/>
          </w:tcPr>
          <w:p>
            <w:pPr>
              <w:spacing w:after="0"/>
              <w:rPr>
                <w:sz w:val="17"/>
                <w:szCs w:val="17"/>
                <w:color w:val="auto"/>
              </w:rPr>
            </w:pPr>
          </w:p>
        </w:tc>
        <w:tc>
          <w:tcPr>
            <w:tcW w:w="640" w:type="dxa"/>
            <w:vAlign w:val="bottom"/>
          </w:tcPr>
          <w:p>
            <w:pPr>
              <w:jc w:val="right"/>
              <w:spacing w:after="0"/>
              <w:rPr>
                <w:sz w:val="20"/>
                <w:szCs w:val="20"/>
                <w:color w:val="auto"/>
              </w:rPr>
            </w:pPr>
            <w:r>
              <w:rPr>
                <w:rFonts w:ascii="Arial" w:cs="Arial" w:eastAsia="Arial" w:hAnsi="Arial"/>
                <w:sz w:val="16"/>
                <w:szCs w:val="16"/>
                <w:color w:val="auto"/>
              </w:rPr>
              <w:t>2</w:t>
            </w:r>
            <w:r>
              <w:rPr>
                <w:rFonts w:ascii="Times New Roman" w:cs="Times New Roman" w:eastAsia="Times New Roman" w:hAnsi="Times New Roman"/>
                <w:sz w:val="16"/>
                <w:szCs w:val="16"/>
                <w:color w:val="auto"/>
              </w:rPr>
              <w:t>0.01</w:t>
            </w:r>
          </w:p>
        </w:tc>
        <w:tc>
          <w:tcPr>
            <w:tcW w:w="560" w:type="dxa"/>
            <w:vAlign w:val="bottom"/>
          </w:tcPr>
          <w:p>
            <w:pPr>
              <w:jc w:val="right"/>
              <w:ind w:right="80"/>
              <w:spacing w:after="0"/>
              <w:rPr>
                <w:sz w:val="20"/>
                <w:szCs w:val="20"/>
                <w:color w:val="auto"/>
              </w:rPr>
            </w:pPr>
            <w:r>
              <w:rPr>
                <w:rFonts w:ascii="Times New Roman" w:cs="Times New Roman" w:eastAsia="Times New Roman" w:hAnsi="Times New Roman"/>
                <w:sz w:val="16"/>
                <w:szCs w:val="16"/>
                <w:color w:val="auto"/>
                <w:w w:val="98"/>
              </w:rPr>
              <w:t>(0.12)</w:t>
            </w:r>
          </w:p>
        </w:tc>
      </w:tr>
      <w:tr>
        <w:trPr>
          <w:trHeight w:val="200"/>
        </w:trPr>
        <w:tc>
          <w:tcPr>
            <w:tcW w:w="2340" w:type="dxa"/>
            <w:vAlign w:val="bottom"/>
          </w:tcPr>
          <w:p>
            <w:pPr>
              <w:spacing w:after="0"/>
              <w:rPr>
                <w:sz w:val="20"/>
                <w:szCs w:val="20"/>
                <w:color w:val="auto"/>
              </w:rPr>
            </w:pPr>
            <w:r>
              <w:rPr>
                <w:rFonts w:ascii="Times New Roman" w:cs="Times New Roman" w:eastAsia="Times New Roman" w:hAnsi="Times New Roman"/>
                <w:sz w:val="16"/>
                <w:szCs w:val="16"/>
                <w:color w:val="auto"/>
              </w:rPr>
              <w:t>Owns a mortgage</w:t>
            </w:r>
          </w:p>
        </w:tc>
        <w:tc>
          <w:tcPr>
            <w:tcW w:w="2920" w:type="dxa"/>
            <w:vAlign w:val="bottom"/>
          </w:tcPr>
          <w:p>
            <w:pPr>
              <w:spacing w:after="0"/>
              <w:rPr>
                <w:sz w:val="17"/>
                <w:szCs w:val="17"/>
                <w:color w:val="auto"/>
              </w:rPr>
            </w:pPr>
          </w:p>
        </w:tc>
        <w:tc>
          <w:tcPr>
            <w:tcW w:w="640" w:type="dxa"/>
            <w:vAlign w:val="bottom"/>
          </w:tcPr>
          <w:p>
            <w:pPr>
              <w:jc w:val="right"/>
              <w:spacing w:after="0"/>
              <w:rPr>
                <w:sz w:val="20"/>
                <w:szCs w:val="20"/>
                <w:color w:val="auto"/>
              </w:rPr>
            </w:pPr>
            <w:r>
              <w:rPr>
                <w:rFonts w:ascii="Arial" w:cs="Arial" w:eastAsia="Arial" w:hAnsi="Arial"/>
                <w:sz w:val="16"/>
                <w:szCs w:val="16"/>
                <w:color w:val="auto"/>
              </w:rPr>
              <w:t>2</w:t>
            </w:r>
            <w:r>
              <w:rPr>
                <w:rFonts w:ascii="Times New Roman" w:cs="Times New Roman" w:eastAsia="Times New Roman" w:hAnsi="Times New Roman"/>
                <w:sz w:val="16"/>
                <w:szCs w:val="16"/>
                <w:color w:val="auto"/>
              </w:rPr>
              <w:t>0.07</w:t>
            </w:r>
          </w:p>
        </w:tc>
        <w:tc>
          <w:tcPr>
            <w:tcW w:w="560" w:type="dxa"/>
            <w:vAlign w:val="bottom"/>
          </w:tcPr>
          <w:p>
            <w:pPr>
              <w:jc w:val="right"/>
              <w:ind w:right="80"/>
              <w:spacing w:after="0"/>
              <w:rPr>
                <w:sz w:val="20"/>
                <w:szCs w:val="20"/>
                <w:color w:val="auto"/>
              </w:rPr>
            </w:pPr>
            <w:r>
              <w:rPr>
                <w:rFonts w:ascii="Times New Roman" w:cs="Times New Roman" w:eastAsia="Times New Roman" w:hAnsi="Times New Roman"/>
                <w:sz w:val="16"/>
                <w:szCs w:val="16"/>
                <w:color w:val="auto"/>
                <w:w w:val="98"/>
              </w:rPr>
              <w:t>(0.11)</w:t>
            </w:r>
          </w:p>
        </w:tc>
      </w:tr>
      <w:tr>
        <w:trPr>
          <w:trHeight w:val="198"/>
        </w:trPr>
        <w:tc>
          <w:tcPr>
            <w:tcW w:w="2340" w:type="dxa"/>
            <w:vAlign w:val="bottom"/>
          </w:tcPr>
          <w:p>
            <w:pPr>
              <w:spacing w:after="0"/>
              <w:rPr>
                <w:sz w:val="20"/>
                <w:szCs w:val="20"/>
                <w:color w:val="auto"/>
              </w:rPr>
            </w:pPr>
            <w:r>
              <w:rPr>
                <w:rFonts w:ascii="Times New Roman" w:cs="Times New Roman" w:eastAsia="Times New Roman" w:hAnsi="Times New Roman"/>
                <w:sz w:val="16"/>
                <w:szCs w:val="16"/>
                <w:color w:val="auto"/>
              </w:rPr>
              <w:t>Has credit card</w:t>
            </w:r>
          </w:p>
        </w:tc>
        <w:tc>
          <w:tcPr>
            <w:tcW w:w="2920" w:type="dxa"/>
            <w:vAlign w:val="bottom"/>
          </w:tcPr>
          <w:p>
            <w:pPr>
              <w:spacing w:after="0"/>
              <w:rPr>
                <w:sz w:val="17"/>
                <w:szCs w:val="17"/>
                <w:color w:val="auto"/>
              </w:rPr>
            </w:pPr>
          </w:p>
        </w:tc>
        <w:tc>
          <w:tcPr>
            <w:tcW w:w="640" w:type="dxa"/>
            <w:vAlign w:val="bottom"/>
          </w:tcPr>
          <w:p>
            <w:pPr>
              <w:jc w:val="right"/>
              <w:spacing w:after="0"/>
              <w:rPr>
                <w:sz w:val="20"/>
                <w:szCs w:val="20"/>
                <w:color w:val="auto"/>
              </w:rPr>
            </w:pPr>
            <w:r>
              <w:rPr>
                <w:rFonts w:ascii="Times New Roman" w:cs="Times New Roman" w:eastAsia="Times New Roman" w:hAnsi="Times New Roman"/>
                <w:sz w:val="16"/>
                <w:szCs w:val="16"/>
                <w:color w:val="auto"/>
              </w:rPr>
              <w:t>0.02</w:t>
            </w:r>
          </w:p>
        </w:tc>
        <w:tc>
          <w:tcPr>
            <w:tcW w:w="560" w:type="dxa"/>
            <w:vAlign w:val="bottom"/>
          </w:tcPr>
          <w:p>
            <w:pPr>
              <w:jc w:val="right"/>
              <w:ind w:right="80"/>
              <w:spacing w:after="0"/>
              <w:rPr>
                <w:sz w:val="20"/>
                <w:szCs w:val="20"/>
                <w:color w:val="auto"/>
              </w:rPr>
            </w:pPr>
            <w:r>
              <w:rPr>
                <w:rFonts w:ascii="Times New Roman" w:cs="Times New Roman" w:eastAsia="Times New Roman" w:hAnsi="Times New Roman"/>
                <w:sz w:val="16"/>
                <w:szCs w:val="16"/>
                <w:color w:val="auto"/>
                <w:w w:val="98"/>
              </w:rPr>
              <w:t>(0.07)</w:t>
            </w:r>
          </w:p>
        </w:tc>
      </w:tr>
      <w:tr>
        <w:trPr>
          <w:trHeight w:val="202"/>
        </w:trPr>
        <w:tc>
          <w:tcPr>
            <w:tcW w:w="2340" w:type="dxa"/>
            <w:vAlign w:val="bottom"/>
          </w:tcPr>
          <w:p>
            <w:pPr>
              <w:spacing w:after="0"/>
              <w:rPr>
                <w:sz w:val="20"/>
                <w:szCs w:val="20"/>
                <w:color w:val="auto"/>
              </w:rPr>
            </w:pPr>
            <w:r>
              <w:rPr>
                <w:rFonts w:ascii="Times New Roman" w:cs="Times New Roman" w:eastAsia="Times New Roman" w:hAnsi="Times New Roman"/>
                <w:sz w:val="16"/>
                <w:szCs w:val="16"/>
                <w:color w:val="auto"/>
              </w:rPr>
              <w:t>Banks online</w:t>
            </w:r>
          </w:p>
        </w:tc>
        <w:tc>
          <w:tcPr>
            <w:tcW w:w="2920" w:type="dxa"/>
            <w:vAlign w:val="bottom"/>
          </w:tcPr>
          <w:p>
            <w:pPr>
              <w:spacing w:after="0"/>
              <w:rPr>
                <w:sz w:val="17"/>
                <w:szCs w:val="17"/>
                <w:color w:val="auto"/>
              </w:rPr>
            </w:pPr>
          </w:p>
        </w:tc>
        <w:tc>
          <w:tcPr>
            <w:tcW w:w="640" w:type="dxa"/>
            <w:vAlign w:val="bottom"/>
          </w:tcPr>
          <w:p>
            <w:pPr>
              <w:jc w:val="right"/>
              <w:spacing w:after="0"/>
              <w:rPr>
                <w:sz w:val="20"/>
                <w:szCs w:val="20"/>
                <w:color w:val="auto"/>
              </w:rPr>
            </w:pPr>
            <w:r>
              <w:rPr>
                <w:rFonts w:ascii="Arial" w:cs="Arial" w:eastAsia="Arial" w:hAnsi="Arial"/>
                <w:sz w:val="16"/>
                <w:szCs w:val="16"/>
                <w:color w:val="auto"/>
              </w:rPr>
              <w:t>2</w:t>
            </w:r>
            <w:r>
              <w:rPr>
                <w:rFonts w:ascii="Times New Roman" w:cs="Times New Roman" w:eastAsia="Times New Roman" w:hAnsi="Times New Roman"/>
                <w:sz w:val="16"/>
                <w:szCs w:val="16"/>
                <w:color w:val="auto"/>
              </w:rPr>
              <w:t>0.03</w:t>
            </w:r>
          </w:p>
        </w:tc>
        <w:tc>
          <w:tcPr>
            <w:tcW w:w="560" w:type="dxa"/>
            <w:vAlign w:val="bottom"/>
          </w:tcPr>
          <w:p>
            <w:pPr>
              <w:jc w:val="right"/>
              <w:ind w:right="80"/>
              <w:spacing w:after="0"/>
              <w:rPr>
                <w:sz w:val="20"/>
                <w:szCs w:val="20"/>
                <w:color w:val="auto"/>
              </w:rPr>
            </w:pPr>
            <w:r>
              <w:rPr>
                <w:rFonts w:ascii="Times New Roman" w:cs="Times New Roman" w:eastAsia="Times New Roman" w:hAnsi="Times New Roman"/>
                <w:sz w:val="16"/>
                <w:szCs w:val="16"/>
                <w:color w:val="auto"/>
                <w:w w:val="98"/>
              </w:rPr>
              <w:t>(0.11)</w:t>
            </w:r>
          </w:p>
        </w:tc>
      </w:tr>
      <w:tr>
        <w:trPr>
          <w:trHeight w:val="198"/>
        </w:trPr>
        <w:tc>
          <w:tcPr>
            <w:tcW w:w="2340" w:type="dxa"/>
            <w:vAlign w:val="bottom"/>
          </w:tcPr>
          <w:p>
            <w:pPr>
              <w:spacing w:after="0"/>
              <w:rPr>
                <w:sz w:val="20"/>
                <w:szCs w:val="20"/>
                <w:color w:val="auto"/>
              </w:rPr>
            </w:pPr>
            <w:r>
              <w:rPr>
                <w:rFonts w:ascii="Times New Roman" w:cs="Times New Roman" w:eastAsia="Times New Roman" w:hAnsi="Times New Roman"/>
                <w:sz w:val="16"/>
                <w:szCs w:val="16"/>
                <w:color w:val="auto"/>
              </w:rPr>
              <w:t>Banks by phone</w:t>
            </w:r>
          </w:p>
        </w:tc>
        <w:tc>
          <w:tcPr>
            <w:tcW w:w="2920" w:type="dxa"/>
            <w:vAlign w:val="bottom"/>
          </w:tcPr>
          <w:p>
            <w:pPr>
              <w:spacing w:after="0"/>
              <w:rPr>
                <w:sz w:val="17"/>
                <w:szCs w:val="17"/>
                <w:color w:val="auto"/>
              </w:rPr>
            </w:pPr>
          </w:p>
        </w:tc>
        <w:tc>
          <w:tcPr>
            <w:tcW w:w="640" w:type="dxa"/>
            <w:vAlign w:val="bottom"/>
          </w:tcPr>
          <w:p>
            <w:pPr>
              <w:jc w:val="right"/>
              <w:spacing w:after="0"/>
              <w:rPr>
                <w:sz w:val="20"/>
                <w:szCs w:val="20"/>
                <w:color w:val="auto"/>
              </w:rPr>
            </w:pPr>
            <w:r>
              <w:rPr>
                <w:rFonts w:ascii="Arial" w:cs="Arial" w:eastAsia="Arial" w:hAnsi="Arial"/>
                <w:sz w:val="16"/>
                <w:szCs w:val="16"/>
                <w:color w:val="auto"/>
              </w:rPr>
              <w:t>2</w:t>
            </w:r>
            <w:r>
              <w:rPr>
                <w:rFonts w:ascii="Times New Roman" w:cs="Times New Roman" w:eastAsia="Times New Roman" w:hAnsi="Times New Roman"/>
                <w:sz w:val="16"/>
                <w:szCs w:val="16"/>
                <w:color w:val="auto"/>
              </w:rPr>
              <w:t>0.12</w:t>
            </w:r>
          </w:p>
        </w:tc>
        <w:tc>
          <w:tcPr>
            <w:tcW w:w="560" w:type="dxa"/>
            <w:vAlign w:val="bottom"/>
          </w:tcPr>
          <w:p>
            <w:pPr>
              <w:jc w:val="right"/>
              <w:ind w:right="80"/>
              <w:spacing w:after="0"/>
              <w:rPr>
                <w:sz w:val="20"/>
                <w:szCs w:val="20"/>
                <w:color w:val="auto"/>
              </w:rPr>
            </w:pPr>
            <w:r>
              <w:rPr>
                <w:rFonts w:ascii="Times New Roman" w:cs="Times New Roman" w:eastAsia="Times New Roman" w:hAnsi="Times New Roman"/>
                <w:sz w:val="16"/>
                <w:szCs w:val="16"/>
                <w:color w:val="auto"/>
                <w:w w:val="98"/>
              </w:rPr>
              <w:t>(0.08)</w:t>
            </w:r>
          </w:p>
        </w:tc>
      </w:tr>
      <w:tr>
        <w:trPr>
          <w:trHeight w:val="198"/>
        </w:trPr>
        <w:tc>
          <w:tcPr>
            <w:tcW w:w="2340" w:type="dxa"/>
            <w:vAlign w:val="bottom"/>
          </w:tcPr>
          <w:p>
            <w:pPr>
              <w:spacing w:after="0"/>
              <w:rPr>
                <w:sz w:val="20"/>
                <w:szCs w:val="20"/>
                <w:color w:val="auto"/>
              </w:rPr>
            </w:pPr>
            <w:r>
              <w:rPr>
                <w:rFonts w:ascii="Times New Roman" w:cs="Times New Roman" w:eastAsia="Times New Roman" w:hAnsi="Times New Roman"/>
                <w:sz w:val="16"/>
                <w:szCs w:val="16"/>
                <w:color w:val="auto"/>
              </w:rPr>
              <w:t>Uses debit card</w:t>
            </w:r>
          </w:p>
        </w:tc>
        <w:tc>
          <w:tcPr>
            <w:tcW w:w="2920" w:type="dxa"/>
            <w:vAlign w:val="bottom"/>
          </w:tcPr>
          <w:p>
            <w:pPr>
              <w:spacing w:after="0"/>
              <w:rPr>
                <w:sz w:val="17"/>
                <w:szCs w:val="17"/>
                <w:color w:val="auto"/>
              </w:rPr>
            </w:pPr>
          </w:p>
        </w:tc>
        <w:tc>
          <w:tcPr>
            <w:tcW w:w="640" w:type="dxa"/>
            <w:vAlign w:val="bottom"/>
          </w:tcPr>
          <w:p>
            <w:pPr>
              <w:jc w:val="right"/>
              <w:spacing w:after="0"/>
              <w:rPr>
                <w:sz w:val="20"/>
                <w:szCs w:val="20"/>
                <w:color w:val="auto"/>
              </w:rPr>
            </w:pPr>
            <w:r>
              <w:rPr>
                <w:rFonts w:ascii="Times New Roman" w:cs="Times New Roman" w:eastAsia="Times New Roman" w:hAnsi="Times New Roman"/>
                <w:sz w:val="16"/>
                <w:szCs w:val="16"/>
                <w:color w:val="auto"/>
              </w:rPr>
              <w:t>0.03</w:t>
            </w:r>
          </w:p>
        </w:tc>
        <w:tc>
          <w:tcPr>
            <w:tcW w:w="560" w:type="dxa"/>
            <w:vAlign w:val="bottom"/>
          </w:tcPr>
          <w:p>
            <w:pPr>
              <w:jc w:val="right"/>
              <w:ind w:right="80"/>
              <w:spacing w:after="0"/>
              <w:rPr>
                <w:sz w:val="20"/>
                <w:szCs w:val="20"/>
                <w:color w:val="auto"/>
              </w:rPr>
            </w:pPr>
            <w:r>
              <w:rPr>
                <w:rFonts w:ascii="Times New Roman" w:cs="Times New Roman" w:eastAsia="Times New Roman" w:hAnsi="Times New Roman"/>
                <w:sz w:val="16"/>
                <w:szCs w:val="16"/>
                <w:color w:val="auto"/>
                <w:w w:val="98"/>
              </w:rPr>
              <w:t>(0.09)</w:t>
            </w:r>
          </w:p>
        </w:tc>
      </w:tr>
      <w:tr>
        <w:trPr>
          <w:trHeight w:val="202"/>
        </w:trPr>
        <w:tc>
          <w:tcPr>
            <w:tcW w:w="2340" w:type="dxa"/>
            <w:vAlign w:val="bottom"/>
          </w:tcPr>
          <w:p>
            <w:pPr>
              <w:spacing w:after="0"/>
              <w:rPr>
                <w:sz w:val="20"/>
                <w:szCs w:val="20"/>
                <w:color w:val="auto"/>
              </w:rPr>
            </w:pPr>
            <w:r>
              <w:rPr>
                <w:rFonts w:ascii="Times New Roman" w:cs="Times New Roman" w:eastAsia="Times New Roman" w:hAnsi="Times New Roman"/>
                <w:sz w:val="16"/>
                <w:szCs w:val="16"/>
                <w:color w:val="auto"/>
              </w:rPr>
              <w:t>Saves money each month</w:t>
            </w:r>
          </w:p>
        </w:tc>
        <w:tc>
          <w:tcPr>
            <w:tcW w:w="2920" w:type="dxa"/>
            <w:vAlign w:val="bottom"/>
          </w:tcPr>
          <w:p>
            <w:pPr>
              <w:spacing w:after="0"/>
              <w:rPr>
                <w:sz w:val="17"/>
                <w:szCs w:val="17"/>
                <w:color w:val="auto"/>
              </w:rPr>
            </w:pPr>
          </w:p>
        </w:tc>
        <w:tc>
          <w:tcPr>
            <w:tcW w:w="640" w:type="dxa"/>
            <w:vAlign w:val="bottom"/>
          </w:tcPr>
          <w:p>
            <w:pPr>
              <w:jc w:val="right"/>
              <w:spacing w:after="0"/>
              <w:rPr>
                <w:sz w:val="20"/>
                <w:szCs w:val="20"/>
                <w:color w:val="auto"/>
              </w:rPr>
            </w:pPr>
            <w:r>
              <w:rPr>
                <w:rFonts w:ascii="Arial" w:cs="Arial" w:eastAsia="Arial" w:hAnsi="Arial"/>
                <w:sz w:val="16"/>
                <w:szCs w:val="16"/>
                <w:color w:val="auto"/>
              </w:rPr>
              <w:t>2</w:t>
            </w:r>
            <w:r>
              <w:rPr>
                <w:rFonts w:ascii="Times New Roman" w:cs="Times New Roman" w:eastAsia="Times New Roman" w:hAnsi="Times New Roman"/>
                <w:sz w:val="16"/>
                <w:szCs w:val="16"/>
                <w:color w:val="auto"/>
              </w:rPr>
              <w:t>0.08</w:t>
            </w:r>
          </w:p>
        </w:tc>
        <w:tc>
          <w:tcPr>
            <w:tcW w:w="560" w:type="dxa"/>
            <w:vAlign w:val="bottom"/>
          </w:tcPr>
          <w:p>
            <w:pPr>
              <w:jc w:val="right"/>
              <w:ind w:right="80"/>
              <w:spacing w:after="0"/>
              <w:rPr>
                <w:sz w:val="20"/>
                <w:szCs w:val="20"/>
                <w:color w:val="auto"/>
              </w:rPr>
            </w:pPr>
            <w:r>
              <w:rPr>
                <w:rFonts w:ascii="Times New Roman" w:cs="Times New Roman" w:eastAsia="Times New Roman" w:hAnsi="Times New Roman"/>
                <w:sz w:val="16"/>
                <w:szCs w:val="16"/>
                <w:color w:val="auto"/>
                <w:w w:val="98"/>
              </w:rPr>
              <w:t>(0.07)</w:t>
            </w:r>
          </w:p>
        </w:tc>
      </w:tr>
      <w:tr>
        <w:trPr>
          <w:trHeight w:val="198"/>
        </w:trPr>
        <w:tc>
          <w:tcPr>
            <w:tcW w:w="5260" w:type="dxa"/>
            <w:vAlign w:val="bottom"/>
            <w:gridSpan w:val="2"/>
          </w:tcPr>
          <w:p>
            <w:pPr>
              <w:spacing w:after="0"/>
              <w:rPr>
                <w:sz w:val="20"/>
                <w:szCs w:val="20"/>
                <w:color w:val="auto"/>
              </w:rPr>
            </w:pPr>
            <w:r>
              <w:rPr>
                <w:rFonts w:ascii="Times New Roman" w:cs="Times New Roman" w:eastAsia="Times New Roman" w:hAnsi="Times New Roman"/>
                <w:sz w:val="16"/>
                <w:szCs w:val="16"/>
                <w:color w:val="auto"/>
              </w:rPr>
              <w:t>Plans and sets financial goals for future</w:t>
            </w:r>
          </w:p>
        </w:tc>
        <w:tc>
          <w:tcPr>
            <w:tcW w:w="640" w:type="dxa"/>
            <w:vAlign w:val="bottom"/>
          </w:tcPr>
          <w:p>
            <w:pPr>
              <w:jc w:val="right"/>
              <w:spacing w:after="0"/>
              <w:rPr>
                <w:sz w:val="20"/>
                <w:szCs w:val="20"/>
                <w:color w:val="auto"/>
              </w:rPr>
            </w:pPr>
            <w:r>
              <w:rPr>
                <w:rFonts w:ascii="Arial" w:cs="Arial" w:eastAsia="Arial" w:hAnsi="Arial"/>
                <w:sz w:val="16"/>
                <w:szCs w:val="16"/>
                <w:color w:val="auto"/>
              </w:rPr>
              <w:t>2</w:t>
            </w:r>
            <w:r>
              <w:rPr>
                <w:rFonts w:ascii="Times New Roman" w:cs="Times New Roman" w:eastAsia="Times New Roman" w:hAnsi="Times New Roman"/>
                <w:sz w:val="16"/>
                <w:szCs w:val="16"/>
                <w:color w:val="auto"/>
              </w:rPr>
              <w:t>0.03</w:t>
            </w:r>
          </w:p>
        </w:tc>
        <w:tc>
          <w:tcPr>
            <w:tcW w:w="560" w:type="dxa"/>
            <w:vAlign w:val="bottom"/>
          </w:tcPr>
          <w:p>
            <w:pPr>
              <w:jc w:val="right"/>
              <w:ind w:right="80"/>
              <w:spacing w:after="0"/>
              <w:rPr>
                <w:sz w:val="20"/>
                <w:szCs w:val="20"/>
                <w:color w:val="auto"/>
              </w:rPr>
            </w:pPr>
            <w:r>
              <w:rPr>
                <w:rFonts w:ascii="Times New Roman" w:cs="Times New Roman" w:eastAsia="Times New Roman" w:hAnsi="Times New Roman"/>
                <w:sz w:val="16"/>
                <w:szCs w:val="16"/>
                <w:color w:val="auto"/>
                <w:w w:val="98"/>
              </w:rPr>
              <w:t>(0.08)</w:t>
            </w:r>
          </w:p>
        </w:tc>
      </w:tr>
      <w:tr>
        <w:trPr>
          <w:trHeight w:val="200"/>
        </w:trPr>
        <w:tc>
          <w:tcPr>
            <w:tcW w:w="2340" w:type="dxa"/>
            <w:vAlign w:val="bottom"/>
          </w:tcPr>
          <w:p>
            <w:pPr>
              <w:spacing w:after="0"/>
              <w:rPr>
                <w:sz w:val="20"/>
                <w:szCs w:val="20"/>
                <w:color w:val="auto"/>
              </w:rPr>
            </w:pPr>
            <w:r>
              <w:rPr>
                <w:rFonts w:ascii="Times New Roman" w:cs="Times New Roman" w:eastAsia="Times New Roman" w:hAnsi="Times New Roman"/>
                <w:sz w:val="16"/>
                <w:szCs w:val="16"/>
                <w:color w:val="auto"/>
              </w:rPr>
              <w:t>Always uses monthly budget</w:t>
            </w:r>
          </w:p>
        </w:tc>
        <w:tc>
          <w:tcPr>
            <w:tcW w:w="2920" w:type="dxa"/>
            <w:vAlign w:val="bottom"/>
          </w:tcPr>
          <w:p>
            <w:pPr>
              <w:spacing w:after="0"/>
              <w:rPr>
                <w:sz w:val="17"/>
                <w:szCs w:val="17"/>
                <w:color w:val="auto"/>
              </w:rPr>
            </w:pPr>
          </w:p>
        </w:tc>
        <w:tc>
          <w:tcPr>
            <w:tcW w:w="640" w:type="dxa"/>
            <w:vAlign w:val="bottom"/>
          </w:tcPr>
          <w:p>
            <w:pPr>
              <w:jc w:val="right"/>
              <w:spacing w:after="0"/>
              <w:rPr>
                <w:sz w:val="20"/>
                <w:szCs w:val="20"/>
                <w:color w:val="auto"/>
              </w:rPr>
            </w:pPr>
            <w:r>
              <w:rPr>
                <w:rFonts w:ascii="Arial" w:cs="Arial" w:eastAsia="Arial" w:hAnsi="Arial"/>
                <w:sz w:val="16"/>
                <w:szCs w:val="16"/>
                <w:color w:val="auto"/>
              </w:rPr>
              <w:t>2</w:t>
            </w:r>
            <w:r>
              <w:rPr>
                <w:rFonts w:ascii="Times New Roman" w:cs="Times New Roman" w:eastAsia="Times New Roman" w:hAnsi="Times New Roman"/>
                <w:sz w:val="16"/>
                <w:szCs w:val="16"/>
                <w:color w:val="auto"/>
              </w:rPr>
              <w:t>0.07</w:t>
            </w:r>
          </w:p>
        </w:tc>
        <w:tc>
          <w:tcPr>
            <w:tcW w:w="560" w:type="dxa"/>
            <w:vAlign w:val="bottom"/>
          </w:tcPr>
          <w:p>
            <w:pPr>
              <w:jc w:val="right"/>
              <w:ind w:right="80"/>
              <w:spacing w:after="0"/>
              <w:rPr>
                <w:sz w:val="20"/>
                <w:szCs w:val="20"/>
                <w:color w:val="auto"/>
              </w:rPr>
            </w:pPr>
            <w:r>
              <w:rPr>
                <w:rFonts w:ascii="Times New Roman" w:cs="Times New Roman" w:eastAsia="Times New Roman" w:hAnsi="Times New Roman"/>
                <w:sz w:val="16"/>
                <w:szCs w:val="16"/>
                <w:color w:val="auto"/>
                <w:w w:val="98"/>
              </w:rPr>
              <w:t>(0.07)</w:t>
            </w:r>
          </w:p>
        </w:tc>
      </w:tr>
      <w:tr>
        <w:trPr>
          <w:trHeight w:val="198"/>
        </w:trPr>
        <w:tc>
          <w:tcPr>
            <w:tcW w:w="2340" w:type="dxa"/>
            <w:vAlign w:val="bottom"/>
          </w:tcPr>
          <w:p>
            <w:pPr>
              <w:spacing w:after="0"/>
              <w:rPr>
                <w:sz w:val="20"/>
                <w:szCs w:val="20"/>
                <w:color w:val="auto"/>
              </w:rPr>
            </w:pPr>
            <w:r>
              <w:rPr>
                <w:rFonts w:ascii="Times New Roman" w:cs="Times New Roman" w:eastAsia="Times New Roman" w:hAnsi="Times New Roman"/>
                <w:sz w:val="16"/>
                <w:szCs w:val="16"/>
                <w:color w:val="auto"/>
              </w:rPr>
              <w:t>Always pays bills on time</w:t>
            </w:r>
          </w:p>
        </w:tc>
        <w:tc>
          <w:tcPr>
            <w:tcW w:w="2920" w:type="dxa"/>
            <w:vAlign w:val="bottom"/>
          </w:tcPr>
          <w:p>
            <w:pPr>
              <w:spacing w:after="0"/>
              <w:rPr>
                <w:sz w:val="17"/>
                <w:szCs w:val="17"/>
                <w:color w:val="auto"/>
              </w:rPr>
            </w:pPr>
          </w:p>
        </w:tc>
        <w:tc>
          <w:tcPr>
            <w:tcW w:w="640" w:type="dxa"/>
            <w:vAlign w:val="bottom"/>
          </w:tcPr>
          <w:p>
            <w:pPr>
              <w:jc w:val="right"/>
              <w:spacing w:after="0"/>
              <w:rPr>
                <w:sz w:val="20"/>
                <w:szCs w:val="20"/>
                <w:color w:val="auto"/>
              </w:rPr>
            </w:pPr>
            <w:r>
              <w:rPr>
                <w:rFonts w:ascii="Times New Roman" w:cs="Times New Roman" w:eastAsia="Times New Roman" w:hAnsi="Times New Roman"/>
                <w:sz w:val="16"/>
                <w:szCs w:val="16"/>
                <w:color w:val="auto"/>
              </w:rPr>
              <w:t>0.08</w:t>
            </w:r>
          </w:p>
        </w:tc>
        <w:tc>
          <w:tcPr>
            <w:tcW w:w="560" w:type="dxa"/>
            <w:vAlign w:val="bottom"/>
          </w:tcPr>
          <w:p>
            <w:pPr>
              <w:jc w:val="right"/>
              <w:ind w:right="80"/>
              <w:spacing w:after="0"/>
              <w:rPr>
                <w:sz w:val="20"/>
                <w:szCs w:val="20"/>
                <w:color w:val="auto"/>
              </w:rPr>
            </w:pPr>
            <w:r>
              <w:rPr>
                <w:rFonts w:ascii="Times New Roman" w:cs="Times New Roman" w:eastAsia="Times New Roman" w:hAnsi="Times New Roman"/>
                <w:sz w:val="16"/>
                <w:szCs w:val="16"/>
                <w:color w:val="auto"/>
                <w:w w:val="98"/>
              </w:rPr>
              <w:t>(0.07)</w:t>
            </w:r>
          </w:p>
        </w:tc>
      </w:tr>
      <w:tr>
        <w:trPr>
          <w:trHeight w:val="202"/>
        </w:trPr>
        <w:tc>
          <w:tcPr>
            <w:tcW w:w="5260" w:type="dxa"/>
            <w:vAlign w:val="bottom"/>
            <w:gridSpan w:val="2"/>
          </w:tcPr>
          <w:p>
            <w:pPr>
              <w:spacing w:after="0"/>
              <w:rPr>
                <w:sz w:val="20"/>
                <w:szCs w:val="20"/>
                <w:color w:val="auto"/>
              </w:rPr>
            </w:pPr>
            <w:r>
              <w:rPr>
                <w:rFonts w:ascii="Times New Roman" w:cs="Times New Roman" w:eastAsia="Times New Roman" w:hAnsi="Times New Roman"/>
                <w:sz w:val="16"/>
                <w:szCs w:val="16"/>
                <w:color w:val="auto"/>
              </w:rPr>
              <w:t>Pays credit card balance each month</w:t>
            </w:r>
          </w:p>
        </w:tc>
        <w:tc>
          <w:tcPr>
            <w:tcW w:w="640" w:type="dxa"/>
            <w:vAlign w:val="bottom"/>
          </w:tcPr>
          <w:p>
            <w:pPr>
              <w:jc w:val="right"/>
              <w:spacing w:after="0"/>
              <w:rPr>
                <w:sz w:val="20"/>
                <w:szCs w:val="20"/>
                <w:color w:val="auto"/>
              </w:rPr>
            </w:pPr>
            <w:r>
              <w:rPr>
                <w:rFonts w:ascii="Arial" w:cs="Arial" w:eastAsia="Arial" w:hAnsi="Arial"/>
                <w:sz w:val="16"/>
                <w:szCs w:val="16"/>
                <w:color w:val="auto"/>
              </w:rPr>
              <w:t>2</w:t>
            </w:r>
            <w:r>
              <w:rPr>
                <w:rFonts w:ascii="Times New Roman" w:cs="Times New Roman" w:eastAsia="Times New Roman" w:hAnsi="Times New Roman"/>
                <w:sz w:val="16"/>
                <w:szCs w:val="16"/>
                <w:color w:val="auto"/>
              </w:rPr>
              <w:t>0.16</w:t>
            </w:r>
          </w:p>
        </w:tc>
        <w:tc>
          <w:tcPr>
            <w:tcW w:w="560" w:type="dxa"/>
            <w:vAlign w:val="bottom"/>
          </w:tcPr>
          <w:p>
            <w:pPr>
              <w:jc w:val="right"/>
              <w:ind w:right="80"/>
              <w:spacing w:after="0"/>
              <w:rPr>
                <w:sz w:val="20"/>
                <w:szCs w:val="20"/>
                <w:color w:val="auto"/>
              </w:rPr>
            </w:pPr>
            <w:r>
              <w:rPr>
                <w:rFonts w:ascii="Times New Roman" w:cs="Times New Roman" w:eastAsia="Times New Roman" w:hAnsi="Times New Roman"/>
                <w:sz w:val="16"/>
                <w:szCs w:val="16"/>
                <w:color w:val="auto"/>
                <w:w w:val="98"/>
              </w:rPr>
              <w:t>(0.13)</w:t>
            </w:r>
          </w:p>
        </w:tc>
      </w:tr>
      <w:tr>
        <w:trPr>
          <w:trHeight w:val="196"/>
        </w:trPr>
        <w:tc>
          <w:tcPr>
            <w:tcW w:w="5260" w:type="dxa"/>
            <w:vAlign w:val="bottom"/>
            <w:gridSpan w:val="2"/>
          </w:tcPr>
          <w:p>
            <w:pPr>
              <w:spacing w:after="0"/>
              <w:rPr>
                <w:sz w:val="20"/>
                <w:szCs w:val="20"/>
                <w:color w:val="auto"/>
              </w:rPr>
            </w:pPr>
            <w:r>
              <w:rPr>
                <w:rFonts w:ascii="Times New Roman" w:cs="Times New Roman" w:eastAsia="Times New Roman" w:hAnsi="Times New Roman"/>
                <w:sz w:val="16"/>
                <w:szCs w:val="16"/>
                <w:color w:val="auto"/>
              </w:rPr>
              <w:t>Missing pays credit card balance information</w:t>
            </w:r>
          </w:p>
        </w:tc>
        <w:tc>
          <w:tcPr>
            <w:tcW w:w="640" w:type="dxa"/>
            <w:vAlign w:val="bottom"/>
          </w:tcPr>
          <w:p>
            <w:pPr>
              <w:jc w:val="right"/>
              <w:spacing w:after="0"/>
              <w:rPr>
                <w:sz w:val="20"/>
                <w:szCs w:val="20"/>
                <w:color w:val="auto"/>
              </w:rPr>
            </w:pPr>
            <w:r>
              <w:rPr>
                <w:rFonts w:ascii="Times New Roman" w:cs="Times New Roman" w:eastAsia="Times New Roman" w:hAnsi="Times New Roman"/>
                <w:sz w:val="16"/>
                <w:szCs w:val="16"/>
                <w:color w:val="auto"/>
              </w:rPr>
              <w:t>0.02</w:t>
            </w:r>
          </w:p>
        </w:tc>
        <w:tc>
          <w:tcPr>
            <w:tcW w:w="560" w:type="dxa"/>
            <w:vAlign w:val="bottom"/>
          </w:tcPr>
          <w:p>
            <w:pPr>
              <w:jc w:val="right"/>
              <w:ind w:right="80"/>
              <w:spacing w:after="0"/>
              <w:rPr>
                <w:sz w:val="20"/>
                <w:szCs w:val="20"/>
                <w:color w:val="auto"/>
              </w:rPr>
            </w:pPr>
            <w:r>
              <w:rPr>
                <w:rFonts w:ascii="Times New Roman" w:cs="Times New Roman" w:eastAsia="Times New Roman" w:hAnsi="Times New Roman"/>
                <w:sz w:val="16"/>
                <w:szCs w:val="16"/>
                <w:color w:val="auto"/>
                <w:w w:val="98"/>
              </w:rPr>
              <w:t>(0.10)</w:t>
            </w:r>
          </w:p>
        </w:tc>
      </w:tr>
      <w:tr>
        <w:trPr>
          <w:trHeight w:val="200"/>
        </w:trPr>
        <w:tc>
          <w:tcPr>
            <w:tcW w:w="2340" w:type="dxa"/>
            <w:vAlign w:val="bottom"/>
          </w:tcPr>
          <w:p>
            <w:pPr>
              <w:spacing w:after="0"/>
              <w:rPr>
                <w:sz w:val="20"/>
                <w:szCs w:val="20"/>
                <w:color w:val="auto"/>
              </w:rPr>
            </w:pPr>
            <w:r>
              <w:rPr>
                <w:rFonts w:ascii="Times New Roman" w:cs="Times New Roman" w:eastAsia="Times New Roman" w:hAnsi="Times New Roman"/>
                <w:sz w:val="16"/>
                <w:szCs w:val="16"/>
                <w:color w:val="auto"/>
              </w:rPr>
              <w:t>Knows mutual funds have risk</w:t>
            </w:r>
          </w:p>
        </w:tc>
        <w:tc>
          <w:tcPr>
            <w:tcW w:w="2920" w:type="dxa"/>
            <w:vAlign w:val="bottom"/>
          </w:tcPr>
          <w:p>
            <w:pPr>
              <w:spacing w:after="0"/>
              <w:rPr>
                <w:sz w:val="17"/>
                <w:szCs w:val="17"/>
                <w:color w:val="auto"/>
              </w:rPr>
            </w:pPr>
          </w:p>
        </w:tc>
        <w:tc>
          <w:tcPr>
            <w:tcW w:w="640" w:type="dxa"/>
            <w:vAlign w:val="bottom"/>
          </w:tcPr>
          <w:p>
            <w:pPr>
              <w:jc w:val="right"/>
              <w:spacing w:after="0"/>
              <w:rPr>
                <w:sz w:val="20"/>
                <w:szCs w:val="20"/>
                <w:color w:val="auto"/>
              </w:rPr>
            </w:pPr>
            <w:r>
              <w:rPr>
                <w:rFonts w:ascii="Times New Roman" w:cs="Times New Roman" w:eastAsia="Times New Roman" w:hAnsi="Times New Roman"/>
                <w:sz w:val="16"/>
                <w:szCs w:val="16"/>
                <w:color w:val="auto"/>
              </w:rPr>
              <w:t>0.04</w:t>
            </w:r>
          </w:p>
        </w:tc>
        <w:tc>
          <w:tcPr>
            <w:tcW w:w="560" w:type="dxa"/>
            <w:vAlign w:val="bottom"/>
          </w:tcPr>
          <w:p>
            <w:pPr>
              <w:jc w:val="right"/>
              <w:ind w:right="80"/>
              <w:spacing w:after="0"/>
              <w:rPr>
                <w:sz w:val="20"/>
                <w:szCs w:val="20"/>
                <w:color w:val="auto"/>
              </w:rPr>
            </w:pPr>
            <w:r>
              <w:rPr>
                <w:rFonts w:ascii="Times New Roman" w:cs="Times New Roman" w:eastAsia="Times New Roman" w:hAnsi="Times New Roman"/>
                <w:sz w:val="16"/>
                <w:szCs w:val="16"/>
                <w:color w:val="auto"/>
                <w:w w:val="98"/>
              </w:rPr>
              <w:t>(0.08)</w:t>
            </w:r>
          </w:p>
        </w:tc>
      </w:tr>
      <w:tr>
        <w:trPr>
          <w:trHeight w:val="200"/>
        </w:trPr>
        <w:tc>
          <w:tcPr>
            <w:tcW w:w="5260" w:type="dxa"/>
            <w:vAlign w:val="bottom"/>
            <w:gridSpan w:val="2"/>
          </w:tcPr>
          <w:p>
            <w:pPr>
              <w:spacing w:after="0"/>
              <w:rPr>
                <w:sz w:val="20"/>
                <w:szCs w:val="20"/>
                <w:color w:val="auto"/>
              </w:rPr>
            </w:pPr>
            <w:r>
              <w:rPr>
                <w:rFonts w:ascii="Times New Roman" w:cs="Times New Roman" w:eastAsia="Times New Roman" w:hAnsi="Times New Roman"/>
                <w:sz w:val="16"/>
                <w:szCs w:val="16"/>
                <w:color w:val="auto"/>
              </w:rPr>
              <w:t>Knows how to minimize credit card interest</w:t>
            </w:r>
          </w:p>
        </w:tc>
        <w:tc>
          <w:tcPr>
            <w:tcW w:w="640" w:type="dxa"/>
            <w:vAlign w:val="bottom"/>
          </w:tcPr>
          <w:p>
            <w:pPr>
              <w:jc w:val="right"/>
              <w:spacing w:after="0"/>
              <w:rPr>
                <w:sz w:val="20"/>
                <w:szCs w:val="20"/>
                <w:color w:val="auto"/>
              </w:rPr>
            </w:pPr>
            <w:r>
              <w:rPr>
                <w:rFonts w:ascii="Times New Roman" w:cs="Times New Roman" w:eastAsia="Times New Roman" w:hAnsi="Times New Roman"/>
                <w:sz w:val="16"/>
                <w:szCs w:val="16"/>
                <w:color w:val="auto"/>
              </w:rPr>
              <w:t>0.01</w:t>
            </w:r>
          </w:p>
        </w:tc>
        <w:tc>
          <w:tcPr>
            <w:tcW w:w="560" w:type="dxa"/>
            <w:vAlign w:val="bottom"/>
          </w:tcPr>
          <w:p>
            <w:pPr>
              <w:jc w:val="right"/>
              <w:ind w:right="80"/>
              <w:spacing w:after="0"/>
              <w:rPr>
                <w:sz w:val="20"/>
                <w:szCs w:val="20"/>
                <w:color w:val="auto"/>
              </w:rPr>
            </w:pPr>
            <w:r>
              <w:rPr>
                <w:rFonts w:ascii="Times New Roman" w:cs="Times New Roman" w:eastAsia="Times New Roman" w:hAnsi="Times New Roman"/>
                <w:sz w:val="16"/>
                <w:szCs w:val="16"/>
                <w:color w:val="auto"/>
                <w:w w:val="98"/>
              </w:rPr>
              <w:t>(0.10)</w:t>
            </w:r>
          </w:p>
        </w:tc>
      </w:tr>
      <w:tr>
        <w:trPr>
          <w:trHeight w:val="202"/>
        </w:trPr>
        <w:tc>
          <w:tcPr>
            <w:tcW w:w="2340" w:type="dxa"/>
            <w:vAlign w:val="bottom"/>
          </w:tcPr>
          <w:p>
            <w:pPr>
              <w:spacing w:after="0"/>
              <w:rPr>
                <w:sz w:val="20"/>
                <w:szCs w:val="20"/>
                <w:color w:val="auto"/>
              </w:rPr>
            </w:pPr>
            <w:r>
              <w:rPr>
                <w:rFonts w:ascii="Times New Roman" w:cs="Times New Roman" w:eastAsia="Times New Roman" w:hAnsi="Times New Roman"/>
                <w:sz w:val="16"/>
                <w:szCs w:val="16"/>
                <w:color w:val="auto"/>
              </w:rPr>
              <w:t>Uses Internet often</w:t>
            </w:r>
          </w:p>
        </w:tc>
        <w:tc>
          <w:tcPr>
            <w:tcW w:w="2920" w:type="dxa"/>
            <w:vAlign w:val="bottom"/>
          </w:tcPr>
          <w:p>
            <w:pPr>
              <w:spacing w:after="0"/>
              <w:rPr>
                <w:sz w:val="17"/>
                <w:szCs w:val="17"/>
                <w:color w:val="auto"/>
              </w:rPr>
            </w:pPr>
          </w:p>
        </w:tc>
        <w:tc>
          <w:tcPr>
            <w:tcW w:w="640" w:type="dxa"/>
            <w:vAlign w:val="bottom"/>
          </w:tcPr>
          <w:p>
            <w:pPr>
              <w:jc w:val="right"/>
              <w:spacing w:after="0"/>
              <w:rPr>
                <w:sz w:val="20"/>
                <w:szCs w:val="20"/>
                <w:color w:val="auto"/>
              </w:rPr>
            </w:pPr>
            <w:r>
              <w:rPr>
                <w:rFonts w:ascii="Arial" w:cs="Arial" w:eastAsia="Arial" w:hAnsi="Arial"/>
                <w:sz w:val="16"/>
                <w:szCs w:val="16"/>
                <w:color w:val="auto"/>
              </w:rPr>
              <w:t>2</w:t>
            </w:r>
            <w:r>
              <w:rPr>
                <w:rFonts w:ascii="Times New Roman" w:cs="Times New Roman" w:eastAsia="Times New Roman" w:hAnsi="Times New Roman"/>
                <w:sz w:val="16"/>
                <w:szCs w:val="16"/>
                <w:color w:val="auto"/>
              </w:rPr>
              <w:t>0.09</w:t>
            </w:r>
          </w:p>
        </w:tc>
        <w:tc>
          <w:tcPr>
            <w:tcW w:w="560" w:type="dxa"/>
            <w:vAlign w:val="bottom"/>
          </w:tcPr>
          <w:p>
            <w:pPr>
              <w:jc w:val="right"/>
              <w:ind w:right="80"/>
              <w:spacing w:after="0"/>
              <w:rPr>
                <w:sz w:val="20"/>
                <w:szCs w:val="20"/>
                <w:color w:val="auto"/>
              </w:rPr>
            </w:pPr>
            <w:r>
              <w:rPr>
                <w:rFonts w:ascii="Times New Roman" w:cs="Times New Roman" w:eastAsia="Times New Roman" w:hAnsi="Times New Roman"/>
                <w:sz w:val="16"/>
                <w:szCs w:val="16"/>
                <w:color w:val="auto"/>
                <w:w w:val="98"/>
              </w:rPr>
              <w:t>(0.10)</w:t>
            </w:r>
          </w:p>
        </w:tc>
      </w:tr>
      <w:tr>
        <w:trPr>
          <w:trHeight w:val="196"/>
        </w:trPr>
        <w:tc>
          <w:tcPr>
            <w:tcW w:w="2340" w:type="dxa"/>
            <w:vAlign w:val="bottom"/>
          </w:tcPr>
          <w:p>
            <w:pPr>
              <w:spacing w:after="0"/>
              <w:rPr>
                <w:sz w:val="20"/>
                <w:szCs w:val="20"/>
                <w:color w:val="auto"/>
              </w:rPr>
            </w:pPr>
            <w:r>
              <w:rPr>
                <w:rFonts w:ascii="Times New Roman" w:cs="Times New Roman" w:eastAsia="Times New Roman" w:hAnsi="Times New Roman"/>
                <w:sz w:val="16"/>
                <w:szCs w:val="16"/>
                <w:color w:val="auto"/>
              </w:rPr>
              <w:t>Uses Internet sometimes</w:t>
            </w:r>
          </w:p>
        </w:tc>
        <w:tc>
          <w:tcPr>
            <w:tcW w:w="2920" w:type="dxa"/>
            <w:vAlign w:val="bottom"/>
          </w:tcPr>
          <w:p>
            <w:pPr>
              <w:spacing w:after="0"/>
              <w:rPr>
                <w:sz w:val="17"/>
                <w:szCs w:val="17"/>
                <w:color w:val="auto"/>
              </w:rPr>
            </w:pPr>
          </w:p>
        </w:tc>
        <w:tc>
          <w:tcPr>
            <w:tcW w:w="640" w:type="dxa"/>
            <w:vAlign w:val="bottom"/>
          </w:tcPr>
          <w:p>
            <w:pPr>
              <w:jc w:val="right"/>
              <w:spacing w:after="0"/>
              <w:rPr>
                <w:sz w:val="20"/>
                <w:szCs w:val="20"/>
                <w:color w:val="auto"/>
              </w:rPr>
            </w:pPr>
            <w:r>
              <w:rPr>
                <w:rFonts w:ascii="Times New Roman" w:cs="Times New Roman" w:eastAsia="Times New Roman" w:hAnsi="Times New Roman"/>
                <w:sz w:val="16"/>
                <w:szCs w:val="16"/>
                <w:color w:val="auto"/>
              </w:rPr>
              <w:t>0.03</w:t>
            </w:r>
          </w:p>
        </w:tc>
        <w:tc>
          <w:tcPr>
            <w:tcW w:w="560" w:type="dxa"/>
            <w:vAlign w:val="bottom"/>
          </w:tcPr>
          <w:p>
            <w:pPr>
              <w:jc w:val="right"/>
              <w:ind w:right="80"/>
              <w:spacing w:after="0"/>
              <w:rPr>
                <w:sz w:val="20"/>
                <w:szCs w:val="20"/>
                <w:color w:val="auto"/>
              </w:rPr>
            </w:pPr>
            <w:r>
              <w:rPr>
                <w:rFonts w:ascii="Times New Roman" w:cs="Times New Roman" w:eastAsia="Times New Roman" w:hAnsi="Times New Roman"/>
                <w:sz w:val="16"/>
                <w:szCs w:val="16"/>
                <w:color w:val="auto"/>
                <w:w w:val="98"/>
              </w:rPr>
              <w:t>(0.09)</w:t>
            </w:r>
          </w:p>
        </w:tc>
      </w:tr>
      <w:tr>
        <w:trPr>
          <w:trHeight w:val="200"/>
        </w:trPr>
        <w:tc>
          <w:tcPr>
            <w:tcW w:w="2340" w:type="dxa"/>
            <w:vAlign w:val="bottom"/>
          </w:tcPr>
          <w:p>
            <w:pPr>
              <w:spacing w:after="0"/>
              <w:rPr>
                <w:sz w:val="20"/>
                <w:szCs w:val="20"/>
                <w:color w:val="auto"/>
              </w:rPr>
            </w:pPr>
            <w:r>
              <w:rPr>
                <w:rFonts w:ascii="Times New Roman" w:cs="Times New Roman" w:eastAsia="Times New Roman" w:hAnsi="Times New Roman"/>
                <w:sz w:val="16"/>
                <w:szCs w:val="16"/>
                <w:color w:val="auto"/>
              </w:rPr>
              <w:t>Three to five calls in wave 1</w:t>
            </w:r>
          </w:p>
        </w:tc>
        <w:tc>
          <w:tcPr>
            <w:tcW w:w="2920" w:type="dxa"/>
            <w:vAlign w:val="bottom"/>
          </w:tcPr>
          <w:p>
            <w:pPr>
              <w:spacing w:after="0"/>
              <w:rPr>
                <w:sz w:val="17"/>
                <w:szCs w:val="17"/>
                <w:color w:val="auto"/>
              </w:rPr>
            </w:pPr>
          </w:p>
        </w:tc>
        <w:tc>
          <w:tcPr>
            <w:tcW w:w="640" w:type="dxa"/>
            <w:vAlign w:val="bottom"/>
          </w:tcPr>
          <w:p>
            <w:pPr>
              <w:jc w:val="right"/>
              <w:spacing w:after="0"/>
              <w:rPr>
                <w:sz w:val="20"/>
                <w:szCs w:val="20"/>
                <w:color w:val="auto"/>
              </w:rPr>
            </w:pPr>
            <w:r>
              <w:rPr>
                <w:rFonts w:ascii="Times New Roman" w:cs="Times New Roman" w:eastAsia="Times New Roman" w:hAnsi="Times New Roman"/>
                <w:sz w:val="16"/>
                <w:szCs w:val="16"/>
                <w:color w:val="auto"/>
              </w:rPr>
              <w:t>0.05</w:t>
            </w:r>
          </w:p>
        </w:tc>
        <w:tc>
          <w:tcPr>
            <w:tcW w:w="560" w:type="dxa"/>
            <w:vAlign w:val="bottom"/>
          </w:tcPr>
          <w:p>
            <w:pPr>
              <w:jc w:val="right"/>
              <w:ind w:right="80"/>
              <w:spacing w:after="0"/>
              <w:rPr>
                <w:sz w:val="20"/>
                <w:szCs w:val="20"/>
                <w:color w:val="auto"/>
              </w:rPr>
            </w:pPr>
            <w:r>
              <w:rPr>
                <w:rFonts w:ascii="Times New Roman" w:cs="Times New Roman" w:eastAsia="Times New Roman" w:hAnsi="Times New Roman"/>
                <w:sz w:val="16"/>
                <w:szCs w:val="16"/>
                <w:color w:val="auto"/>
                <w:w w:val="98"/>
              </w:rPr>
              <w:t>(0.09)</w:t>
            </w:r>
          </w:p>
        </w:tc>
      </w:tr>
      <w:tr>
        <w:trPr>
          <w:trHeight w:val="200"/>
        </w:trPr>
        <w:tc>
          <w:tcPr>
            <w:tcW w:w="2340" w:type="dxa"/>
            <w:vAlign w:val="bottom"/>
          </w:tcPr>
          <w:p>
            <w:pPr>
              <w:spacing w:after="0"/>
              <w:rPr>
                <w:sz w:val="20"/>
                <w:szCs w:val="20"/>
                <w:color w:val="auto"/>
              </w:rPr>
            </w:pPr>
            <w:r>
              <w:rPr>
                <w:rFonts w:ascii="Times New Roman" w:cs="Times New Roman" w:eastAsia="Times New Roman" w:hAnsi="Times New Roman"/>
                <w:sz w:val="16"/>
                <w:szCs w:val="16"/>
                <w:color w:val="auto"/>
              </w:rPr>
              <w:t>Six to eight calls in wave 1</w:t>
            </w:r>
          </w:p>
        </w:tc>
        <w:tc>
          <w:tcPr>
            <w:tcW w:w="2920" w:type="dxa"/>
            <w:vAlign w:val="bottom"/>
          </w:tcPr>
          <w:p>
            <w:pPr>
              <w:spacing w:after="0"/>
              <w:rPr>
                <w:sz w:val="17"/>
                <w:szCs w:val="17"/>
                <w:color w:val="auto"/>
              </w:rPr>
            </w:pPr>
          </w:p>
        </w:tc>
        <w:tc>
          <w:tcPr>
            <w:tcW w:w="640" w:type="dxa"/>
            <w:vAlign w:val="bottom"/>
          </w:tcPr>
          <w:p>
            <w:pPr>
              <w:jc w:val="right"/>
              <w:spacing w:after="0"/>
              <w:rPr>
                <w:sz w:val="20"/>
                <w:szCs w:val="20"/>
                <w:color w:val="auto"/>
              </w:rPr>
            </w:pPr>
            <w:r>
              <w:rPr>
                <w:rFonts w:ascii="Times New Roman" w:cs="Times New Roman" w:eastAsia="Times New Roman" w:hAnsi="Times New Roman"/>
                <w:sz w:val="16"/>
                <w:szCs w:val="16"/>
                <w:color w:val="auto"/>
              </w:rPr>
              <w:t>0.35</w:t>
            </w:r>
          </w:p>
        </w:tc>
        <w:tc>
          <w:tcPr>
            <w:tcW w:w="560" w:type="dxa"/>
            <w:vAlign w:val="bottom"/>
          </w:tcPr>
          <w:p>
            <w:pPr>
              <w:jc w:val="right"/>
              <w:spacing w:after="0"/>
              <w:rPr>
                <w:sz w:val="20"/>
                <w:szCs w:val="20"/>
                <w:color w:val="auto"/>
              </w:rPr>
            </w:pPr>
            <w:r>
              <w:rPr>
                <w:rFonts w:ascii="Times New Roman" w:cs="Times New Roman" w:eastAsia="Times New Roman" w:hAnsi="Times New Roman"/>
                <w:sz w:val="16"/>
                <w:szCs w:val="16"/>
                <w:color w:val="auto"/>
                <w:w w:val="98"/>
              </w:rPr>
              <w:t>(0.11)**</w:t>
            </w:r>
          </w:p>
        </w:tc>
      </w:tr>
      <w:tr>
        <w:trPr>
          <w:trHeight w:val="198"/>
        </w:trPr>
        <w:tc>
          <w:tcPr>
            <w:tcW w:w="2340" w:type="dxa"/>
            <w:vAlign w:val="bottom"/>
          </w:tcPr>
          <w:p>
            <w:pPr>
              <w:spacing w:after="0"/>
              <w:rPr>
                <w:sz w:val="20"/>
                <w:szCs w:val="20"/>
                <w:color w:val="auto"/>
              </w:rPr>
            </w:pPr>
            <w:r>
              <w:rPr>
                <w:rFonts w:ascii="Times New Roman" w:cs="Times New Roman" w:eastAsia="Times New Roman" w:hAnsi="Times New Roman"/>
                <w:sz w:val="16"/>
                <w:szCs w:val="16"/>
                <w:color w:val="auto"/>
              </w:rPr>
              <w:t>Nine or more calls in wave 1</w:t>
            </w:r>
          </w:p>
        </w:tc>
        <w:tc>
          <w:tcPr>
            <w:tcW w:w="2920" w:type="dxa"/>
            <w:vAlign w:val="bottom"/>
          </w:tcPr>
          <w:p>
            <w:pPr>
              <w:spacing w:after="0"/>
              <w:rPr>
                <w:sz w:val="17"/>
                <w:szCs w:val="17"/>
                <w:color w:val="auto"/>
              </w:rPr>
            </w:pPr>
          </w:p>
        </w:tc>
        <w:tc>
          <w:tcPr>
            <w:tcW w:w="640" w:type="dxa"/>
            <w:vAlign w:val="bottom"/>
          </w:tcPr>
          <w:p>
            <w:pPr>
              <w:jc w:val="right"/>
              <w:spacing w:after="0"/>
              <w:rPr>
                <w:sz w:val="20"/>
                <w:szCs w:val="20"/>
                <w:color w:val="auto"/>
              </w:rPr>
            </w:pPr>
            <w:r>
              <w:rPr>
                <w:rFonts w:ascii="Times New Roman" w:cs="Times New Roman" w:eastAsia="Times New Roman" w:hAnsi="Times New Roman"/>
                <w:sz w:val="16"/>
                <w:szCs w:val="16"/>
                <w:color w:val="auto"/>
              </w:rPr>
              <w:t>0.25</w:t>
            </w:r>
          </w:p>
        </w:tc>
        <w:tc>
          <w:tcPr>
            <w:tcW w:w="560" w:type="dxa"/>
            <w:vAlign w:val="bottom"/>
          </w:tcPr>
          <w:p>
            <w:pPr>
              <w:jc w:val="right"/>
              <w:spacing w:after="0"/>
              <w:rPr>
                <w:sz w:val="20"/>
                <w:szCs w:val="20"/>
                <w:color w:val="auto"/>
              </w:rPr>
            </w:pPr>
            <w:r>
              <w:rPr>
                <w:rFonts w:ascii="Times New Roman" w:cs="Times New Roman" w:eastAsia="Times New Roman" w:hAnsi="Times New Roman"/>
                <w:sz w:val="16"/>
                <w:szCs w:val="16"/>
                <w:color w:val="auto"/>
                <w:w w:val="98"/>
              </w:rPr>
              <w:t>(0.11)**</w:t>
            </w:r>
          </w:p>
        </w:tc>
      </w:tr>
      <w:tr>
        <w:trPr>
          <w:trHeight w:val="200"/>
        </w:trPr>
        <w:tc>
          <w:tcPr>
            <w:tcW w:w="2340" w:type="dxa"/>
            <w:vAlign w:val="bottom"/>
          </w:tcPr>
          <w:p>
            <w:pPr>
              <w:spacing w:after="0"/>
              <w:rPr>
                <w:sz w:val="20"/>
                <w:szCs w:val="20"/>
                <w:color w:val="auto"/>
              </w:rPr>
            </w:pPr>
            <w:r>
              <w:rPr>
                <w:rFonts w:ascii="Times New Roman" w:cs="Times New Roman" w:eastAsia="Times New Roman" w:hAnsi="Times New Roman"/>
                <w:sz w:val="16"/>
                <w:szCs w:val="16"/>
                <w:color w:val="auto"/>
              </w:rPr>
              <w:t>Intercept</w:t>
            </w:r>
          </w:p>
        </w:tc>
        <w:tc>
          <w:tcPr>
            <w:tcW w:w="2920" w:type="dxa"/>
            <w:vAlign w:val="bottom"/>
          </w:tcPr>
          <w:p>
            <w:pPr>
              <w:spacing w:after="0"/>
              <w:rPr>
                <w:sz w:val="17"/>
                <w:szCs w:val="17"/>
                <w:color w:val="auto"/>
              </w:rPr>
            </w:pPr>
          </w:p>
        </w:tc>
        <w:tc>
          <w:tcPr>
            <w:tcW w:w="640" w:type="dxa"/>
            <w:vAlign w:val="bottom"/>
          </w:tcPr>
          <w:p>
            <w:pPr>
              <w:jc w:val="right"/>
              <w:spacing w:after="0"/>
              <w:rPr>
                <w:sz w:val="20"/>
                <w:szCs w:val="20"/>
                <w:color w:val="auto"/>
              </w:rPr>
            </w:pPr>
            <w:r>
              <w:rPr>
                <w:rFonts w:ascii="Times New Roman" w:cs="Times New Roman" w:eastAsia="Times New Roman" w:hAnsi="Times New Roman"/>
                <w:sz w:val="16"/>
                <w:szCs w:val="16"/>
                <w:color w:val="auto"/>
              </w:rPr>
              <w:t>0.70</w:t>
            </w:r>
          </w:p>
        </w:tc>
        <w:tc>
          <w:tcPr>
            <w:tcW w:w="560" w:type="dxa"/>
            <w:vAlign w:val="bottom"/>
          </w:tcPr>
          <w:p>
            <w:pPr>
              <w:jc w:val="right"/>
              <w:spacing w:after="0"/>
              <w:rPr>
                <w:sz w:val="20"/>
                <w:szCs w:val="20"/>
                <w:color w:val="auto"/>
              </w:rPr>
            </w:pPr>
            <w:r>
              <w:rPr>
                <w:rFonts w:ascii="Times New Roman" w:cs="Times New Roman" w:eastAsia="Times New Roman" w:hAnsi="Times New Roman"/>
                <w:sz w:val="16"/>
                <w:szCs w:val="16"/>
                <w:color w:val="auto"/>
                <w:w w:val="98"/>
              </w:rPr>
              <w:t>(0.29)**</w:t>
            </w:r>
          </w:p>
        </w:tc>
      </w:tr>
      <w:tr>
        <w:trPr>
          <w:trHeight w:val="225"/>
        </w:trPr>
        <w:tc>
          <w:tcPr>
            <w:tcW w:w="2340" w:type="dxa"/>
            <w:vAlign w:val="bottom"/>
          </w:tcPr>
          <w:p>
            <w:pPr>
              <w:spacing w:after="0" w:line="225" w:lineRule="exact"/>
              <w:rPr>
                <w:sz w:val="20"/>
                <w:szCs w:val="20"/>
                <w:color w:val="auto"/>
              </w:rPr>
            </w:pPr>
            <w:r>
              <w:rPr>
                <w:rFonts w:ascii="Arial" w:cs="Arial" w:eastAsia="Arial" w:hAnsi="Arial"/>
                <w:sz w:val="16"/>
                <w:szCs w:val="16"/>
                <w:color w:val="auto"/>
              </w:rPr>
              <w:t>R</w:t>
            </w:r>
            <w:r>
              <w:rPr>
                <w:rFonts w:ascii="Times New Roman" w:cs="Times New Roman" w:eastAsia="Times New Roman" w:hAnsi="Times New Roman"/>
                <w:sz w:val="21"/>
                <w:szCs w:val="21"/>
                <w:color w:val="auto"/>
                <w:vertAlign w:val="superscript"/>
              </w:rPr>
              <w:t>2</w:t>
            </w:r>
          </w:p>
        </w:tc>
        <w:tc>
          <w:tcPr>
            <w:tcW w:w="2920" w:type="dxa"/>
            <w:vAlign w:val="bottom"/>
          </w:tcPr>
          <w:p>
            <w:pPr>
              <w:spacing w:after="0"/>
              <w:rPr>
                <w:sz w:val="19"/>
                <w:szCs w:val="19"/>
                <w:color w:val="auto"/>
              </w:rPr>
            </w:pPr>
          </w:p>
        </w:tc>
        <w:tc>
          <w:tcPr>
            <w:tcW w:w="640" w:type="dxa"/>
            <w:vAlign w:val="bottom"/>
          </w:tcPr>
          <w:p>
            <w:pPr>
              <w:jc w:val="right"/>
              <w:spacing w:after="0"/>
              <w:rPr>
                <w:sz w:val="20"/>
                <w:szCs w:val="20"/>
                <w:color w:val="auto"/>
              </w:rPr>
            </w:pPr>
            <w:r>
              <w:rPr>
                <w:rFonts w:ascii="Times New Roman" w:cs="Times New Roman" w:eastAsia="Times New Roman" w:hAnsi="Times New Roman"/>
                <w:sz w:val="16"/>
                <w:szCs w:val="16"/>
                <w:color w:val="auto"/>
              </w:rPr>
              <w:t>0.21</w:t>
            </w:r>
          </w:p>
        </w:tc>
        <w:tc>
          <w:tcPr>
            <w:tcW w:w="560" w:type="dxa"/>
            <w:vAlign w:val="bottom"/>
          </w:tcPr>
          <w:p>
            <w:pPr>
              <w:spacing w:after="0"/>
              <w:rPr>
                <w:sz w:val="19"/>
                <w:szCs w:val="19"/>
                <w:color w:val="auto"/>
              </w:rPr>
            </w:pPr>
          </w:p>
        </w:tc>
      </w:tr>
      <w:tr>
        <w:trPr>
          <w:trHeight w:val="174"/>
        </w:trPr>
        <w:tc>
          <w:tcPr>
            <w:tcW w:w="2340" w:type="dxa"/>
            <w:vAlign w:val="bottom"/>
          </w:tcPr>
          <w:p>
            <w:pPr>
              <w:spacing w:after="0" w:line="175" w:lineRule="exact"/>
              <w:rPr>
                <w:sz w:val="20"/>
                <w:szCs w:val="20"/>
                <w:color w:val="auto"/>
              </w:rPr>
            </w:pPr>
            <w:r>
              <w:rPr>
                <w:rFonts w:ascii="Times New Roman" w:cs="Times New Roman" w:eastAsia="Times New Roman" w:hAnsi="Times New Roman"/>
                <w:sz w:val="16"/>
                <w:szCs w:val="16"/>
                <w:color w:val="auto"/>
              </w:rPr>
              <w:t>No. of observations</w:t>
            </w:r>
          </w:p>
        </w:tc>
        <w:tc>
          <w:tcPr>
            <w:tcW w:w="2920" w:type="dxa"/>
            <w:vAlign w:val="bottom"/>
          </w:tcPr>
          <w:p>
            <w:pPr>
              <w:spacing w:after="0"/>
              <w:rPr>
                <w:sz w:val="15"/>
                <w:szCs w:val="15"/>
                <w:color w:val="auto"/>
              </w:rPr>
            </w:pPr>
          </w:p>
        </w:tc>
        <w:tc>
          <w:tcPr>
            <w:tcW w:w="640" w:type="dxa"/>
            <w:vAlign w:val="bottom"/>
          </w:tcPr>
          <w:p>
            <w:pPr>
              <w:jc w:val="right"/>
              <w:ind w:right="140"/>
              <w:spacing w:after="0" w:line="175" w:lineRule="exact"/>
              <w:rPr>
                <w:sz w:val="20"/>
                <w:szCs w:val="20"/>
                <w:color w:val="auto"/>
              </w:rPr>
            </w:pPr>
            <w:r>
              <w:rPr>
                <w:rFonts w:ascii="Times New Roman" w:cs="Times New Roman" w:eastAsia="Times New Roman" w:hAnsi="Times New Roman"/>
                <w:sz w:val="16"/>
                <w:szCs w:val="16"/>
                <w:color w:val="auto"/>
              </w:rPr>
              <w:t>215</w:t>
            </w:r>
          </w:p>
        </w:tc>
        <w:tc>
          <w:tcPr>
            <w:tcW w:w="560" w:type="dxa"/>
            <w:vAlign w:val="bottom"/>
          </w:tcPr>
          <w:p>
            <w:pPr>
              <w:spacing w:after="0"/>
              <w:rPr>
                <w:sz w:val="15"/>
                <w:szCs w:val="15"/>
                <w:color w:val="auto"/>
              </w:rPr>
            </w:pPr>
          </w:p>
        </w:tc>
      </w:tr>
      <w:tr>
        <w:trPr>
          <w:trHeight w:val="43"/>
        </w:trPr>
        <w:tc>
          <w:tcPr>
            <w:tcW w:w="2340" w:type="dxa"/>
            <w:vAlign w:val="bottom"/>
            <w:tcBorders>
              <w:bottom w:val="single" w:sz="8" w:color="auto"/>
            </w:tcBorders>
          </w:tcPr>
          <w:p>
            <w:pPr>
              <w:spacing w:after="0"/>
              <w:rPr>
                <w:sz w:val="3"/>
                <w:szCs w:val="3"/>
                <w:color w:val="auto"/>
              </w:rPr>
            </w:pPr>
          </w:p>
        </w:tc>
        <w:tc>
          <w:tcPr>
            <w:tcW w:w="2920" w:type="dxa"/>
            <w:vAlign w:val="bottom"/>
            <w:tcBorders>
              <w:bottom w:val="single" w:sz="8" w:color="auto"/>
            </w:tcBorders>
          </w:tcPr>
          <w:p>
            <w:pPr>
              <w:spacing w:after="0"/>
              <w:rPr>
                <w:sz w:val="3"/>
                <w:szCs w:val="3"/>
                <w:color w:val="auto"/>
              </w:rPr>
            </w:pPr>
          </w:p>
        </w:tc>
        <w:tc>
          <w:tcPr>
            <w:tcW w:w="640" w:type="dxa"/>
            <w:vAlign w:val="bottom"/>
            <w:tcBorders>
              <w:bottom w:val="single" w:sz="8" w:color="auto"/>
            </w:tcBorders>
          </w:tcPr>
          <w:p>
            <w:pPr>
              <w:spacing w:after="0"/>
              <w:rPr>
                <w:sz w:val="3"/>
                <w:szCs w:val="3"/>
                <w:color w:val="auto"/>
              </w:rPr>
            </w:pPr>
          </w:p>
        </w:tc>
        <w:tc>
          <w:tcPr>
            <w:tcW w:w="560" w:type="dxa"/>
            <w:vAlign w:val="bottom"/>
            <w:tcBorders>
              <w:bottom w:val="single" w:sz="8" w:color="auto"/>
            </w:tcBorders>
          </w:tcPr>
          <w:p>
            <w:pPr>
              <w:spacing w:after="0"/>
              <w:rPr>
                <w:sz w:val="3"/>
                <w:szCs w:val="3"/>
                <w:color w:val="auto"/>
              </w:rPr>
            </w:pPr>
          </w:p>
        </w:tc>
      </w:tr>
    </w:tbl>
    <w:p>
      <w:pPr>
        <w:spacing w:after="0" w:line="79" w:lineRule="exact"/>
        <w:rPr>
          <w:sz w:val="20"/>
          <w:szCs w:val="20"/>
          <w:color w:val="auto"/>
        </w:rPr>
      </w:pPr>
    </w:p>
    <w:p>
      <w:pPr>
        <w:spacing w:after="0"/>
        <w:rPr>
          <w:sz w:val="20"/>
          <w:szCs w:val="20"/>
          <w:color w:val="auto"/>
        </w:rPr>
      </w:pPr>
      <w:r>
        <w:rPr>
          <w:rFonts w:ascii="Times New Roman" w:cs="Times New Roman" w:eastAsia="Times New Roman" w:hAnsi="Times New Roman"/>
          <w:sz w:val="16"/>
          <w:szCs w:val="16"/>
          <w:color w:val="auto"/>
        </w:rPr>
        <w:t>Note: Standard errors are given in parentheses.</w:t>
      </w:r>
    </w:p>
    <w:p>
      <w:pPr>
        <w:spacing w:after="0" w:line="19" w:lineRule="exact"/>
        <w:rPr>
          <w:sz w:val="20"/>
          <w:szCs w:val="20"/>
          <w:color w:val="auto"/>
        </w:rPr>
      </w:pPr>
    </w:p>
    <w:p>
      <w:pPr>
        <w:spacing w:after="0"/>
        <w:rPr>
          <w:sz w:val="20"/>
          <w:szCs w:val="20"/>
          <w:color w:val="auto"/>
        </w:rPr>
      </w:pPr>
      <w:r>
        <w:rPr>
          <w:rFonts w:ascii="Times New Roman" w:cs="Times New Roman" w:eastAsia="Times New Roman" w:hAnsi="Times New Roman"/>
          <w:sz w:val="16"/>
          <w:szCs w:val="16"/>
          <w:color w:val="auto"/>
        </w:rPr>
        <w:t xml:space="preserve">*.05 </w:t>
      </w:r>
      <w:r>
        <w:rPr>
          <w:rFonts w:ascii="Arial" w:cs="Arial" w:eastAsia="Arial" w:hAnsi="Arial"/>
          <w:sz w:val="16"/>
          <w:szCs w:val="16"/>
          <w:color w:val="auto"/>
        </w:rPr>
        <w:t>,</w:t>
      </w:r>
      <w:r>
        <w:rPr>
          <w:rFonts w:ascii="Times New Roman" w:cs="Times New Roman" w:eastAsia="Times New Roman" w:hAnsi="Times New Roman"/>
          <w:sz w:val="16"/>
          <w:szCs w:val="16"/>
          <w:color w:val="auto"/>
        </w:rPr>
        <w:t xml:space="preserve"> </w:t>
      </w:r>
      <w:r>
        <w:rPr>
          <w:rFonts w:ascii="Arial" w:cs="Arial" w:eastAsia="Arial" w:hAnsi="Arial"/>
          <w:sz w:val="16"/>
          <w:szCs w:val="16"/>
          <w:color w:val="auto"/>
        </w:rPr>
        <w:t>p</w:t>
      </w:r>
      <w:r>
        <w:rPr>
          <w:rFonts w:ascii="Times New Roman" w:cs="Times New Roman" w:eastAsia="Times New Roman" w:hAnsi="Times New Roman"/>
          <w:sz w:val="16"/>
          <w:szCs w:val="16"/>
          <w:color w:val="auto"/>
        </w:rPr>
        <w:t xml:space="preserve"> </w:t>
      </w:r>
      <w:r>
        <w:rPr>
          <w:rFonts w:ascii="Arial" w:cs="Arial" w:eastAsia="Arial" w:hAnsi="Arial"/>
          <w:sz w:val="16"/>
          <w:szCs w:val="16"/>
          <w:color w:val="auto"/>
        </w:rPr>
        <w:t>,</w:t>
      </w:r>
      <w:r>
        <w:rPr>
          <w:rFonts w:ascii="Times New Roman" w:cs="Times New Roman" w:eastAsia="Times New Roman" w:hAnsi="Times New Roman"/>
          <w:sz w:val="16"/>
          <w:szCs w:val="16"/>
          <w:color w:val="auto"/>
        </w:rPr>
        <w:t xml:space="preserve"> .10, **</w:t>
      </w:r>
      <w:r>
        <w:rPr>
          <w:rFonts w:ascii="Arial" w:cs="Arial" w:eastAsia="Arial" w:hAnsi="Arial"/>
          <w:sz w:val="16"/>
          <w:szCs w:val="16"/>
          <w:color w:val="auto"/>
        </w:rPr>
        <w:t>p</w:t>
      </w:r>
      <w:r>
        <w:rPr>
          <w:rFonts w:ascii="Times New Roman" w:cs="Times New Roman" w:eastAsia="Times New Roman" w:hAnsi="Times New Roman"/>
          <w:sz w:val="16"/>
          <w:szCs w:val="16"/>
          <w:color w:val="auto"/>
        </w:rPr>
        <w:t xml:space="preserve"> </w:t>
      </w:r>
      <w:r>
        <w:rPr>
          <w:rFonts w:ascii="Arial" w:cs="Arial" w:eastAsia="Arial" w:hAnsi="Arial"/>
          <w:sz w:val="16"/>
          <w:szCs w:val="16"/>
          <w:color w:val="auto"/>
        </w:rPr>
        <w:t>,</w:t>
      </w:r>
      <w:r>
        <w:rPr>
          <w:rFonts w:ascii="Times New Roman" w:cs="Times New Roman" w:eastAsia="Times New Roman" w:hAnsi="Times New Roman"/>
          <w:sz w:val="16"/>
          <w:szCs w:val="16"/>
          <w:color w:val="auto"/>
        </w:rPr>
        <w:t xml:space="preserve"> .05.</w:t>
      </w:r>
    </w:p>
    <w:p>
      <w:pPr>
        <w:spacing w:after="0" w:line="310" w:lineRule="exact"/>
        <w:rPr>
          <w:sz w:val="20"/>
          <w:szCs w:val="20"/>
          <w:color w:val="auto"/>
        </w:rPr>
      </w:pPr>
    </w:p>
    <w:p>
      <w:pPr>
        <w:jc w:val="both"/>
        <w:spacing w:after="0" w:line="245" w:lineRule="auto"/>
        <w:rPr>
          <w:sz w:val="20"/>
          <w:szCs w:val="20"/>
          <w:color w:val="auto"/>
        </w:rPr>
      </w:pPr>
      <w:r>
        <w:rPr>
          <w:rFonts w:ascii="Times New Roman" w:cs="Times New Roman" w:eastAsia="Times New Roman" w:hAnsi="Times New Roman"/>
          <w:sz w:val="21"/>
          <w:szCs w:val="21"/>
          <w:color w:val="auto"/>
        </w:rPr>
        <w:t>control group. This result is understandable: persons in the treatment group had already received a computer and the incentive to continue in the study was greatly reduced. Few of the other observed characteristics were related to attrition. Females were less likely to leave the sample than were males</w:t>
      </w:r>
    </w:p>
    <w:p>
      <w:pPr>
        <w:sectPr>
          <w:pgSz w:w="8640" w:h="13320" w:orient="portrait"/>
          <w:cols w:equalWidth="0" w:num="1">
            <w:col w:w="6460"/>
          </w:cols>
          <w:pgMar w:left="1240" w:top="771" w:right="940" w:bottom="687" w:gutter="0" w:footer="0" w:header="0"/>
        </w:sectPr>
      </w:pPr>
    </w:p>
    <w:bookmarkStart w:id="19" w:name="page20"/>
    <w:bookmarkEnd w:id="19"/>
    <w:p>
      <w:pPr>
        <w:spacing w:after="0"/>
        <w:tabs>
          <w:tab w:leader="none" w:pos="3460" w:val="left"/>
        </w:tabs>
        <w:rPr>
          <w:sz w:val="20"/>
          <w:szCs w:val="20"/>
          <w:color w:val="auto"/>
        </w:rPr>
      </w:pPr>
      <w:r>
        <w:rPr>
          <w:rFonts w:ascii="Times New Roman" w:cs="Times New Roman" w:eastAsia="Times New Roman" w:hAnsi="Times New Roman"/>
          <w:sz w:val="20"/>
          <w:szCs w:val="20"/>
          <w:color w:val="auto"/>
        </w:rPr>
        <w:t>290</w:t>
      </w:r>
      <w:r>
        <w:rPr>
          <w:sz w:val="20"/>
          <w:szCs w:val="20"/>
          <w:color w:val="auto"/>
        </w:rPr>
        <w:tab/>
      </w:r>
      <w:r>
        <w:rPr>
          <w:rFonts w:ascii="Times New Roman" w:cs="Times New Roman" w:eastAsia="Times New Roman" w:hAnsi="Times New Roman"/>
          <w:sz w:val="16"/>
          <w:szCs w:val="16"/>
          <w:color w:val="auto"/>
        </w:rPr>
        <w:t>THE JOURNAL OF CONSUMER AFFAIRS</w:t>
      </w:r>
    </w:p>
    <w:p>
      <w:pPr>
        <w:spacing w:after="0" w:line="200" w:lineRule="exact"/>
        <w:rPr>
          <w:sz w:val="20"/>
          <w:szCs w:val="20"/>
          <w:color w:val="auto"/>
        </w:rPr>
      </w:pPr>
    </w:p>
    <w:p>
      <w:pPr>
        <w:spacing w:after="0" w:line="344" w:lineRule="exact"/>
        <w:rPr>
          <w:sz w:val="20"/>
          <w:szCs w:val="20"/>
          <w:color w:val="auto"/>
        </w:rPr>
      </w:pPr>
    </w:p>
    <w:p>
      <w:pPr>
        <w:jc w:val="both"/>
        <w:spacing w:after="0" w:line="250" w:lineRule="auto"/>
        <w:rPr>
          <w:sz w:val="20"/>
          <w:szCs w:val="20"/>
          <w:color w:val="auto"/>
        </w:rPr>
      </w:pPr>
      <w:r>
        <w:rPr>
          <w:rFonts w:ascii="Times New Roman" w:cs="Times New Roman" w:eastAsia="Times New Roman" w:hAnsi="Times New Roman"/>
          <w:sz w:val="21"/>
          <w:szCs w:val="21"/>
          <w:color w:val="auto"/>
        </w:rPr>
        <w:t>and those with relatively few children were less likely to leave the sample than those with two or three children. However, the greatest correlate of attrition was the number of calls it took to obtain the baseline survey. The probability of participating in the follow-up survey was approximately 30 percentage points lower for those who required six or more calls to obtain the baseline interview than for those who needed only one or two calls.</w:t>
      </w:r>
    </w:p>
    <w:p>
      <w:pPr>
        <w:spacing w:after="0" w:line="45" w:lineRule="exact"/>
        <w:rPr>
          <w:sz w:val="20"/>
          <w:szCs w:val="20"/>
          <w:color w:val="auto"/>
        </w:rPr>
      </w:pPr>
    </w:p>
    <w:p>
      <w:pPr>
        <w:jc w:val="both"/>
        <w:ind w:firstLine="239"/>
        <w:spacing w:after="0" w:line="262" w:lineRule="auto"/>
        <w:rPr>
          <w:sz w:val="20"/>
          <w:szCs w:val="20"/>
          <w:color w:val="auto"/>
        </w:rPr>
      </w:pPr>
      <w:r>
        <w:rPr>
          <w:rFonts w:ascii="Times New Roman" w:cs="Times New Roman" w:eastAsia="Times New Roman" w:hAnsi="Times New Roman"/>
          <w:sz w:val="20"/>
          <w:szCs w:val="20"/>
          <w:color w:val="auto"/>
        </w:rPr>
        <w:t>Sample attrition can result in biased estimates of program effects. This is particularly true when the attrition is nonrandom as in the current case in which treatment group members were more likely to leave the sample. Other estimates in Table 2, however, suggest that this nonrandom attrition will not be a severe problem. Fortunately, sample attrition was unrelated to most observed characteristics. This implies that those who did not participate in the follow-up are no different than those that did, at least on the basis of many observed characteristics.</w:t>
      </w:r>
      <w:r>
        <w:rPr>
          <w:rFonts w:ascii="Times New Roman" w:cs="Times New Roman" w:eastAsia="Times New Roman" w:hAnsi="Times New Roman"/>
          <w:sz w:val="26"/>
          <w:szCs w:val="26"/>
          <w:color w:val="auto"/>
          <w:vertAlign w:val="superscript"/>
        </w:rPr>
        <w:t>9</w:t>
      </w:r>
      <w:r>
        <w:rPr>
          <w:rFonts w:ascii="Times New Roman" w:cs="Times New Roman" w:eastAsia="Times New Roman" w:hAnsi="Times New Roman"/>
          <w:sz w:val="20"/>
          <w:szCs w:val="20"/>
          <w:color w:val="auto"/>
        </w:rPr>
        <w:t xml:space="preserve"> It appears that those treatment group (and control group) members that left the sample were similar to those that stayed. The fact that those who were difficult to contact the first time were less likely to participate in the follow-up is understandable, as is the fact that those in the treatment group were less likely to participate. What is surpris-ing, but advantageous, is that these ‘‘leavers’’ were observationally very sim-ilar to ‘‘stayers.’’ Therefore, the bias due to attrition is likely to be small.</w:t>
      </w:r>
    </w:p>
    <w:p>
      <w:pPr>
        <w:spacing w:after="0" w:line="256" w:lineRule="exact"/>
        <w:rPr>
          <w:sz w:val="20"/>
          <w:szCs w:val="20"/>
          <w:color w:val="auto"/>
        </w:rPr>
      </w:pPr>
    </w:p>
    <w:p>
      <w:pPr>
        <w:spacing w:after="0"/>
        <w:rPr>
          <w:sz w:val="20"/>
          <w:szCs w:val="20"/>
          <w:color w:val="auto"/>
        </w:rPr>
      </w:pPr>
      <w:r>
        <w:rPr>
          <w:rFonts w:ascii="Arial" w:cs="Arial" w:eastAsia="Arial" w:hAnsi="Arial"/>
          <w:sz w:val="22"/>
          <w:szCs w:val="22"/>
          <w:color w:val="auto"/>
        </w:rPr>
        <w:t>Program Effects</w:t>
      </w:r>
    </w:p>
    <w:p>
      <w:pPr>
        <w:spacing w:after="0" w:line="305" w:lineRule="exact"/>
        <w:rPr>
          <w:sz w:val="20"/>
          <w:szCs w:val="20"/>
          <w:color w:val="auto"/>
        </w:rPr>
      </w:pPr>
    </w:p>
    <w:p>
      <w:pPr>
        <w:jc w:val="both"/>
        <w:ind w:firstLine="239"/>
        <w:spacing w:after="0" w:line="228" w:lineRule="auto"/>
        <w:rPr>
          <w:sz w:val="20"/>
          <w:szCs w:val="20"/>
          <w:color w:val="auto"/>
        </w:rPr>
      </w:pPr>
      <w:r>
        <w:rPr>
          <w:rFonts w:ascii="Times New Roman" w:cs="Times New Roman" w:eastAsia="Times New Roman" w:hAnsi="Times New Roman"/>
          <w:sz w:val="22"/>
          <w:szCs w:val="22"/>
          <w:color w:val="auto"/>
        </w:rPr>
        <w:t>We obtained estimates of the program effect using a pre- and post-test with comparison group research design, which is sometimes referred to as a difference-in-differences (DD) approach.</w:t>
      </w:r>
    </w:p>
    <w:p>
      <w:pPr>
        <w:spacing w:after="0" w:line="56" w:lineRule="exact"/>
        <w:rPr>
          <w:sz w:val="20"/>
          <w:szCs w:val="20"/>
          <w:color w:val="auto"/>
        </w:rPr>
      </w:pPr>
    </w:p>
    <w:p>
      <w:pPr>
        <w:jc w:val="both"/>
        <w:ind w:firstLine="239"/>
        <w:spacing w:after="0" w:line="238" w:lineRule="auto"/>
        <w:rPr>
          <w:sz w:val="20"/>
          <w:szCs w:val="20"/>
          <w:color w:val="auto"/>
        </w:rPr>
      </w:pPr>
      <w:r>
        <w:rPr>
          <w:rFonts w:ascii="Times New Roman" w:cs="Times New Roman" w:eastAsia="Times New Roman" w:hAnsi="Times New Roman"/>
          <w:sz w:val="22"/>
          <w:szCs w:val="22"/>
          <w:color w:val="auto"/>
        </w:rPr>
        <w:t>The underlying assumption of this research design is that pre- and post-intervention changes in outcomes would be the same for treatment and con-trol group members if there had been no intervention. This assumption is likely to be valid given the experimental design and the evidence presented in Table 2 as to the similarity of the treatment and control groups. Never-theless, the absence of perfect randomization and the fact that attrition was not random may result in some bias.</w:t>
      </w:r>
    </w:p>
    <w:p>
      <w:pPr>
        <w:spacing w:after="0" w:line="13" w:lineRule="exact"/>
        <w:rPr>
          <w:sz w:val="20"/>
          <w:szCs w:val="20"/>
          <w:color w:val="auto"/>
        </w:rPr>
      </w:pPr>
    </w:p>
    <w:p>
      <w:pPr>
        <w:jc w:val="both"/>
        <w:ind w:firstLine="239"/>
        <w:spacing w:after="0" w:line="216" w:lineRule="auto"/>
        <w:rPr>
          <w:sz w:val="20"/>
          <w:szCs w:val="20"/>
          <w:color w:val="auto"/>
        </w:rPr>
      </w:pPr>
      <w:r>
        <w:rPr>
          <w:rFonts w:ascii="Times New Roman" w:cs="Times New Roman" w:eastAsia="Times New Roman" w:hAnsi="Times New Roman"/>
          <w:sz w:val="21"/>
          <w:szCs w:val="21"/>
          <w:color w:val="auto"/>
        </w:rPr>
        <w:t>In Table 4, we present simple and (covariate) adjusted DD estimates.</w:t>
      </w:r>
      <w:r>
        <w:rPr>
          <w:rFonts w:ascii="Times New Roman" w:cs="Times New Roman" w:eastAsia="Times New Roman" w:hAnsi="Times New Roman"/>
          <w:sz w:val="28"/>
          <w:szCs w:val="28"/>
          <w:color w:val="auto"/>
          <w:vertAlign w:val="superscript"/>
        </w:rPr>
        <w:t>10</w:t>
      </w:r>
      <w:r>
        <w:rPr>
          <w:rFonts w:ascii="Times New Roman" w:cs="Times New Roman" w:eastAsia="Times New Roman" w:hAnsi="Times New Roman"/>
          <w:sz w:val="21"/>
          <w:szCs w:val="21"/>
          <w:color w:val="auto"/>
        </w:rPr>
        <w:t xml:space="preserve"> The first three columns pertain to the treatment group. The column 3</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-1270</wp:posOffset>
            </wp:positionH>
            <wp:positionV relativeFrom="paragraph">
              <wp:posOffset>297180</wp:posOffset>
            </wp:positionV>
            <wp:extent cx="1518285" cy="4763"/>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extLst>
                    </a:blip>
                    <a:srcRect/>
                    <a:stretch>
                      <a:fillRect/>
                    </a:stretch>
                  </pic:blipFill>
                  <pic:spPr bwMode="auto">
                    <a:xfrm>
                      <a:off x="0" y="0"/>
                      <a:ext cx="1518285" cy="4763"/>
                    </a:xfrm>
                    <a:prstGeom prst="rect">
                      <a:avLst/>
                    </a:prstGeom>
                    <a:noFill/>
                  </pic:spPr>
                </pic:pic>
              </a:graphicData>
            </a:graphic>
          </wp:anchor>
        </w:drawing>
      </w:r>
    </w:p>
    <w:p>
      <w:pPr>
        <w:spacing w:after="0" w:line="200" w:lineRule="exact"/>
        <w:rPr>
          <w:sz w:val="20"/>
          <w:szCs w:val="20"/>
          <w:color w:val="auto"/>
        </w:rPr>
      </w:pPr>
    </w:p>
    <w:p>
      <w:pPr>
        <w:spacing w:after="0" w:line="345" w:lineRule="exact"/>
        <w:rPr>
          <w:sz w:val="20"/>
          <w:szCs w:val="20"/>
          <w:color w:val="auto"/>
        </w:rPr>
      </w:pPr>
    </w:p>
    <w:p>
      <w:pPr>
        <w:ind w:left="460" w:hanging="204"/>
        <w:spacing w:after="0"/>
        <w:tabs>
          <w:tab w:leader="none" w:pos="460" w:val="left"/>
        </w:tabs>
        <w:numPr>
          <w:ilvl w:val="0"/>
          <w:numId w:val="9"/>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This implies that attrition is also unrelated to unobserved characteristics.</w:t>
      </w:r>
    </w:p>
    <w:p>
      <w:pPr>
        <w:spacing w:after="0" w:line="49" w:lineRule="exact"/>
        <w:rPr>
          <w:rFonts w:ascii="Times New Roman" w:cs="Times New Roman" w:eastAsia="Times New Roman" w:hAnsi="Times New Roman"/>
          <w:sz w:val="16"/>
          <w:szCs w:val="16"/>
          <w:color w:val="auto"/>
        </w:rPr>
      </w:pPr>
    </w:p>
    <w:p>
      <w:pPr>
        <w:jc w:val="both"/>
        <w:ind w:firstLine="177"/>
        <w:spacing w:after="0" w:line="244" w:lineRule="auto"/>
        <w:tabs>
          <w:tab w:leader="none" w:pos="458" w:val="left"/>
        </w:tabs>
        <w:numPr>
          <w:ilvl w:val="0"/>
          <w:numId w:val="9"/>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In Appendix 1, we use an unpaired sample. We use all valid observations form the baseline and follow-up survey to calculate means and differences. Appendix 1 provides a similar analysis using paired data—information from respondents that participated in both the baseline and the follow-up surveys.</w:t>
      </w:r>
    </w:p>
    <w:p>
      <w:pPr>
        <w:sectPr>
          <w:pgSz w:w="8640" w:h="13320" w:orient="portrait"/>
          <w:cols w:equalWidth="0" w:num="1">
            <w:col w:w="6460"/>
          </w:cols>
          <w:pgMar w:left="940" w:top="731" w:right="1240" w:bottom="691" w:gutter="0" w:footer="0" w:header="0"/>
        </w:sectPr>
      </w:pPr>
    </w:p>
    <w:bookmarkStart w:id="20" w:name="page21"/>
    <w:bookmarkEnd w:id="20"/>
    <w:p>
      <w:pPr>
        <w:spacing w:after="0" w:line="200" w:lineRule="exact"/>
        <w:rPr>
          <w:sz w:val="20"/>
          <w:szCs w:val="20"/>
          <w:color w:val="auto"/>
        </w:rPr>
      </w:pPr>
    </w:p>
    <w:p>
      <w:pPr>
        <w:spacing w:after="0" w:line="200" w:lineRule="exact"/>
        <w:rPr>
          <w:sz w:val="20"/>
          <w:szCs w:val="20"/>
          <w:color w:val="auto"/>
        </w:rPr>
      </w:pPr>
    </w:p>
    <w:p>
      <w:pPr>
        <w:spacing w:after="0" w:line="303" w:lineRule="exact"/>
        <w:rPr>
          <w:sz w:val="20"/>
          <w:szCs w:val="20"/>
          <w:color w:val="auto"/>
        </w:rPr>
      </w:pPr>
    </w:p>
    <w:p>
      <w:pPr>
        <w:spacing w:after="0"/>
        <w:rPr>
          <w:sz w:val="20"/>
          <w:szCs w:val="20"/>
          <w:color w:val="auto"/>
        </w:rPr>
      </w:pPr>
      <w:r>
        <w:rPr>
          <w:rFonts w:ascii="Times New Roman" w:cs="Times New Roman" w:eastAsia="Times New Roman" w:hAnsi="Times New Roman"/>
          <w:sz w:val="18"/>
          <w:szCs w:val="18"/>
          <w:color w:val="auto"/>
        </w:rPr>
        <w:t>TABLE 4</w:t>
      </w:r>
    </w:p>
    <w:p>
      <w:pPr>
        <w:spacing w:after="0" w:line="14" w:lineRule="exact"/>
        <w:rPr>
          <w:sz w:val="20"/>
          <w:szCs w:val="20"/>
          <w:color w:val="auto"/>
        </w:rPr>
      </w:pPr>
    </w:p>
    <w:p>
      <w:pPr>
        <w:spacing w:after="0"/>
        <w:rPr>
          <w:sz w:val="20"/>
          <w:szCs w:val="20"/>
          <w:color w:val="auto"/>
        </w:rPr>
      </w:pPr>
      <w:r>
        <w:rPr>
          <w:rFonts w:ascii="Arial" w:cs="Arial" w:eastAsia="Arial" w:hAnsi="Arial"/>
          <w:sz w:val="18"/>
          <w:szCs w:val="18"/>
          <w:color w:val="auto"/>
        </w:rPr>
        <w:t>Differences and DD Estimates of Program Effects Site 3 and Site 4 Combined (Unpaired Data Set)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-3810</wp:posOffset>
                </wp:positionH>
                <wp:positionV relativeFrom="paragraph">
                  <wp:posOffset>72390</wp:posOffset>
                </wp:positionV>
                <wp:extent cx="6673850" cy="0"/>
                <wp:wrapNone/>
                <wp:docPr id="12" name="Shape 1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673850" cy="4763"/>
                        </a:xfrm>
                        <a:prstGeom prst="line">
                          <a:avLst/>
                        </a:prstGeom>
                        <a:solidFill>
                          <a:srgbClr val="FFFFFF"/>
                        </a:solidFill>
                        <a:ln w="6477">
                          <a:solidFill>
                            <a:srgbClr val="000000"/>
                          </a:solidFill>
                          <a:miter lim="800000"/>
                          <a:headEnd/>
                          <a:tailEnd/>
                        </a:ln>
                      </wps:spPr>
                      <wps:bodyPr/>
                    </wps:wsp>
                  </a:graphicData>
                </a:graphic>
              </wp:anchor>
            </w:drawing>
          </mc:Choice>
          <mc:Fallback>
            <w:pict>
              <v:line id="Shape 12" o:spid="_x0000_s103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2999pt,5.7pt" to="525.2pt,5.7pt" o:allowincell="f" strokecolor="#000000" strokeweight="0.51pt"/>
            </w:pict>
          </mc:Fallback>
        </mc:AlternateContent>
      </w:r>
    </w:p>
    <w:p>
      <w:pPr>
        <w:spacing w:after="0" w:line="98" w:lineRule="exact"/>
        <w:rPr>
          <w:sz w:val="20"/>
          <w:szCs w:val="20"/>
          <w:color w:val="auto"/>
        </w:rPr>
      </w:pPr>
    </w:p>
    <w:tbl>
      <w:tblPr>
        <w:tblLayout w:type="fixed"/>
        <w:tblInd w:w="0" w:type="dxa"/>
        <w:tblCellMar>
          <w:top w:w="0" w:type="dxa"/>
          <w:left w:w="0" w:type="dxa"/>
          <w:bottom w:w="0" w:type="dxa"/>
          <w:right w:w="0" w:type="dxa"/>
        </w:tblCellMar>
      </w:tblPr>
      <w:tr>
        <w:trPr>
          <w:trHeight w:val="184"/>
        </w:trPr>
        <w:tc>
          <w:tcPr>
            <w:tcW w:w="2980" w:type="dxa"/>
            <w:vAlign w:val="bottom"/>
          </w:tcPr>
          <w:p>
            <w:pPr>
              <w:spacing w:after="0"/>
              <w:rPr>
                <w:sz w:val="16"/>
                <w:szCs w:val="16"/>
                <w:color w:val="auto"/>
              </w:rPr>
            </w:pPr>
          </w:p>
        </w:tc>
        <w:tc>
          <w:tcPr>
            <w:tcW w:w="540" w:type="dxa"/>
            <w:vAlign w:val="bottom"/>
          </w:tcPr>
          <w:p>
            <w:pPr>
              <w:spacing w:after="0"/>
              <w:rPr>
                <w:sz w:val="16"/>
                <w:szCs w:val="16"/>
                <w:color w:val="auto"/>
              </w:rPr>
            </w:pPr>
          </w:p>
        </w:tc>
        <w:tc>
          <w:tcPr>
            <w:tcW w:w="2060" w:type="dxa"/>
            <w:vAlign w:val="bottom"/>
            <w:gridSpan w:val="3"/>
          </w:tcPr>
          <w:p>
            <w:pPr>
              <w:ind w:left="180"/>
              <w:spacing w:after="0"/>
              <w:rPr>
                <w:sz w:val="20"/>
                <w:szCs w:val="20"/>
                <w:color w:val="auto"/>
              </w:rPr>
            </w:pPr>
            <w:r>
              <w:rPr>
                <w:rFonts w:ascii="Times New Roman" w:cs="Times New Roman" w:eastAsia="Times New Roman" w:hAnsi="Times New Roman"/>
                <w:sz w:val="16"/>
                <w:szCs w:val="16"/>
                <w:color w:val="auto"/>
              </w:rPr>
              <w:t>Treatment Group</w:t>
            </w:r>
          </w:p>
        </w:tc>
        <w:tc>
          <w:tcPr>
            <w:tcW w:w="80" w:type="dxa"/>
            <w:vAlign w:val="bottom"/>
          </w:tcPr>
          <w:p>
            <w:pPr>
              <w:spacing w:after="0"/>
              <w:rPr>
                <w:sz w:val="16"/>
                <w:szCs w:val="16"/>
                <w:color w:val="auto"/>
              </w:rPr>
            </w:pPr>
          </w:p>
        </w:tc>
        <w:tc>
          <w:tcPr>
            <w:tcW w:w="540" w:type="dxa"/>
            <w:vAlign w:val="bottom"/>
          </w:tcPr>
          <w:p>
            <w:pPr>
              <w:spacing w:after="0"/>
              <w:rPr>
                <w:sz w:val="16"/>
                <w:szCs w:val="16"/>
                <w:color w:val="auto"/>
              </w:rPr>
            </w:pPr>
          </w:p>
        </w:tc>
        <w:tc>
          <w:tcPr>
            <w:tcW w:w="2120" w:type="dxa"/>
            <w:vAlign w:val="bottom"/>
            <w:gridSpan w:val="3"/>
          </w:tcPr>
          <w:p>
            <w:pPr>
              <w:ind w:left="240"/>
              <w:spacing w:after="0"/>
              <w:rPr>
                <w:sz w:val="20"/>
                <w:szCs w:val="20"/>
                <w:color w:val="auto"/>
              </w:rPr>
            </w:pPr>
            <w:r>
              <w:rPr>
                <w:rFonts w:ascii="Times New Roman" w:cs="Times New Roman" w:eastAsia="Times New Roman" w:hAnsi="Times New Roman"/>
                <w:sz w:val="16"/>
                <w:szCs w:val="16"/>
                <w:color w:val="auto"/>
              </w:rPr>
              <w:t>Control Group</w:t>
            </w:r>
          </w:p>
        </w:tc>
        <w:tc>
          <w:tcPr>
            <w:tcW w:w="2180" w:type="dxa"/>
            <w:vAlign w:val="bottom"/>
            <w:gridSpan w:val="2"/>
          </w:tcPr>
          <w:p>
            <w:pPr>
              <w:jc w:val="right"/>
              <w:ind w:right="220"/>
              <w:spacing w:after="0"/>
              <w:rPr>
                <w:sz w:val="20"/>
                <w:szCs w:val="20"/>
                <w:color w:val="auto"/>
              </w:rPr>
            </w:pPr>
            <w:r>
              <w:rPr>
                <w:rFonts w:ascii="Times New Roman" w:cs="Times New Roman" w:eastAsia="Times New Roman" w:hAnsi="Times New Roman"/>
                <w:sz w:val="16"/>
                <w:szCs w:val="16"/>
                <w:color w:val="auto"/>
              </w:rPr>
              <w:t>DD Treatment—Control</w:t>
            </w:r>
          </w:p>
        </w:tc>
      </w:tr>
      <w:tr>
        <w:trPr>
          <w:trHeight w:val="72"/>
        </w:trPr>
        <w:tc>
          <w:tcPr>
            <w:tcW w:w="2980" w:type="dxa"/>
            <w:vAlign w:val="bottom"/>
          </w:tcPr>
          <w:p>
            <w:pPr>
              <w:spacing w:after="0"/>
              <w:rPr>
                <w:sz w:val="6"/>
                <w:szCs w:val="6"/>
                <w:color w:val="auto"/>
              </w:rPr>
            </w:pPr>
          </w:p>
        </w:tc>
        <w:tc>
          <w:tcPr>
            <w:tcW w:w="540" w:type="dxa"/>
            <w:vAlign w:val="bottom"/>
            <w:tcBorders>
              <w:bottom w:val="single" w:sz="8" w:color="auto"/>
            </w:tcBorders>
          </w:tcPr>
          <w:p>
            <w:pPr>
              <w:spacing w:after="0"/>
              <w:rPr>
                <w:sz w:val="6"/>
                <w:szCs w:val="6"/>
                <w:color w:val="auto"/>
              </w:rPr>
            </w:pPr>
          </w:p>
        </w:tc>
        <w:tc>
          <w:tcPr>
            <w:tcW w:w="680" w:type="dxa"/>
            <w:vAlign w:val="bottom"/>
            <w:tcBorders>
              <w:bottom w:val="single" w:sz="8" w:color="auto"/>
            </w:tcBorders>
          </w:tcPr>
          <w:p>
            <w:pPr>
              <w:spacing w:after="0"/>
              <w:rPr>
                <w:sz w:val="6"/>
                <w:szCs w:val="6"/>
                <w:color w:val="auto"/>
              </w:rPr>
            </w:pPr>
          </w:p>
        </w:tc>
        <w:tc>
          <w:tcPr>
            <w:tcW w:w="1300" w:type="dxa"/>
            <w:vAlign w:val="bottom"/>
            <w:tcBorders>
              <w:bottom w:val="single" w:sz="8" w:color="auto"/>
            </w:tcBorders>
          </w:tcPr>
          <w:p>
            <w:pPr>
              <w:spacing w:after="0"/>
              <w:rPr>
                <w:sz w:val="6"/>
                <w:szCs w:val="6"/>
                <w:color w:val="auto"/>
              </w:rPr>
            </w:pPr>
          </w:p>
        </w:tc>
        <w:tc>
          <w:tcPr>
            <w:tcW w:w="80" w:type="dxa"/>
            <w:vAlign w:val="bottom"/>
          </w:tcPr>
          <w:p>
            <w:pPr>
              <w:spacing w:after="0"/>
              <w:rPr>
                <w:sz w:val="6"/>
                <w:szCs w:val="6"/>
                <w:color w:val="auto"/>
              </w:rPr>
            </w:pPr>
          </w:p>
        </w:tc>
        <w:tc>
          <w:tcPr>
            <w:tcW w:w="80" w:type="dxa"/>
            <w:vAlign w:val="bottom"/>
          </w:tcPr>
          <w:p>
            <w:pPr>
              <w:spacing w:after="0"/>
              <w:rPr>
                <w:sz w:val="6"/>
                <w:szCs w:val="6"/>
                <w:color w:val="auto"/>
              </w:rPr>
            </w:pPr>
          </w:p>
        </w:tc>
        <w:tc>
          <w:tcPr>
            <w:tcW w:w="540" w:type="dxa"/>
            <w:vAlign w:val="bottom"/>
            <w:tcBorders>
              <w:bottom w:val="single" w:sz="8" w:color="auto"/>
            </w:tcBorders>
          </w:tcPr>
          <w:p>
            <w:pPr>
              <w:spacing w:after="0"/>
              <w:rPr>
                <w:sz w:val="6"/>
                <w:szCs w:val="6"/>
                <w:color w:val="auto"/>
              </w:rPr>
            </w:pPr>
          </w:p>
        </w:tc>
        <w:tc>
          <w:tcPr>
            <w:tcW w:w="660" w:type="dxa"/>
            <w:vAlign w:val="bottom"/>
            <w:tcBorders>
              <w:bottom w:val="single" w:sz="8" w:color="auto"/>
            </w:tcBorders>
          </w:tcPr>
          <w:p>
            <w:pPr>
              <w:spacing w:after="0"/>
              <w:rPr>
                <w:sz w:val="6"/>
                <w:szCs w:val="6"/>
                <w:color w:val="auto"/>
              </w:rPr>
            </w:pPr>
          </w:p>
        </w:tc>
        <w:tc>
          <w:tcPr>
            <w:tcW w:w="1320" w:type="dxa"/>
            <w:vAlign w:val="bottom"/>
            <w:tcBorders>
              <w:bottom w:val="single" w:sz="8" w:color="auto"/>
            </w:tcBorders>
          </w:tcPr>
          <w:p>
            <w:pPr>
              <w:spacing w:after="0"/>
              <w:rPr>
                <w:sz w:val="6"/>
                <w:szCs w:val="6"/>
                <w:color w:val="auto"/>
              </w:rPr>
            </w:pPr>
          </w:p>
        </w:tc>
        <w:tc>
          <w:tcPr>
            <w:tcW w:w="140" w:type="dxa"/>
            <w:vAlign w:val="bottom"/>
          </w:tcPr>
          <w:p>
            <w:pPr>
              <w:spacing w:after="0"/>
              <w:rPr>
                <w:sz w:val="6"/>
                <w:szCs w:val="6"/>
                <w:color w:val="auto"/>
              </w:rPr>
            </w:pPr>
          </w:p>
        </w:tc>
        <w:tc>
          <w:tcPr>
            <w:tcW w:w="1100" w:type="dxa"/>
            <w:vAlign w:val="bottom"/>
            <w:tcBorders>
              <w:bottom w:val="single" w:sz="8" w:color="auto"/>
            </w:tcBorders>
          </w:tcPr>
          <w:p>
            <w:pPr>
              <w:spacing w:after="0"/>
              <w:rPr>
                <w:sz w:val="6"/>
                <w:szCs w:val="6"/>
                <w:color w:val="auto"/>
              </w:rPr>
            </w:pPr>
          </w:p>
        </w:tc>
        <w:tc>
          <w:tcPr>
            <w:tcW w:w="1080" w:type="dxa"/>
            <w:vAlign w:val="bottom"/>
            <w:tcBorders>
              <w:bottom w:val="single" w:sz="8" w:color="auto"/>
            </w:tcBorders>
          </w:tcPr>
          <w:p>
            <w:pPr>
              <w:spacing w:after="0"/>
              <w:rPr>
                <w:sz w:val="6"/>
                <w:szCs w:val="6"/>
                <w:color w:val="auto"/>
              </w:rPr>
            </w:pPr>
          </w:p>
        </w:tc>
      </w:tr>
      <w:tr>
        <w:trPr>
          <w:trHeight w:val="181"/>
        </w:trPr>
        <w:tc>
          <w:tcPr>
            <w:tcW w:w="2980" w:type="dxa"/>
            <w:vAlign w:val="bottom"/>
          </w:tcPr>
          <w:p>
            <w:pPr>
              <w:spacing w:after="0"/>
              <w:rPr>
                <w:sz w:val="15"/>
                <w:szCs w:val="15"/>
                <w:color w:val="auto"/>
              </w:rPr>
            </w:pPr>
          </w:p>
        </w:tc>
        <w:tc>
          <w:tcPr>
            <w:tcW w:w="540" w:type="dxa"/>
            <w:vAlign w:val="bottom"/>
          </w:tcPr>
          <w:p>
            <w:pPr>
              <w:spacing w:after="0"/>
              <w:rPr>
                <w:sz w:val="15"/>
                <w:szCs w:val="15"/>
                <w:color w:val="auto"/>
              </w:rPr>
            </w:pPr>
          </w:p>
        </w:tc>
        <w:tc>
          <w:tcPr>
            <w:tcW w:w="680" w:type="dxa"/>
            <w:vAlign w:val="bottom"/>
          </w:tcPr>
          <w:p>
            <w:pPr>
              <w:spacing w:after="0"/>
              <w:rPr>
                <w:sz w:val="15"/>
                <w:szCs w:val="15"/>
                <w:color w:val="auto"/>
              </w:rPr>
            </w:pPr>
          </w:p>
        </w:tc>
        <w:tc>
          <w:tcPr>
            <w:tcW w:w="1380" w:type="dxa"/>
            <w:vAlign w:val="bottom"/>
            <w:gridSpan w:val="2"/>
          </w:tcPr>
          <w:p>
            <w:pPr>
              <w:ind w:left="340"/>
              <w:spacing w:after="0" w:line="181" w:lineRule="exact"/>
              <w:rPr>
                <w:sz w:val="20"/>
                <w:szCs w:val="20"/>
                <w:color w:val="auto"/>
              </w:rPr>
            </w:pPr>
            <w:r>
              <w:rPr>
                <w:rFonts w:ascii="Times New Roman" w:cs="Times New Roman" w:eastAsia="Times New Roman" w:hAnsi="Times New Roman"/>
                <w:sz w:val="16"/>
                <w:szCs w:val="16"/>
                <w:color w:val="auto"/>
              </w:rPr>
              <w:t>Difference:</w:t>
            </w:r>
          </w:p>
        </w:tc>
        <w:tc>
          <w:tcPr>
            <w:tcW w:w="80" w:type="dxa"/>
            <w:vAlign w:val="bottom"/>
          </w:tcPr>
          <w:p>
            <w:pPr>
              <w:spacing w:after="0"/>
              <w:rPr>
                <w:sz w:val="15"/>
                <w:szCs w:val="15"/>
                <w:color w:val="auto"/>
              </w:rPr>
            </w:pPr>
          </w:p>
        </w:tc>
        <w:tc>
          <w:tcPr>
            <w:tcW w:w="540" w:type="dxa"/>
            <w:vAlign w:val="bottom"/>
          </w:tcPr>
          <w:p>
            <w:pPr>
              <w:spacing w:after="0"/>
              <w:rPr>
                <w:sz w:val="15"/>
                <w:szCs w:val="15"/>
                <w:color w:val="auto"/>
              </w:rPr>
            </w:pPr>
          </w:p>
        </w:tc>
        <w:tc>
          <w:tcPr>
            <w:tcW w:w="660" w:type="dxa"/>
            <w:vAlign w:val="bottom"/>
          </w:tcPr>
          <w:p>
            <w:pPr>
              <w:spacing w:after="0"/>
              <w:rPr>
                <w:sz w:val="15"/>
                <w:szCs w:val="15"/>
                <w:color w:val="auto"/>
              </w:rPr>
            </w:pPr>
          </w:p>
        </w:tc>
        <w:tc>
          <w:tcPr>
            <w:tcW w:w="1460" w:type="dxa"/>
            <w:vAlign w:val="bottom"/>
            <w:gridSpan w:val="2"/>
          </w:tcPr>
          <w:p>
            <w:pPr>
              <w:ind w:left="340"/>
              <w:spacing w:after="0" w:line="181" w:lineRule="exact"/>
              <w:rPr>
                <w:sz w:val="20"/>
                <w:szCs w:val="20"/>
                <w:color w:val="auto"/>
              </w:rPr>
            </w:pPr>
            <w:r>
              <w:rPr>
                <w:rFonts w:ascii="Times New Roman" w:cs="Times New Roman" w:eastAsia="Times New Roman" w:hAnsi="Times New Roman"/>
                <w:sz w:val="16"/>
                <w:szCs w:val="16"/>
                <w:color w:val="auto"/>
              </w:rPr>
              <w:t>Difference:</w:t>
            </w:r>
          </w:p>
        </w:tc>
        <w:tc>
          <w:tcPr>
            <w:tcW w:w="1100" w:type="dxa"/>
            <w:vAlign w:val="bottom"/>
          </w:tcPr>
          <w:p>
            <w:pPr>
              <w:jc w:val="center"/>
              <w:spacing w:after="0" w:line="181" w:lineRule="exact"/>
              <w:rPr>
                <w:sz w:val="20"/>
                <w:szCs w:val="20"/>
                <w:color w:val="auto"/>
              </w:rPr>
            </w:pPr>
            <w:r>
              <w:rPr>
                <w:rFonts w:ascii="Times New Roman" w:cs="Times New Roman" w:eastAsia="Times New Roman" w:hAnsi="Times New Roman"/>
                <w:sz w:val="16"/>
                <w:szCs w:val="16"/>
                <w:color w:val="auto"/>
              </w:rPr>
              <w:t>No Covariate</w:t>
            </w:r>
          </w:p>
        </w:tc>
        <w:tc>
          <w:tcPr>
            <w:tcW w:w="1080" w:type="dxa"/>
            <w:vAlign w:val="bottom"/>
          </w:tcPr>
          <w:p>
            <w:pPr>
              <w:jc w:val="center"/>
              <w:spacing w:after="0" w:line="181" w:lineRule="exact"/>
              <w:rPr>
                <w:sz w:val="20"/>
                <w:szCs w:val="20"/>
                <w:color w:val="auto"/>
              </w:rPr>
            </w:pPr>
            <w:r>
              <w:rPr>
                <w:rFonts w:ascii="Times New Roman" w:cs="Times New Roman" w:eastAsia="Times New Roman" w:hAnsi="Times New Roman"/>
                <w:sz w:val="16"/>
                <w:szCs w:val="16"/>
                <w:color w:val="auto"/>
                <w:w w:val="96"/>
              </w:rPr>
              <w:t>Covariate</w:t>
            </w:r>
          </w:p>
        </w:tc>
      </w:tr>
      <w:tr>
        <w:trPr>
          <w:trHeight w:val="194"/>
        </w:trPr>
        <w:tc>
          <w:tcPr>
            <w:tcW w:w="2980" w:type="dxa"/>
            <w:vAlign w:val="bottom"/>
          </w:tcPr>
          <w:p>
            <w:pPr>
              <w:spacing w:after="0"/>
              <w:rPr>
                <w:sz w:val="16"/>
                <w:szCs w:val="16"/>
                <w:color w:val="auto"/>
              </w:rPr>
            </w:pPr>
          </w:p>
        </w:tc>
        <w:tc>
          <w:tcPr>
            <w:tcW w:w="540" w:type="dxa"/>
            <w:vAlign w:val="bottom"/>
          </w:tcPr>
          <w:p>
            <w:pPr>
              <w:spacing w:after="0"/>
              <w:rPr>
                <w:sz w:val="20"/>
                <w:szCs w:val="20"/>
                <w:color w:val="auto"/>
              </w:rPr>
            </w:pPr>
            <w:r>
              <w:rPr>
                <w:rFonts w:ascii="Times New Roman" w:cs="Times New Roman" w:eastAsia="Times New Roman" w:hAnsi="Times New Roman"/>
                <w:sz w:val="16"/>
                <w:szCs w:val="16"/>
                <w:color w:val="auto"/>
              </w:rPr>
              <w:t>Wave I</w:t>
            </w:r>
          </w:p>
        </w:tc>
        <w:tc>
          <w:tcPr>
            <w:tcW w:w="2060" w:type="dxa"/>
            <w:vAlign w:val="bottom"/>
            <w:gridSpan w:val="3"/>
          </w:tcPr>
          <w:p>
            <w:pPr>
              <w:ind w:left="80"/>
              <w:spacing w:after="0"/>
              <w:rPr>
                <w:sz w:val="20"/>
                <w:szCs w:val="20"/>
                <w:color w:val="auto"/>
              </w:rPr>
            </w:pPr>
            <w:r>
              <w:rPr>
                <w:rFonts w:ascii="Times New Roman" w:cs="Times New Roman" w:eastAsia="Times New Roman" w:hAnsi="Times New Roman"/>
                <w:sz w:val="16"/>
                <w:szCs w:val="16"/>
                <w:color w:val="auto"/>
              </w:rPr>
              <w:t xml:space="preserve">Wave II  Wave II </w:t>
            </w:r>
            <w:r>
              <w:rPr>
                <w:rFonts w:ascii="Arial" w:cs="Arial" w:eastAsia="Arial" w:hAnsi="Arial"/>
                <w:sz w:val="16"/>
                <w:szCs w:val="16"/>
                <w:color w:val="auto"/>
              </w:rPr>
              <w:t>2</w:t>
            </w:r>
            <w:r>
              <w:rPr>
                <w:rFonts w:ascii="Times New Roman" w:cs="Times New Roman" w:eastAsia="Times New Roman" w:hAnsi="Times New Roman"/>
                <w:sz w:val="16"/>
                <w:szCs w:val="16"/>
                <w:color w:val="auto"/>
              </w:rPr>
              <w:t xml:space="preserve"> Wave I</w:t>
            </w:r>
          </w:p>
        </w:tc>
        <w:tc>
          <w:tcPr>
            <w:tcW w:w="620" w:type="dxa"/>
            <w:vAlign w:val="bottom"/>
            <w:gridSpan w:val="2"/>
          </w:tcPr>
          <w:p>
            <w:pPr>
              <w:ind w:left="80"/>
              <w:spacing w:after="0"/>
              <w:rPr>
                <w:sz w:val="20"/>
                <w:szCs w:val="20"/>
                <w:color w:val="auto"/>
              </w:rPr>
            </w:pPr>
            <w:r>
              <w:rPr>
                <w:rFonts w:ascii="Times New Roman" w:cs="Times New Roman" w:eastAsia="Times New Roman" w:hAnsi="Times New Roman"/>
                <w:sz w:val="16"/>
                <w:szCs w:val="16"/>
                <w:color w:val="auto"/>
              </w:rPr>
              <w:t>Wave I</w:t>
            </w:r>
          </w:p>
        </w:tc>
        <w:tc>
          <w:tcPr>
            <w:tcW w:w="2120" w:type="dxa"/>
            <w:vAlign w:val="bottom"/>
            <w:gridSpan w:val="3"/>
          </w:tcPr>
          <w:p>
            <w:pPr>
              <w:ind w:left="80"/>
              <w:spacing w:after="0"/>
              <w:rPr>
                <w:sz w:val="20"/>
                <w:szCs w:val="20"/>
                <w:color w:val="auto"/>
              </w:rPr>
            </w:pPr>
            <w:r>
              <w:rPr>
                <w:rFonts w:ascii="Times New Roman" w:cs="Times New Roman" w:eastAsia="Times New Roman" w:hAnsi="Times New Roman"/>
                <w:sz w:val="16"/>
                <w:szCs w:val="16"/>
                <w:color w:val="auto"/>
              </w:rPr>
              <w:t xml:space="preserve">Wave II  Wave II </w:t>
            </w:r>
            <w:r>
              <w:rPr>
                <w:rFonts w:ascii="Arial" w:cs="Arial" w:eastAsia="Arial" w:hAnsi="Arial"/>
                <w:sz w:val="16"/>
                <w:szCs w:val="16"/>
                <w:color w:val="auto"/>
              </w:rPr>
              <w:t>2</w:t>
            </w:r>
            <w:r>
              <w:rPr>
                <w:rFonts w:ascii="Times New Roman" w:cs="Times New Roman" w:eastAsia="Times New Roman" w:hAnsi="Times New Roman"/>
                <w:sz w:val="16"/>
                <w:szCs w:val="16"/>
                <w:color w:val="auto"/>
              </w:rPr>
              <w:t xml:space="preserve"> Wave I</w:t>
            </w:r>
          </w:p>
        </w:tc>
        <w:tc>
          <w:tcPr>
            <w:tcW w:w="1100" w:type="dxa"/>
            <w:vAlign w:val="bottom"/>
          </w:tcPr>
          <w:p>
            <w:pPr>
              <w:jc w:val="center"/>
              <w:spacing w:after="0"/>
              <w:rPr>
                <w:sz w:val="20"/>
                <w:szCs w:val="20"/>
                <w:color w:val="auto"/>
              </w:rPr>
            </w:pPr>
            <w:r>
              <w:rPr>
                <w:rFonts w:ascii="Times New Roman" w:cs="Times New Roman" w:eastAsia="Times New Roman" w:hAnsi="Times New Roman"/>
                <w:sz w:val="16"/>
                <w:szCs w:val="16"/>
                <w:color w:val="auto"/>
                <w:w w:val="99"/>
              </w:rPr>
              <w:t>Adjustment</w:t>
            </w:r>
          </w:p>
        </w:tc>
        <w:tc>
          <w:tcPr>
            <w:tcW w:w="1080" w:type="dxa"/>
            <w:vAlign w:val="bottom"/>
          </w:tcPr>
          <w:p>
            <w:pPr>
              <w:jc w:val="center"/>
              <w:spacing w:after="0"/>
              <w:rPr>
                <w:sz w:val="20"/>
                <w:szCs w:val="20"/>
                <w:color w:val="auto"/>
              </w:rPr>
            </w:pPr>
            <w:r>
              <w:rPr>
                <w:rFonts w:ascii="Times New Roman" w:cs="Times New Roman" w:eastAsia="Times New Roman" w:hAnsi="Times New Roman"/>
                <w:sz w:val="16"/>
                <w:szCs w:val="16"/>
                <w:color w:val="auto"/>
                <w:w w:val="99"/>
              </w:rPr>
              <w:t>Adjustment</w:t>
            </w:r>
          </w:p>
        </w:tc>
      </w:tr>
      <w:tr>
        <w:trPr>
          <w:trHeight w:val="278"/>
        </w:trPr>
        <w:tc>
          <w:tcPr>
            <w:tcW w:w="2980" w:type="dxa"/>
            <w:vAlign w:val="bottom"/>
            <w:tcBorders>
              <w:bottom w:val="single" w:sz="8" w:color="auto"/>
            </w:tcBorders>
          </w:tcPr>
          <w:p>
            <w:pPr>
              <w:spacing w:after="0"/>
              <w:rPr>
                <w:sz w:val="20"/>
                <w:szCs w:val="20"/>
                <w:color w:val="auto"/>
              </w:rPr>
            </w:pPr>
            <w:r>
              <w:rPr>
                <w:rFonts w:ascii="Times New Roman" w:cs="Times New Roman" w:eastAsia="Times New Roman" w:hAnsi="Times New Roman"/>
                <w:sz w:val="16"/>
                <w:szCs w:val="16"/>
                <w:color w:val="auto"/>
              </w:rPr>
              <w:t>Variable</w:t>
            </w:r>
          </w:p>
        </w:tc>
        <w:tc>
          <w:tcPr>
            <w:tcW w:w="540" w:type="dxa"/>
            <w:vAlign w:val="bottom"/>
            <w:tcBorders>
              <w:bottom w:val="single" w:sz="8" w:color="auto"/>
            </w:tcBorders>
          </w:tcPr>
          <w:p>
            <w:pPr>
              <w:jc w:val="center"/>
              <w:spacing w:after="0"/>
              <w:rPr>
                <w:sz w:val="20"/>
                <w:szCs w:val="20"/>
                <w:color w:val="auto"/>
              </w:rPr>
            </w:pPr>
            <w:r>
              <w:rPr>
                <w:rFonts w:ascii="Times New Roman" w:cs="Times New Roman" w:eastAsia="Times New Roman" w:hAnsi="Times New Roman"/>
                <w:sz w:val="16"/>
                <w:szCs w:val="16"/>
                <w:color w:val="auto"/>
              </w:rPr>
              <w:t>(1)</w:t>
            </w:r>
          </w:p>
        </w:tc>
        <w:tc>
          <w:tcPr>
            <w:tcW w:w="680" w:type="dxa"/>
            <w:vAlign w:val="bottom"/>
            <w:tcBorders>
              <w:bottom w:val="single" w:sz="8" w:color="auto"/>
            </w:tcBorders>
          </w:tcPr>
          <w:p>
            <w:pPr>
              <w:jc w:val="center"/>
              <w:spacing w:after="0"/>
              <w:rPr>
                <w:sz w:val="20"/>
                <w:szCs w:val="20"/>
                <w:color w:val="auto"/>
              </w:rPr>
            </w:pPr>
            <w:r>
              <w:rPr>
                <w:rFonts w:ascii="Times New Roman" w:cs="Times New Roman" w:eastAsia="Times New Roman" w:hAnsi="Times New Roman"/>
                <w:sz w:val="16"/>
                <w:szCs w:val="16"/>
                <w:color w:val="auto"/>
                <w:w w:val="96"/>
              </w:rPr>
              <w:t>(2)</w:t>
            </w:r>
          </w:p>
        </w:tc>
        <w:tc>
          <w:tcPr>
            <w:tcW w:w="1300" w:type="dxa"/>
            <w:vAlign w:val="bottom"/>
            <w:tcBorders>
              <w:bottom w:val="single" w:sz="8" w:color="auto"/>
            </w:tcBorders>
          </w:tcPr>
          <w:p>
            <w:pPr>
              <w:jc w:val="right"/>
              <w:ind w:right="20"/>
              <w:spacing w:after="0"/>
              <w:rPr>
                <w:sz w:val="20"/>
                <w:szCs w:val="20"/>
                <w:color w:val="auto"/>
              </w:rPr>
            </w:pPr>
            <w:r>
              <w:rPr>
                <w:rFonts w:ascii="Times New Roman" w:cs="Times New Roman" w:eastAsia="Times New Roman" w:hAnsi="Times New Roman"/>
                <w:sz w:val="16"/>
                <w:szCs w:val="16"/>
                <w:color w:val="auto"/>
              </w:rPr>
              <w:t xml:space="preserve">(3) </w:t>
            </w:r>
            <w:r>
              <w:rPr>
                <w:rFonts w:ascii="Arial" w:cs="Arial" w:eastAsia="Arial" w:hAnsi="Arial"/>
                <w:sz w:val="16"/>
                <w:szCs w:val="16"/>
                <w:color w:val="auto"/>
              </w:rPr>
              <w:t>¼</w:t>
            </w:r>
            <w:r>
              <w:rPr>
                <w:rFonts w:ascii="Times New Roman" w:cs="Times New Roman" w:eastAsia="Times New Roman" w:hAnsi="Times New Roman"/>
                <w:sz w:val="16"/>
                <w:szCs w:val="16"/>
                <w:color w:val="auto"/>
              </w:rPr>
              <w:t xml:space="preserve"> (2) </w:t>
            </w:r>
            <w:r>
              <w:rPr>
                <w:rFonts w:ascii="Arial" w:cs="Arial" w:eastAsia="Arial" w:hAnsi="Arial"/>
                <w:sz w:val="16"/>
                <w:szCs w:val="16"/>
                <w:color w:val="auto"/>
              </w:rPr>
              <w:t>2</w:t>
            </w:r>
            <w:r>
              <w:rPr>
                <w:rFonts w:ascii="Times New Roman" w:cs="Times New Roman" w:eastAsia="Times New Roman" w:hAnsi="Times New Roman"/>
                <w:sz w:val="16"/>
                <w:szCs w:val="16"/>
                <w:color w:val="auto"/>
              </w:rPr>
              <w:t xml:space="preserve"> (1)</w:t>
            </w:r>
          </w:p>
        </w:tc>
        <w:tc>
          <w:tcPr>
            <w:tcW w:w="80" w:type="dxa"/>
            <w:vAlign w:val="bottom"/>
            <w:tcBorders>
              <w:bottom w:val="single" w:sz="8" w:color="auto"/>
            </w:tcBorders>
          </w:tcPr>
          <w:p>
            <w:pPr>
              <w:spacing w:after="0"/>
              <w:rPr>
                <w:sz w:val="24"/>
                <w:szCs w:val="24"/>
                <w:color w:val="auto"/>
              </w:rPr>
            </w:pPr>
          </w:p>
        </w:tc>
        <w:tc>
          <w:tcPr>
            <w:tcW w:w="620" w:type="dxa"/>
            <w:vAlign w:val="bottom"/>
            <w:tcBorders>
              <w:bottom w:val="single" w:sz="8" w:color="auto"/>
            </w:tcBorders>
            <w:gridSpan w:val="2"/>
          </w:tcPr>
          <w:p>
            <w:pPr>
              <w:jc w:val="center"/>
              <w:spacing w:after="0"/>
              <w:rPr>
                <w:sz w:val="20"/>
                <w:szCs w:val="20"/>
                <w:color w:val="auto"/>
              </w:rPr>
            </w:pPr>
            <w:r>
              <w:rPr>
                <w:rFonts w:ascii="Times New Roman" w:cs="Times New Roman" w:eastAsia="Times New Roman" w:hAnsi="Times New Roman"/>
                <w:sz w:val="16"/>
                <w:szCs w:val="16"/>
                <w:color w:val="auto"/>
                <w:w w:val="96"/>
              </w:rPr>
              <w:t>(4)</w:t>
            </w:r>
          </w:p>
        </w:tc>
        <w:tc>
          <w:tcPr>
            <w:tcW w:w="660" w:type="dxa"/>
            <w:vAlign w:val="bottom"/>
            <w:tcBorders>
              <w:bottom w:val="single" w:sz="8" w:color="auto"/>
            </w:tcBorders>
          </w:tcPr>
          <w:p>
            <w:pPr>
              <w:jc w:val="center"/>
              <w:spacing w:after="0"/>
              <w:rPr>
                <w:sz w:val="20"/>
                <w:szCs w:val="20"/>
                <w:color w:val="auto"/>
              </w:rPr>
            </w:pPr>
            <w:r>
              <w:rPr>
                <w:rFonts w:ascii="Times New Roman" w:cs="Times New Roman" w:eastAsia="Times New Roman" w:hAnsi="Times New Roman"/>
                <w:sz w:val="16"/>
                <w:szCs w:val="16"/>
                <w:color w:val="auto"/>
                <w:w w:val="96"/>
              </w:rPr>
              <w:t>(5)</w:t>
            </w:r>
          </w:p>
        </w:tc>
        <w:tc>
          <w:tcPr>
            <w:tcW w:w="1320" w:type="dxa"/>
            <w:vAlign w:val="bottom"/>
            <w:tcBorders>
              <w:bottom w:val="single" w:sz="8" w:color="auto"/>
            </w:tcBorders>
          </w:tcPr>
          <w:p>
            <w:pPr>
              <w:jc w:val="right"/>
              <w:ind w:right="20"/>
              <w:spacing w:after="0"/>
              <w:rPr>
                <w:sz w:val="20"/>
                <w:szCs w:val="20"/>
                <w:color w:val="auto"/>
              </w:rPr>
            </w:pPr>
            <w:r>
              <w:rPr>
                <w:rFonts w:ascii="Times New Roman" w:cs="Times New Roman" w:eastAsia="Times New Roman" w:hAnsi="Times New Roman"/>
                <w:sz w:val="16"/>
                <w:szCs w:val="16"/>
                <w:color w:val="auto"/>
              </w:rPr>
              <w:t xml:space="preserve">(6) </w:t>
            </w:r>
            <w:r>
              <w:rPr>
                <w:rFonts w:ascii="Arial" w:cs="Arial" w:eastAsia="Arial" w:hAnsi="Arial"/>
                <w:sz w:val="16"/>
                <w:szCs w:val="16"/>
                <w:color w:val="auto"/>
              </w:rPr>
              <w:t>¼</w:t>
            </w:r>
            <w:r>
              <w:rPr>
                <w:rFonts w:ascii="Times New Roman" w:cs="Times New Roman" w:eastAsia="Times New Roman" w:hAnsi="Times New Roman"/>
                <w:sz w:val="16"/>
                <w:szCs w:val="16"/>
                <w:color w:val="auto"/>
              </w:rPr>
              <w:t xml:space="preserve"> (5) </w:t>
            </w:r>
            <w:r>
              <w:rPr>
                <w:rFonts w:ascii="Arial" w:cs="Arial" w:eastAsia="Arial" w:hAnsi="Arial"/>
                <w:sz w:val="16"/>
                <w:szCs w:val="16"/>
                <w:color w:val="auto"/>
              </w:rPr>
              <w:t>2</w:t>
            </w:r>
            <w:r>
              <w:rPr>
                <w:rFonts w:ascii="Times New Roman" w:cs="Times New Roman" w:eastAsia="Times New Roman" w:hAnsi="Times New Roman"/>
                <w:sz w:val="16"/>
                <w:szCs w:val="16"/>
                <w:color w:val="auto"/>
              </w:rPr>
              <w:t xml:space="preserve"> (4)</w:t>
            </w:r>
          </w:p>
        </w:tc>
        <w:tc>
          <w:tcPr>
            <w:tcW w:w="140" w:type="dxa"/>
            <w:vAlign w:val="bottom"/>
            <w:tcBorders>
              <w:bottom w:val="single" w:sz="8" w:color="auto"/>
            </w:tcBorders>
          </w:tcPr>
          <w:p>
            <w:pPr>
              <w:spacing w:after="0"/>
              <w:rPr>
                <w:sz w:val="24"/>
                <w:szCs w:val="24"/>
                <w:color w:val="auto"/>
              </w:rPr>
            </w:pPr>
          </w:p>
        </w:tc>
        <w:tc>
          <w:tcPr>
            <w:tcW w:w="1100" w:type="dxa"/>
            <w:vAlign w:val="bottom"/>
            <w:tcBorders>
              <w:bottom w:val="single" w:sz="8" w:color="auto"/>
            </w:tcBorders>
          </w:tcPr>
          <w:p>
            <w:pPr>
              <w:jc w:val="center"/>
              <w:spacing w:after="0"/>
              <w:rPr>
                <w:sz w:val="20"/>
                <w:szCs w:val="20"/>
                <w:color w:val="auto"/>
              </w:rPr>
            </w:pPr>
            <w:r>
              <w:rPr>
                <w:rFonts w:ascii="Times New Roman" w:cs="Times New Roman" w:eastAsia="Times New Roman" w:hAnsi="Times New Roman"/>
                <w:sz w:val="16"/>
                <w:szCs w:val="16"/>
                <w:color w:val="auto"/>
              </w:rPr>
              <w:t xml:space="preserve">(7) </w:t>
            </w:r>
            <w:r>
              <w:rPr>
                <w:rFonts w:ascii="Arial" w:cs="Arial" w:eastAsia="Arial" w:hAnsi="Arial"/>
                <w:sz w:val="16"/>
                <w:szCs w:val="16"/>
                <w:color w:val="auto"/>
              </w:rPr>
              <w:t>¼</w:t>
            </w:r>
            <w:r>
              <w:rPr>
                <w:rFonts w:ascii="Times New Roman" w:cs="Times New Roman" w:eastAsia="Times New Roman" w:hAnsi="Times New Roman"/>
                <w:sz w:val="16"/>
                <w:szCs w:val="16"/>
                <w:color w:val="auto"/>
              </w:rPr>
              <w:t xml:space="preserve"> (3) </w:t>
            </w:r>
            <w:r>
              <w:rPr>
                <w:rFonts w:ascii="Arial" w:cs="Arial" w:eastAsia="Arial" w:hAnsi="Arial"/>
                <w:sz w:val="16"/>
                <w:szCs w:val="16"/>
                <w:color w:val="auto"/>
              </w:rPr>
              <w:t>2</w:t>
            </w:r>
            <w:r>
              <w:rPr>
                <w:rFonts w:ascii="Times New Roman" w:cs="Times New Roman" w:eastAsia="Times New Roman" w:hAnsi="Times New Roman"/>
                <w:sz w:val="16"/>
                <w:szCs w:val="16"/>
                <w:color w:val="auto"/>
              </w:rPr>
              <w:t xml:space="preserve"> (6)</w:t>
            </w:r>
          </w:p>
        </w:tc>
        <w:tc>
          <w:tcPr>
            <w:tcW w:w="1080" w:type="dxa"/>
            <w:vAlign w:val="bottom"/>
            <w:tcBorders>
              <w:bottom w:val="single" w:sz="8" w:color="auto"/>
            </w:tcBorders>
          </w:tcPr>
          <w:p>
            <w:pPr>
              <w:jc w:val="center"/>
              <w:spacing w:after="0"/>
              <w:rPr>
                <w:sz w:val="20"/>
                <w:szCs w:val="20"/>
                <w:color w:val="auto"/>
              </w:rPr>
            </w:pPr>
            <w:r>
              <w:rPr>
                <w:rFonts w:ascii="Times New Roman" w:cs="Times New Roman" w:eastAsia="Times New Roman" w:hAnsi="Times New Roman"/>
                <w:sz w:val="16"/>
                <w:szCs w:val="16"/>
                <w:color w:val="auto"/>
              </w:rPr>
              <w:t xml:space="preserve">(8) </w:t>
            </w:r>
            <w:r>
              <w:rPr>
                <w:rFonts w:ascii="Arial" w:cs="Arial" w:eastAsia="Arial" w:hAnsi="Arial"/>
                <w:sz w:val="16"/>
                <w:szCs w:val="16"/>
                <w:color w:val="auto"/>
              </w:rPr>
              <w:t>¼</w:t>
            </w:r>
            <w:r>
              <w:rPr>
                <w:rFonts w:ascii="Times New Roman" w:cs="Times New Roman" w:eastAsia="Times New Roman" w:hAnsi="Times New Roman"/>
                <w:sz w:val="16"/>
                <w:szCs w:val="16"/>
                <w:color w:val="auto"/>
              </w:rPr>
              <w:t xml:space="preserve"> (3) </w:t>
            </w:r>
            <w:r>
              <w:rPr>
                <w:rFonts w:ascii="Arial" w:cs="Arial" w:eastAsia="Arial" w:hAnsi="Arial"/>
                <w:sz w:val="16"/>
                <w:szCs w:val="16"/>
                <w:color w:val="auto"/>
              </w:rPr>
              <w:t>2</w:t>
            </w:r>
            <w:r>
              <w:rPr>
                <w:rFonts w:ascii="Times New Roman" w:cs="Times New Roman" w:eastAsia="Times New Roman" w:hAnsi="Times New Roman"/>
                <w:sz w:val="16"/>
                <w:szCs w:val="16"/>
                <w:color w:val="auto"/>
              </w:rPr>
              <w:t xml:space="preserve"> (6)</w:t>
            </w:r>
          </w:p>
        </w:tc>
      </w:tr>
      <w:tr>
        <w:trPr>
          <w:trHeight w:val="198"/>
        </w:trPr>
        <w:tc>
          <w:tcPr>
            <w:tcW w:w="2980" w:type="dxa"/>
            <w:vAlign w:val="bottom"/>
          </w:tcPr>
          <w:p>
            <w:pPr>
              <w:spacing w:after="0"/>
              <w:rPr>
                <w:sz w:val="20"/>
                <w:szCs w:val="20"/>
                <w:color w:val="auto"/>
              </w:rPr>
            </w:pPr>
            <w:r>
              <w:rPr>
                <w:rFonts w:ascii="Times New Roman" w:cs="Times New Roman" w:eastAsia="Times New Roman" w:hAnsi="Times New Roman"/>
                <w:sz w:val="16"/>
                <w:szCs w:val="16"/>
                <w:color w:val="auto"/>
              </w:rPr>
              <w:t>Has stocks, bonds, mutual funds</w:t>
            </w:r>
          </w:p>
        </w:tc>
        <w:tc>
          <w:tcPr>
            <w:tcW w:w="540" w:type="dxa"/>
            <w:vAlign w:val="bottom"/>
          </w:tcPr>
          <w:p>
            <w:pPr>
              <w:jc w:val="center"/>
              <w:spacing w:after="0"/>
              <w:rPr>
                <w:sz w:val="20"/>
                <w:szCs w:val="20"/>
                <w:color w:val="auto"/>
              </w:rPr>
            </w:pPr>
            <w:r>
              <w:rPr>
                <w:rFonts w:ascii="Times New Roman" w:cs="Times New Roman" w:eastAsia="Times New Roman" w:hAnsi="Times New Roman"/>
                <w:sz w:val="16"/>
                <w:szCs w:val="16"/>
                <w:color w:val="auto"/>
                <w:w w:val="99"/>
              </w:rPr>
              <w:t>0.11</w:t>
            </w:r>
          </w:p>
        </w:tc>
        <w:tc>
          <w:tcPr>
            <w:tcW w:w="680" w:type="dxa"/>
            <w:vAlign w:val="bottom"/>
          </w:tcPr>
          <w:p>
            <w:pPr>
              <w:jc w:val="center"/>
              <w:spacing w:after="0"/>
              <w:rPr>
                <w:sz w:val="20"/>
                <w:szCs w:val="20"/>
                <w:color w:val="auto"/>
              </w:rPr>
            </w:pPr>
            <w:r>
              <w:rPr>
                <w:rFonts w:ascii="Times New Roman" w:cs="Times New Roman" w:eastAsia="Times New Roman" w:hAnsi="Times New Roman"/>
                <w:sz w:val="16"/>
                <w:szCs w:val="16"/>
                <w:color w:val="auto"/>
                <w:w w:val="99"/>
              </w:rPr>
              <w:t>0.20</w:t>
            </w:r>
          </w:p>
        </w:tc>
        <w:tc>
          <w:tcPr>
            <w:tcW w:w="1300" w:type="dxa"/>
            <w:vAlign w:val="bottom"/>
          </w:tcPr>
          <w:p>
            <w:pPr>
              <w:jc w:val="right"/>
              <w:ind w:right="320"/>
              <w:spacing w:after="0"/>
              <w:rPr>
                <w:sz w:val="20"/>
                <w:szCs w:val="20"/>
                <w:color w:val="auto"/>
              </w:rPr>
            </w:pPr>
            <w:r>
              <w:rPr>
                <w:rFonts w:ascii="Times New Roman" w:cs="Times New Roman" w:eastAsia="Times New Roman" w:hAnsi="Times New Roman"/>
                <w:sz w:val="16"/>
                <w:szCs w:val="16"/>
                <w:color w:val="auto"/>
              </w:rPr>
              <w:t>0.09*</w:t>
            </w:r>
          </w:p>
        </w:tc>
        <w:tc>
          <w:tcPr>
            <w:tcW w:w="80" w:type="dxa"/>
            <w:vAlign w:val="bottom"/>
          </w:tcPr>
          <w:p>
            <w:pPr>
              <w:spacing w:after="0"/>
              <w:rPr>
                <w:sz w:val="17"/>
                <w:szCs w:val="17"/>
                <w:color w:val="auto"/>
              </w:rPr>
            </w:pPr>
          </w:p>
        </w:tc>
        <w:tc>
          <w:tcPr>
            <w:tcW w:w="620" w:type="dxa"/>
            <w:vAlign w:val="bottom"/>
            <w:gridSpan w:val="2"/>
          </w:tcPr>
          <w:p>
            <w:pPr>
              <w:jc w:val="center"/>
              <w:spacing w:after="0"/>
              <w:rPr>
                <w:sz w:val="20"/>
                <w:szCs w:val="20"/>
                <w:color w:val="auto"/>
              </w:rPr>
            </w:pPr>
            <w:r>
              <w:rPr>
                <w:rFonts w:ascii="Times New Roman" w:cs="Times New Roman" w:eastAsia="Times New Roman" w:hAnsi="Times New Roman"/>
                <w:sz w:val="16"/>
                <w:szCs w:val="16"/>
                <w:color w:val="auto"/>
                <w:w w:val="99"/>
              </w:rPr>
              <w:t>0.12</w:t>
            </w:r>
          </w:p>
        </w:tc>
        <w:tc>
          <w:tcPr>
            <w:tcW w:w="660" w:type="dxa"/>
            <w:vAlign w:val="bottom"/>
          </w:tcPr>
          <w:p>
            <w:pPr>
              <w:jc w:val="center"/>
              <w:spacing w:after="0"/>
              <w:rPr>
                <w:sz w:val="20"/>
                <w:szCs w:val="20"/>
                <w:color w:val="auto"/>
              </w:rPr>
            </w:pPr>
            <w:r>
              <w:rPr>
                <w:rFonts w:ascii="Times New Roman" w:cs="Times New Roman" w:eastAsia="Times New Roman" w:hAnsi="Times New Roman"/>
                <w:sz w:val="16"/>
                <w:szCs w:val="16"/>
                <w:color w:val="auto"/>
                <w:w w:val="99"/>
              </w:rPr>
              <w:t>0.10</w:t>
            </w:r>
          </w:p>
        </w:tc>
        <w:tc>
          <w:tcPr>
            <w:tcW w:w="1320" w:type="dxa"/>
            <w:vAlign w:val="bottom"/>
          </w:tcPr>
          <w:p>
            <w:pPr>
              <w:jc w:val="right"/>
              <w:ind w:right="400"/>
              <w:spacing w:after="0"/>
              <w:rPr>
                <w:sz w:val="20"/>
                <w:szCs w:val="20"/>
                <w:color w:val="auto"/>
              </w:rPr>
            </w:pPr>
            <w:r>
              <w:rPr>
                <w:rFonts w:ascii="Arial" w:cs="Arial" w:eastAsia="Arial" w:hAnsi="Arial"/>
                <w:sz w:val="16"/>
                <w:szCs w:val="16"/>
                <w:color w:val="auto"/>
              </w:rPr>
              <w:t>2</w:t>
            </w:r>
            <w:r>
              <w:rPr>
                <w:rFonts w:ascii="Times New Roman" w:cs="Times New Roman" w:eastAsia="Times New Roman" w:hAnsi="Times New Roman"/>
                <w:sz w:val="16"/>
                <w:szCs w:val="16"/>
                <w:color w:val="auto"/>
              </w:rPr>
              <w:t>0.02</w:t>
            </w:r>
          </w:p>
        </w:tc>
        <w:tc>
          <w:tcPr>
            <w:tcW w:w="140" w:type="dxa"/>
            <w:vAlign w:val="bottom"/>
          </w:tcPr>
          <w:p>
            <w:pPr>
              <w:spacing w:after="0"/>
              <w:rPr>
                <w:sz w:val="17"/>
                <w:szCs w:val="17"/>
                <w:color w:val="auto"/>
              </w:rPr>
            </w:pPr>
          </w:p>
        </w:tc>
        <w:tc>
          <w:tcPr>
            <w:tcW w:w="1100" w:type="dxa"/>
            <w:vAlign w:val="bottom"/>
          </w:tcPr>
          <w:p>
            <w:pPr>
              <w:jc w:val="right"/>
              <w:ind w:right="300"/>
              <w:spacing w:after="0"/>
              <w:rPr>
                <w:sz w:val="20"/>
                <w:szCs w:val="20"/>
                <w:color w:val="auto"/>
              </w:rPr>
            </w:pPr>
            <w:r>
              <w:rPr>
                <w:rFonts w:ascii="Times New Roman" w:cs="Times New Roman" w:eastAsia="Times New Roman" w:hAnsi="Times New Roman"/>
                <w:sz w:val="16"/>
                <w:szCs w:val="16"/>
                <w:color w:val="auto"/>
              </w:rPr>
              <w:t>0.11</w:t>
            </w:r>
          </w:p>
        </w:tc>
        <w:tc>
          <w:tcPr>
            <w:tcW w:w="1080" w:type="dxa"/>
            <w:vAlign w:val="bottom"/>
          </w:tcPr>
          <w:p>
            <w:pPr>
              <w:jc w:val="right"/>
              <w:ind w:right="260"/>
              <w:spacing w:after="0"/>
              <w:rPr>
                <w:sz w:val="20"/>
                <w:szCs w:val="20"/>
                <w:color w:val="auto"/>
              </w:rPr>
            </w:pPr>
            <w:r>
              <w:rPr>
                <w:rFonts w:ascii="Times New Roman" w:cs="Times New Roman" w:eastAsia="Times New Roman" w:hAnsi="Times New Roman"/>
                <w:sz w:val="16"/>
                <w:szCs w:val="16"/>
                <w:color w:val="auto"/>
              </w:rPr>
              <w:t>0.06</w:t>
            </w:r>
          </w:p>
        </w:tc>
      </w:tr>
      <w:tr>
        <w:trPr>
          <w:trHeight w:val="200"/>
        </w:trPr>
        <w:tc>
          <w:tcPr>
            <w:tcW w:w="2980" w:type="dxa"/>
            <w:vAlign w:val="bottom"/>
          </w:tcPr>
          <w:p>
            <w:pPr>
              <w:spacing w:after="0"/>
              <w:rPr>
                <w:sz w:val="20"/>
                <w:szCs w:val="20"/>
                <w:color w:val="auto"/>
              </w:rPr>
            </w:pPr>
            <w:r>
              <w:rPr>
                <w:rFonts w:ascii="Times New Roman" w:cs="Times New Roman" w:eastAsia="Times New Roman" w:hAnsi="Times New Roman"/>
                <w:sz w:val="16"/>
                <w:szCs w:val="16"/>
                <w:color w:val="auto"/>
              </w:rPr>
              <w:t>Has credit card</w:t>
            </w:r>
          </w:p>
        </w:tc>
        <w:tc>
          <w:tcPr>
            <w:tcW w:w="540" w:type="dxa"/>
            <w:vAlign w:val="bottom"/>
          </w:tcPr>
          <w:p>
            <w:pPr>
              <w:jc w:val="center"/>
              <w:spacing w:after="0"/>
              <w:rPr>
                <w:sz w:val="20"/>
                <w:szCs w:val="20"/>
                <w:color w:val="auto"/>
              </w:rPr>
            </w:pPr>
            <w:r>
              <w:rPr>
                <w:rFonts w:ascii="Times New Roman" w:cs="Times New Roman" w:eastAsia="Times New Roman" w:hAnsi="Times New Roman"/>
                <w:sz w:val="16"/>
                <w:szCs w:val="16"/>
                <w:color w:val="auto"/>
                <w:w w:val="99"/>
              </w:rPr>
              <w:t>0.50</w:t>
            </w:r>
          </w:p>
        </w:tc>
        <w:tc>
          <w:tcPr>
            <w:tcW w:w="680" w:type="dxa"/>
            <w:vAlign w:val="bottom"/>
          </w:tcPr>
          <w:p>
            <w:pPr>
              <w:jc w:val="center"/>
              <w:spacing w:after="0"/>
              <w:rPr>
                <w:sz w:val="20"/>
                <w:szCs w:val="20"/>
                <w:color w:val="auto"/>
              </w:rPr>
            </w:pPr>
            <w:r>
              <w:rPr>
                <w:rFonts w:ascii="Times New Roman" w:cs="Times New Roman" w:eastAsia="Times New Roman" w:hAnsi="Times New Roman"/>
                <w:sz w:val="16"/>
                <w:szCs w:val="16"/>
                <w:color w:val="auto"/>
                <w:w w:val="99"/>
              </w:rPr>
              <w:t>0.56</w:t>
            </w:r>
          </w:p>
        </w:tc>
        <w:tc>
          <w:tcPr>
            <w:tcW w:w="1300" w:type="dxa"/>
            <w:vAlign w:val="bottom"/>
          </w:tcPr>
          <w:p>
            <w:pPr>
              <w:jc w:val="right"/>
              <w:ind w:right="400"/>
              <w:spacing w:after="0"/>
              <w:rPr>
                <w:sz w:val="20"/>
                <w:szCs w:val="20"/>
                <w:color w:val="auto"/>
              </w:rPr>
            </w:pPr>
            <w:r>
              <w:rPr>
                <w:rFonts w:ascii="Times New Roman" w:cs="Times New Roman" w:eastAsia="Times New Roman" w:hAnsi="Times New Roman"/>
                <w:sz w:val="16"/>
                <w:szCs w:val="16"/>
                <w:color w:val="auto"/>
              </w:rPr>
              <w:t>0.06</w:t>
            </w:r>
          </w:p>
        </w:tc>
        <w:tc>
          <w:tcPr>
            <w:tcW w:w="80" w:type="dxa"/>
            <w:vAlign w:val="bottom"/>
          </w:tcPr>
          <w:p>
            <w:pPr>
              <w:spacing w:after="0"/>
              <w:rPr>
                <w:sz w:val="17"/>
                <w:szCs w:val="17"/>
                <w:color w:val="auto"/>
              </w:rPr>
            </w:pPr>
          </w:p>
        </w:tc>
        <w:tc>
          <w:tcPr>
            <w:tcW w:w="620" w:type="dxa"/>
            <w:vAlign w:val="bottom"/>
            <w:gridSpan w:val="2"/>
          </w:tcPr>
          <w:p>
            <w:pPr>
              <w:jc w:val="center"/>
              <w:spacing w:after="0"/>
              <w:rPr>
                <w:sz w:val="20"/>
                <w:szCs w:val="20"/>
                <w:color w:val="auto"/>
              </w:rPr>
            </w:pPr>
            <w:r>
              <w:rPr>
                <w:rFonts w:ascii="Times New Roman" w:cs="Times New Roman" w:eastAsia="Times New Roman" w:hAnsi="Times New Roman"/>
                <w:sz w:val="16"/>
                <w:szCs w:val="16"/>
                <w:color w:val="auto"/>
                <w:w w:val="99"/>
              </w:rPr>
              <w:t>0.56</w:t>
            </w:r>
          </w:p>
        </w:tc>
        <w:tc>
          <w:tcPr>
            <w:tcW w:w="660" w:type="dxa"/>
            <w:vAlign w:val="bottom"/>
          </w:tcPr>
          <w:p>
            <w:pPr>
              <w:jc w:val="center"/>
              <w:spacing w:after="0"/>
              <w:rPr>
                <w:sz w:val="20"/>
                <w:szCs w:val="20"/>
                <w:color w:val="auto"/>
              </w:rPr>
            </w:pPr>
            <w:r>
              <w:rPr>
                <w:rFonts w:ascii="Times New Roman" w:cs="Times New Roman" w:eastAsia="Times New Roman" w:hAnsi="Times New Roman"/>
                <w:sz w:val="16"/>
                <w:szCs w:val="16"/>
                <w:color w:val="auto"/>
                <w:w w:val="99"/>
              </w:rPr>
              <w:t>0.64</w:t>
            </w:r>
          </w:p>
        </w:tc>
        <w:tc>
          <w:tcPr>
            <w:tcW w:w="1320" w:type="dxa"/>
            <w:vAlign w:val="bottom"/>
          </w:tcPr>
          <w:p>
            <w:pPr>
              <w:jc w:val="right"/>
              <w:ind w:right="400"/>
              <w:spacing w:after="0"/>
              <w:rPr>
                <w:sz w:val="20"/>
                <w:szCs w:val="20"/>
                <w:color w:val="auto"/>
              </w:rPr>
            </w:pPr>
            <w:r>
              <w:rPr>
                <w:rFonts w:ascii="Times New Roman" w:cs="Times New Roman" w:eastAsia="Times New Roman" w:hAnsi="Times New Roman"/>
                <w:sz w:val="16"/>
                <w:szCs w:val="16"/>
                <w:color w:val="auto"/>
              </w:rPr>
              <w:t>0.08</w:t>
            </w:r>
          </w:p>
        </w:tc>
        <w:tc>
          <w:tcPr>
            <w:tcW w:w="140" w:type="dxa"/>
            <w:vAlign w:val="bottom"/>
          </w:tcPr>
          <w:p>
            <w:pPr>
              <w:spacing w:after="0"/>
              <w:rPr>
                <w:sz w:val="17"/>
                <w:szCs w:val="17"/>
                <w:color w:val="auto"/>
              </w:rPr>
            </w:pPr>
          </w:p>
        </w:tc>
        <w:tc>
          <w:tcPr>
            <w:tcW w:w="1100" w:type="dxa"/>
            <w:vAlign w:val="bottom"/>
          </w:tcPr>
          <w:p>
            <w:pPr>
              <w:jc w:val="right"/>
              <w:ind w:right="300"/>
              <w:spacing w:after="0"/>
              <w:rPr>
                <w:sz w:val="20"/>
                <w:szCs w:val="20"/>
                <w:color w:val="auto"/>
              </w:rPr>
            </w:pPr>
            <w:r>
              <w:rPr>
                <w:rFonts w:ascii="Arial" w:cs="Arial" w:eastAsia="Arial" w:hAnsi="Arial"/>
                <w:sz w:val="16"/>
                <w:szCs w:val="16"/>
                <w:color w:val="auto"/>
              </w:rPr>
              <w:t>2</w:t>
            </w:r>
            <w:r>
              <w:rPr>
                <w:rFonts w:ascii="Times New Roman" w:cs="Times New Roman" w:eastAsia="Times New Roman" w:hAnsi="Times New Roman"/>
                <w:sz w:val="16"/>
                <w:szCs w:val="16"/>
                <w:color w:val="auto"/>
              </w:rPr>
              <w:t>0.02</w:t>
            </w:r>
          </w:p>
        </w:tc>
        <w:tc>
          <w:tcPr>
            <w:tcW w:w="1080" w:type="dxa"/>
            <w:vAlign w:val="bottom"/>
          </w:tcPr>
          <w:p>
            <w:pPr>
              <w:jc w:val="right"/>
              <w:ind w:right="260"/>
              <w:spacing w:after="0"/>
              <w:rPr>
                <w:sz w:val="20"/>
                <w:szCs w:val="20"/>
                <w:color w:val="auto"/>
              </w:rPr>
            </w:pPr>
            <w:r>
              <w:rPr>
                <w:rFonts w:ascii="Times New Roman" w:cs="Times New Roman" w:eastAsia="Times New Roman" w:hAnsi="Times New Roman"/>
                <w:sz w:val="16"/>
                <w:szCs w:val="16"/>
                <w:color w:val="auto"/>
              </w:rPr>
              <w:t>0.02</w:t>
            </w:r>
          </w:p>
        </w:tc>
      </w:tr>
      <w:tr>
        <w:trPr>
          <w:trHeight w:val="198"/>
        </w:trPr>
        <w:tc>
          <w:tcPr>
            <w:tcW w:w="2980" w:type="dxa"/>
            <w:vAlign w:val="bottom"/>
          </w:tcPr>
          <w:p>
            <w:pPr>
              <w:spacing w:after="0"/>
              <w:rPr>
                <w:sz w:val="20"/>
                <w:szCs w:val="20"/>
                <w:color w:val="auto"/>
              </w:rPr>
            </w:pPr>
            <w:r>
              <w:rPr>
                <w:rFonts w:ascii="Times New Roman" w:cs="Times New Roman" w:eastAsia="Times New Roman" w:hAnsi="Times New Roman"/>
                <w:sz w:val="16"/>
                <w:szCs w:val="16"/>
                <w:color w:val="auto"/>
              </w:rPr>
              <w:t>Owns a mortgage</w:t>
            </w:r>
          </w:p>
        </w:tc>
        <w:tc>
          <w:tcPr>
            <w:tcW w:w="540" w:type="dxa"/>
            <w:vAlign w:val="bottom"/>
          </w:tcPr>
          <w:p>
            <w:pPr>
              <w:jc w:val="center"/>
              <w:spacing w:after="0"/>
              <w:rPr>
                <w:sz w:val="20"/>
                <w:szCs w:val="20"/>
                <w:color w:val="auto"/>
              </w:rPr>
            </w:pPr>
            <w:r>
              <w:rPr>
                <w:rFonts w:ascii="Times New Roman" w:cs="Times New Roman" w:eastAsia="Times New Roman" w:hAnsi="Times New Roman"/>
                <w:sz w:val="16"/>
                <w:szCs w:val="16"/>
                <w:color w:val="auto"/>
                <w:w w:val="99"/>
              </w:rPr>
              <w:t>0.13</w:t>
            </w:r>
          </w:p>
        </w:tc>
        <w:tc>
          <w:tcPr>
            <w:tcW w:w="680" w:type="dxa"/>
            <w:vAlign w:val="bottom"/>
          </w:tcPr>
          <w:p>
            <w:pPr>
              <w:jc w:val="center"/>
              <w:spacing w:after="0"/>
              <w:rPr>
                <w:sz w:val="20"/>
                <w:szCs w:val="20"/>
                <w:color w:val="auto"/>
              </w:rPr>
            </w:pPr>
            <w:r>
              <w:rPr>
                <w:rFonts w:ascii="Times New Roman" w:cs="Times New Roman" w:eastAsia="Times New Roman" w:hAnsi="Times New Roman"/>
                <w:sz w:val="16"/>
                <w:szCs w:val="16"/>
                <w:color w:val="auto"/>
                <w:w w:val="99"/>
              </w:rPr>
              <w:t>0.16</w:t>
            </w:r>
          </w:p>
        </w:tc>
        <w:tc>
          <w:tcPr>
            <w:tcW w:w="1300" w:type="dxa"/>
            <w:vAlign w:val="bottom"/>
          </w:tcPr>
          <w:p>
            <w:pPr>
              <w:jc w:val="right"/>
              <w:ind w:right="400"/>
              <w:spacing w:after="0"/>
              <w:rPr>
                <w:sz w:val="20"/>
                <w:szCs w:val="20"/>
                <w:color w:val="auto"/>
              </w:rPr>
            </w:pPr>
            <w:r>
              <w:rPr>
                <w:rFonts w:ascii="Times New Roman" w:cs="Times New Roman" w:eastAsia="Times New Roman" w:hAnsi="Times New Roman"/>
                <w:sz w:val="16"/>
                <w:szCs w:val="16"/>
                <w:color w:val="auto"/>
              </w:rPr>
              <w:t>0.03</w:t>
            </w:r>
          </w:p>
        </w:tc>
        <w:tc>
          <w:tcPr>
            <w:tcW w:w="80" w:type="dxa"/>
            <w:vAlign w:val="bottom"/>
          </w:tcPr>
          <w:p>
            <w:pPr>
              <w:spacing w:after="0"/>
              <w:rPr>
                <w:sz w:val="17"/>
                <w:szCs w:val="17"/>
                <w:color w:val="auto"/>
              </w:rPr>
            </w:pPr>
          </w:p>
        </w:tc>
        <w:tc>
          <w:tcPr>
            <w:tcW w:w="620" w:type="dxa"/>
            <w:vAlign w:val="bottom"/>
            <w:gridSpan w:val="2"/>
          </w:tcPr>
          <w:p>
            <w:pPr>
              <w:jc w:val="center"/>
              <w:spacing w:after="0"/>
              <w:rPr>
                <w:sz w:val="20"/>
                <w:szCs w:val="20"/>
                <w:color w:val="auto"/>
              </w:rPr>
            </w:pPr>
            <w:r>
              <w:rPr>
                <w:rFonts w:ascii="Times New Roman" w:cs="Times New Roman" w:eastAsia="Times New Roman" w:hAnsi="Times New Roman"/>
                <w:sz w:val="16"/>
                <w:szCs w:val="16"/>
                <w:color w:val="auto"/>
                <w:w w:val="99"/>
              </w:rPr>
              <w:t>0.08</w:t>
            </w:r>
          </w:p>
        </w:tc>
        <w:tc>
          <w:tcPr>
            <w:tcW w:w="660" w:type="dxa"/>
            <w:vAlign w:val="bottom"/>
          </w:tcPr>
          <w:p>
            <w:pPr>
              <w:jc w:val="center"/>
              <w:spacing w:after="0"/>
              <w:rPr>
                <w:sz w:val="20"/>
                <w:szCs w:val="20"/>
                <w:color w:val="auto"/>
              </w:rPr>
            </w:pPr>
            <w:r>
              <w:rPr>
                <w:rFonts w:ascii="Times New Roman" w:cs="Times New Roman" w:eastAsia="Times New Roman" w:hAnsi="Times New Roman"/>
                <w:sz w:val="16"/>
                <w:szCs w:val="16"/>
                <w:color w:val="auto"/>
                <w:w w:val="99"/>
              </w:rPr>
              <w:t>0.22</w:t>
            </w:r>
          </w:p>
        </w:tc>
        <w:tc>
          <w:tcPr>
            <w:tcW w:w="1320" w:type="dxa"/>
            <w:vAlign w:val="bottom"/>
          </w:tcPr>
          <w:p>
            <w:pPr>
              <w:jc w:val="right"/>
              <w:ind w:right="260"/>
              <w:spacing w:after="0"/>
              <w:rPr>
                <w:sz w:val="20"/>
                <w:szCs w:val="20"/>
                <w:color w:val="auto"/>
              </w:rPr>
            </w:pPr>
            <w:r>
              <w:rPr>
                <w:rFonts w:ascii="Times New Roman" w:cs="Times New Roman" w:eastAsia="Times New Roman" w:hAnsi="Times New Roman"/>
                <w:sz w:val="16"/>
                <w:szCs w:val="16"/>
                <w:color w:val="auto"/>
              </w:rPr>
              <w:t>0.14**</w:t>
            </w:r>
          </w:p>
        </w:tc>
        <w:tc>
          <w:tcPr>
            <w:tcW w:w="140" w:type="dxa"/>
            <w:vAlign w:val="bottom"/>
          </w:tcPr>
          <w:p>
            <w:pPr>
              <w:spacing w:after="0"/>
              <w:rPr>
                <w:sz w:val="17"/>
                <w:szCs w:val="17"/>
                <w:color w:val="auto"/>
              </w:rPr>
            </w:pPr>
          </w:p>
        </w:tc>
        <w:tc>
          <w:tcPr>
            <w:tcW w:w="1100" w:type="dxa"/>
            <w:vAlign w:val="bottom"/>
          </w:tcPr>
          <w:p>
            <w:pPr>
              <w:jc w:val="right"/>
              <w:ind w:right="300"/>
              <w:spacing w:after="0"/>
              <w:rPr>
                <w:sz w:val="20"/>
                <w:szCs w:val="20"/>
                <w:color w:val="auto"/>
              </w:rPr>
            </w:pPr>
            <w:r>
              <w:rPr>
                <w:rFonts w:ascii="Arial" w:cs="Arial" w:eastAsia="Arial" w:hAnsi="Arial"/>
                <w:sz w:val="16"/>
                <w:szCs w:val="16"/>
                <w:color w:val="auto"/>
              </w:rPr>
              <w:t>2</w:t>
            </w:r>
            <w:r>
              <w:rPr>
                <w:rFonts w:ascii="Times New Roman" w:cs="Times New Roman" w:eastAsia="Times New Roman" w:hAnsi="Times New Roman"/>
                <w:sz w:val="16"/>
                <w:szCs w:val="16"/>
                <w:color w:val="auto"/>
              </w:rPr>
              <w:t>0.11</w:t>
            </w:r>
          </w:p>
        </w:tc>
        <w:tc>
          <w:tcPr>
            <w:tcW w:w="1080" w:type="dxa"/>
            <w:vAlign w:val="bottom"/>
          </w:tcPr>
          <w:p>
            <w:pPr>
              <w:jc w:val="right"/>
              <w:ind w:right="260"/>
              <w:spacing w:after="0"/>
              <w:rPr>
                <w:sz w:val="20"/>
                <w:szCs w:val="20"/>
                <w:color w:val="auto"/>
              </w:rPr>
            </w:pPr>
            <w:r>
              <w:rPr>
                <w:rFonts w:ascii="Arial" w:cs="Arial" w:eastAsia="Arial" w:hAnsi="Arial"/>
                <w:sz w:val="16"/>
                <w:szCs w:val="16"/>
                <w:color w:val="auto"/>
              </w:rPr>
              <w:t>2</w:t>
            </w:r>
            <w:r>
              <w:rPr>
                <w:rFonts w:ascii="Times New Roman" w:cs="Times New Roman" w:eastAsia="Times New Roman" w:hAnsi="Times New Roman"/>
                <w:sz w:val="16"/>
                <w:szCs w:val="16"/>
                <w:color w:val="auto"/>
              </w:rPr>
              <w:t>0.10</w:t>
            </w:r>
          </w:p>
        </w:tc>
      </w:tr>
      <w:tr>
        <w:trPr>
          <w:trHeight w:val="192"/>
        </w:trPr>
        <w:tc>
          <w:tcPr>
            <w:tcW w:w="2980" w:type="dxa"/>
            <w:vAlign w:val="bottom"/>
          </w:tcPr>
          <w:p>
            <w:pPr>
              <w:spacing w:after="0"/>
              <w:rPr>
                <w:sz w:val="20"/>
                <w:szCs w:val="20"/>
                <w:color w:val="auto"/>
              </w:rPr>
            </w:pPr>
            <w:r>
              <w:rPr>
                <w:rFonts w:ascii="Times New Roman" w:cs="Times New Roman" w:eastAsia="Times New Roman" w:hAnsi="Times New Roman"/>
                <w:sz w:val="16"/>
                <w:szCs w:val="16"/>
                <w:color w:val="auto"/>
              </w:rPr>
              <w:t>Banks online</w:t>
            </w:r>
          </w:p>
        </w:tc>
        <w:tc>
          <w:tcPr>
            <w:tcW w:w="540" w:type="dxa"/>
            <w:vAlign w:val="bottom"/>
          </w:tcPr>
          <w:p>
            <w:pPr>
              <w:jc w:val="center"/>
              <w:spacing w:after="0"/>
              <w:rPr>
                <w:sz w:val="20"/>
                <w:szCs w:val="20"/>
                <w:color w:val="auto"/>
              </w:rPr>
            </w:pPr>
            <w:r>
              <w:rPr>
                <w:rFonts w:ascii="Times New Roman" w:cs="Times New Roman" w:eastAsia="Times New Roman" w:hAnsi="Times New Roman"/>
                <w:sz w:val="16"/>
                <w:szCs w:val="16"/>
                <w:color w:val="auto"/>
                <w:w w:val="99"/>
              </w:rPr>
              <w:t>0.21</w:t>
            </w:r>
          </w:p>
        </w:tc>
        <w:tc>
          <w:tcPr>
            <w:tcW w:w="680" w:type="dxa"/>
            <w:vAlign w:val="bottom"/>
          </w:tcPr>
          <w:p>
            <w:pPr>
              <w:jc w:val="center"/>
              <w:spacing w:after="0"/>
              <w:rPr>
                <w:sz w:val="20"/>
                <w:szCs w:val="20"/>
                <w:color w:val="auto"/>
              </w:rPr>
            </w:pPr>
            <w:r>
              <w:rPr>
                <w:rFonts w:ascii="Times New Roman" w:cs="Times New Roman" w:eastAsia="Times New Roman" w:hAnsi="Times New Roman"/>
                <w:sz w:val="16"/>
                <w:szCs w:val="16"/>
                <w:color w:val="auto"/>
                <w:w w:val="99"/>
              </w:rPr>
              <w:t>0.34</w:t>
            </w:r>
          </w:p>
        </w:tc>
        <w:tc>
          <w:tcPr>
            <w:tcW w:w="1300" w:type="dxa"/>
            <w:vAlign w:val="bottom"/>
          </w:tcPr>
          <w:p>
            <w:pPr>
              <w:jc w:val="right"/>
              <w:ind w:right="240"/>
              <w:spacing w:after="0"/>
              <w:rPr>
                <w:sz w:val="20"/>
                <w:szCs w:val="20"/>
                <w:color w:val="auto"/>
              </w:rPr>
            </w:pPr>
            <w:r>
              <w:rPr>
                <w:rFonts w:ascii="Times New Roman" w:cs="Times New Roman" w:eastAsia="Times New Roman" w:hAnsi="Times New Roman"/>
                <w:sz w:val="16"/>
                <w:szCs w:val="16"/>
                <w:color w:val="auto"/>
              </w:rPr>
              <w:t>0.13**</w:t>
            </w:r>
          </w:p>
        </w:tc>
        <w:tc>
          <w:tcPr>
            <w:tcW w:w="80" w:type="dxa"/>
            <w:vAlign w:val="bottom"/>
          </w:tcPr>
          <w:p>
            <w:pPr>
              <w:spacing w:after="0"/>
              <w:rPr>
                <w:sz w:val="16"/>
                <w:szCs w:val="16"/>
                <w:color w:val="auto"/>
              </w:rPr>
            </w:pPr>
          </w:p>
        </w:tc>
        <w:tc>
          <w:tcPr>
            <w:tcW w:w="620" w:type="dxa"/>
            <w:vAlign w:val="bottom"/>
            <w:gridSpan w:val="2"/>
          </w:tcPr>
          <w:p>
            <w:pPr>
              <w:jc w:val="center"/>
              <w:spacing w:after="0"/>
              <w:rPr>
                <w:sz w:val="20"/>
                <w:szCs w:val="20"/>
                <w:color w:val="auto"/>
              </w:rPr>
            </w:pPr>
            <w:r>
              <w:rPr>
                <w:rFonts w:ascii="Times New Roman" w:cs="Times New Roman" w:eastAsia="Times New Roman" w:hAnsi="Times New Roman"/>
                <w:sz w:val="16"/>
                <w:szCs w:val="16"/>
                <w:color w:val="auto"/>
                <w:w w:val="99"/>
              </w:rPr>
              <w:t>0.10</w:t>
            </w:r>
          </w:p>
        </w:tc>
        <w:tc>
          <w:tcPr>
            <w:tcW w:w="660" w:type="dxa"/>
            <w:vAlign w:val="bottom"/>
          </w:tcPr>
          <w:p>
            <w:pPr>
              <w:jc w:val="center"/>
              <w:spacing w:after="0"/>
              <w:rPr>
                <w:sz w:val="20"/>
                <w:szCs w:val="20"/>
                <w:color w:val="auto"/>
              </w:rPr>
            </w:pPr>
            <w:r>
              <w:rPr>
                <w:rFonts w:ascii="Times New Roman" w:cs="Times New Roman" w:eastAsia="Times New Roman" w:hAnsi="Times New Roman"/>
                <w:sz w:val="16"/>
                <w:szCs w:val="16"/>
                <w:color w:val="auto"/>
                <w:w w:val="99"/>
              </w:rPr>
              <w:t>0.14</w:t>
            </w:r>
          </w:p>
        </w:tc>
        <w:tc>
          <w:tcPr>
            <w:tcW w:w="1320" w:type="dxa"/>
            <w:vAlign w:val="bottom"/>
          </w:tcPr>
          <w:p>
            <w:pPr>
              <w:jc w:val="right"/>
              <w:ind w:right="400"/>
              <w:spacing w:after="0"/>
              <w:rPr>
                <w:sz w:val="20"/>
                <w:szCs w:val="20"/>
                <w:color w:val="auto"/>
              </w:rPr>
            </w:pPr>
            <w:r>
              <w:rPr>
                <w:rFonts w:ascii="Times New Roman" w:cs="Times New Roman" w:eastAsia="Times New Roman" w:hAnsi="Times New Roman"/>
                <w:sz w:val="16"/>
                <w:szCs w:val="16"/>
                <w:color w:val="auto"/>
              </w:rPr>
              <w:t>0.04</w:t>
            </w:r>
          </w:p>
        </w:tc>
        <w:tc>
          <w:tcPr>
            <w:tcW w:w="140" w:type="dxa"/>
            <w:vAlign w:val="bottom"/>
          </w:tcPr>
          <w:p>
            <w:pPr>
              <w:spacing w:after="0"/>
              <w:rPr>
                <w:sz w:val="16"/>
                <w:szCs w:val="16"/>
                <w:color w:val="auto"/>
              </w:rPr>
            </w:pPr>
          </w:p>
        </w:tc>
        <w:tc>
          <w:tcPr>
            <w:tcW w:w="1100" w:type="dxa"/>
            <w:vAlign w:val="bottom"/>
          </w:tcPr>
          <w:p>
            <w:pPr>
              <w:jc w:val="right"/>
              <w:ind w:right="300"/>
              <w:spacing w:after="0"/>
              <w:rPr>
                <w:sz w:val="20"/>
                <w:szCs w:val="20"/>
                <w:color w:val="auto"/>
              </w:rPr>
            </w:pPr>
            <w:r>
              <w:rPr>
                <w:rFonts w:ascii="Times New Roman" w:cs="Times New Roman" w:eastAsia="Times New Roman" w:hAnsi="Times New Roman"/>
                <w:sz w:val="16"/>
                <w:szCs w:val="16"/>
                <w:color w:val="auto"/>
              </w:rPr>
              <w:t>0.09</w:t>
            </w:r>
          </w:p>
        </w:tc>
        <w:tc>
          <w:tcPr>
            <w:tcW w:w="1080" w:type="dxa"/>
            <w:vAlign w:val="bottom"/>
          </w:tcPr>
          <w:p>
            <w:pPr>
              <w:jc w:val="right"/>
              <w:ind w:right="180"/>
              <w:spacing w:after="0"/>
              <w:rPr>
                <w:sz w:val="20"/>
                <w:szCs w:val="20"/>
                <w:color w:val="auto"/>
              </w:rPr>
            </w:pPr>
            <w:r>
              <w:rPr>
                <w:rFonts w:ascii="Times New Roman" w:cs="Times New Roman" w:eastAsia="Times New Roman" w:hAnsi="Times New Roman"/>
                <w:sz w:val="16"/>
                <w:szCs w:val="16"/>
                <w:color w:val="auto"/>
              </w:rPr>
              <w:t>0.15*</w:t>
            </w:r>
          </w:p>
        </w:tc>
      </w:tr>
      <w:tr>
        <w:trPr>
          <w:trHeight w:val="208"/>
        </w:trPr>
        <w:tc>
          <w:tcPr>
            <w:tcW w:w="2980" w:type="dxa"/>
            <w:vAlign w:val="bottom"/>
          </w:tcPr>
          <w:p>
            <w:pPr>
              <w:spacing w:after="0"/>
              <w:rPr>
                <w:sz w:val="20"/>
                <w:szCs w:val="20"/>
                <w:color w:val="auto"/>
              </w:rPr>
            </w:pPr>
            <w:r>
              <w:rPr>
                <w:rFonts w:ascii="Times New Roman" w:cs="Times New Roman" w:eastAsia="Times New Roman" w:hAnsi="Times New Roman"/>
                <w:sz w:val="16"/>
                <w:szCs w:val="16"/>
                <w:color w:val="auto"/>
              </w:rPr>
              <w:t>Banks by phone</w:t>
            </w:r>
          </w:p>
        </w:tc>
        <w:tc>
          <w:tcPr>
            <w:tcW w:w="540" w:type="dxa"/>
            <w:vAlign w:val="bottom"/>
          </w:tcPr>
          <w:p>
            <w:pPr>
              <w:jc w:val="center"/>
              <w:spacing w:after="0"/>
              <w:rPr>
                <w:sz w:val="20"/>
                <w:szCs w:val="20"/>
                <w:color w:val="auto"/>
              </w:rPr>
            </w:pPr>
            <w:r>
              <w:rPr>
                <w:rFonts w:ascii="Times New Roman" w:cs="Times New Roman" w:eastAsia="Times New Roman" w:hAnsi="Times New Roman"/>
                <w:sz w:val="16"/>
                <w:szCs w:val="16"/>
                <w:color w:val="auto"/>
                <w:w w:val="99"/>
              </w:rPr>
              <w:t>0.47</w:t>
            </w:r>
          </w:p>
        </w:tc>
        <w:tc>
          <w:tcPr>
            <w:tcW w:w="680" w:type="dxa"/>
            <w:vAlign w:val="bottom"/>
          </w:tcPr>
          <w:p>
            <w:pPr>
              <w:jc w:val="center"/>
              <w:spacing w:after="0"/>
              <w:rPr>
                <w:sz w:val="20"/>
                <w:szCs w:val="20"/>
                <w:color w:val="auto"/>
              </w:rPr>
            </w:pPr>
            <w:r>
              <w:rPr>
                <w:rFonts w:ascii="Times New Roman" w:cs="Times New Roman" w:eastAsia="Times New Roman" w:hAnsi="Times New Roman"/>
                <w:sz w:val="16"/>
                <w:szCs w:val="16"/>
                <w:color w:val="auto"/>
                <w:w w:val="99"/>
              </w:rPr>
              <w:t>0.41</w:t>
            </w:r>
          </w:p>
        </w:tc>
        <w:tc>
          <w:tcPr>
            <w:tcW w:w="1300" w:type="dxa"/>
            <w:vAlign w:val="bottom"/>
          </w:tcPr>
          <w:p>
            <w:pPr>
              <w:jc w:val="right"/>
              <w:ind w:right="400"/>
              <w:spacing w:after="0"/>
              <w:rPr>
                <w:sz w:val="20"/>
                <w:szCs w:val="20"/>
                <w:color w:val="auto"/>
              </w:rPr>
            </w:pPr>
            <w:r>
              <w:rPr>
                <w:rFonts w:ascii="Arial" w:cs="Arial" w:eastAsia="Arial" w:hAnsi="Arial"/>
                <w:sz w:val="16"/>
                <w:szCs w:val="16"/>
                <w:color w:val="auto"/>
              </w:rPr>
              <w:t>2</w:t>
            </w:r>
            <w:r>
              <w:rPr>
                <w:rFonts w:ascii="Times New Roman" w:cs="Times New Roman" w:eastAsia="Times New Roman" w:hAnsi="Times New Roman"/>
                <w:sz w:val="16"/>
                <w:szCs w:val="16"/>
                <w:color w:val="auto"/>
              </w:rPr>
              <w:t>0.06</w:t>
            </w:r>
          </w:p>
        </w:tc>
        <w:tc>
          <w:tcPr>
            <w:tcW w:w="80" w:type="dxa"/>
            <w:vAlign w:val="bottom"/>
          </w:tcPr>
          <w:p>
            <w:pPr>
              <w:spacing w:after="0"/>
              <w:rPr>
                <w:sz w:val="18"/>
                <w:szCs w:val="18"/>
                <w:color w:val="auto"/>
              </w:rPr>
            </w:pPr>
          </w:p>
        </w:tc>
        <w:tc>
          <w:tcPr>
            <w:tcW w:w="620" w:type="dxa"/>
            <w:vAlign w:val="bottom"/>
            <w:gridSpan w:val="2"/>
          </w:tcPr>
          <w:p>
            <w:pPr>
              <w:jc w:val="center"/>
              <w:spacing w:after="0"/>
              <w:rPr>
                <w:sz w:val="20"/>
                <w:szCs w:val="20"/>
                <w:color w:val="auto"/>
              </w:rPr>
            </w:pPr>
            <w:r>
              <w:rPr>
                <w:rFonts w:ascii="Times New Roman" w:cs="Times New Roman" w:eastAsia="Times New Roman" w:hAnsi="Times New Roman"/>
                <w:sz w:val="16"/>
                <w:szCs w:val="16"/>
                <w:color w:val="auto"/>
                <w:w w:val="99"/>
              </w:rPr>
              <w:t>0.40</w:t>
            </w:r>
          </w:p>
        </w:tc>
        <w:tc>
          <w:tcPr>
            <w:tcW w:w="660" w:type="dxa"/>
            <w:vAlign w:val="bottom"/>
          </w:tcPr>
          <w:p>
            <w:pPr>
              <w:jc w:val="center"/>
              <w:spacing w:after="0"/>
              <w:rPr>
                <w:sz w:val="20"/>
                <w:szCs w:val="20"/>
                <w:color w:val="auto"/>
              </w:rPr>
            </w:pPr>
            <w:r>
              <w:rPr>
                <w:rFonts w:ascii="Times New Roman" w:cs="Times New Roman" w:eastAsia="Times New Roman" w:hAnsi="Times New Roman"/>
                <w:sz w:val="16"/>
                <w:szCs w:val="16"/>
                <w:color w:val="auto"/>
                <w:w w:val="99"/>
              </w:rPr>
              <w:t>0.40</w:t>
            </w:r>
          </w:p>
        </w:tc>
        <w:tc>
          <w:tcPr>
            <w:tcW w:w="1320" w:type="dxa"/>
            <w:vAlign w:val="bottom"/>
          </w:tcPr>
          <w:p>
            <w:pPr>
              <w:jc w:val="right"/>
              <w:ind w:right="400"/>
              <w:spacing w:after="0"/>
              <w:rPr>
                <w:sz w:val="20"/>
                <w:szCs w:val="20"/>
                <w:color w:val="auto"/>
              </w:rPr>
            </w:pPr>
            <w:r>
              <w:rPr>
                <w:rFonts w:ascii="Times New Roman" w:cs="Times New Roman" w:eastAsia="Times New Roman" w:hAnsi="Times New Roman"/>
                <w:sz w:val="16"/>
                <w:szCs w:val="16"/>
                <w:color w:val="auto"/>
              </w:rPr>
              <w:t>0.00</w:t>
            </w:r>
          </w:p>
        </w:tc>
        <w:tc>
          <w:tcPr>
            <w:tcW w:w="140" w:type="dxa"/>
            <w:vAlign w:val="bottom"/>
          </w:tcPr>
          <w:p>
            <w:pPr>
              <w:spacing w:after="0"/>
              <w:rPr>
                <w:sz w:val="18"/>
                <w:szCs w:val="18"/>
                <w:color w:val="auto"/>
              </w:rPr>
            </w:pPr>
          </w:p>
        </w:tc>
        <w:tc>
          <w:tcPr>
            <w:tcW w:w="1100" w:type="dxa"/>
            <w:vAlign w:val="bottom"/>
          </w:tcPr>
          <w:p>
            <w:pPr>
              <w:jc w:val="right"/>
              <w:ind w:right="300"/>
              <w:spacing w:after="0"/>
              <w:rPr>
                <w:sz w:val="20"/>
                <w:szCs w:val="20"/>
                <w:color w:val="auto"/>
              </w:rPr>
            </w:pPr>
            <w:r>
              <w:rPr>
                <w:rFonts w:ascii="Arial" w:cs="Arial" w:eastAsia="Arial" w:hAnsi="Arial"/>
                <w:sz w:val="16"/>
                <w:szCs w:val="16"/>
                <w:color w:val="auto"/>
              </w:rPr>
              <w:t>2</w:t>
            </w:r>
            <w:r>
              <w:rPr>
                <w:rFonts w:ascii="Times New Roman" w:cs="Times New Roman" w:eastAsia="Times New Roman" w:hAnsi="Times New Roman"/>
                <w:sz w:val="16"/>
                <w:szCs w:val="16"/>
                <w:color w:val="auto"/>
              </w:rPr>
              <w:t>0.06</w:t>
            </w:r>
          </w:p>
        </w:tc>
        <w:tc>
          <w:tcPr>
            <w:tcW w:w="1080" w:type="dxa"/>
            <w:vAlign w:val="bottom"/>
          </w:tcPr>
          <w:p>
            <w:pPr>
              <w:jc w:val="right"/>
              <w:ind w:right="260"/>
              <w:spacing w:after="0"/>
              <w:rPr>
                <w:sz w:val="20"/>
                <w:szCs w:val="20"/>
                <w:color w:val="auto"/>
              </w:rPr>
            </w:pPr>
            <w:r>
              <w:rPr>
                <w:rFonts w:ascii="Arial" w:cs="Arial" w:eastAsia="Arial" w:hAnsi="Arial"/>
                <w:sz w:val="16"/>
                <w:szCs w:val="16"/>
                <w:color w:val="auto"/>
              </w:rPr>
              <w:t>2</w:t>
            </w:r>
            <w:r>
              <w:rPr>
                <w:rFonts w:ascii="Times New Roman" w:cs="Times New Roman" w:eastAsia="Times New Roman" w:hAnsi="Times New Roman"/>
                <w:sz w:val="16"/>
                <w:szCs w:val="16"/>
                <w:color w:val="auto"/>
              </w:rPr>
              <w:t>0.05</w:t>
            </w:r>
          </w:p>
        </w:tc>
      </w:tr>
      <w:tr>
        <w:trPr>
          <w:trHeight w:val="198"/>
        </w:trPr>
        <w:tc>
          <w:tcPr>
            <w:tcW w:w="2980" w:type="dxa"/>
            <w:vAlign w:val="bottom"/>
          </w:tcPr>
          <w:p>
            <w:pPr>
              <w:spacing w:after="0"/>
              <w:rPr>
                <w:sz w:val="20"/>
                <w:szCs w:val="20"/>
                <w:color w:val="auto"/>
              </w:rPr>
            </w:pPr>
            <w:r>
              <w:rPr>
                <w:rFonts w:ascii="Times New Roman" w:cs="Times New Roman" w:eastAsia="Times New Roman" w:hAnsi="Times New Roman"/>
                <w:sz w:val="16"/>
                <w:szCs w:val="16"/>
                <w:color w:val="auto"/>
              </w:rPr>
              <w:t>Uses debit card</w:t>
            </w:r>
          </w:p>
        </w:tc>
        <w:tc>
          <w:tcPr>
            <w:tcW w:w="540" w:type="dxa"/>
            <w:vAlign w:val="bottom"/>
          </w:tcPr>
          <w:p>
            <w:pPr>
              <w:jc w:val="center"/>
              <w:spacing w:after="0"/>
              <w:rPr>
                <w:sz w:val="20"/>
                <w:szCs w:val="20"/>
                <w:color w:val="auto"/>
              </w:rPr>
            </w:pPr>
            <w:r>
              <w:rPr>
                <w:rFonts w:ascii="Times New Roman" w:cs="Times New Roman" w:eastAsia="Times New Roman" w:hAnsi="Times New Roman"/>
                <w:sz w:val="16"/>
                <w:szCs w:val="16"/>
                <w:color w:val="auto"/>
                <w:w w:val="99"/>
              </w:rPr>
              <w:t>0.61</w:t>
            </w:r>
          </w:p>
        </w:tc>
        <w:tc>
          <w:tcPr>
            <w:tcW w:w="680" w:type="dxa"/>
            <w:vAlign w:val="bottom"/>
          </w:tcPr>
          <w:p>
            <w:pPr>
              <w:jc w:val="center"/>
              <w:spacing w:after="0"/>
              <w:rPr>
                <w:sz w:val="20"/>
                <w:szCs w:val="20"/>
                <w:color w:val="auto"/>
              </w:rPr>
            </w:pPr>
            <w:r>
              <w:rPr>
                <w:rFonts w:ascii="Times New Roman" w:cs="Times New Roman" w:eastAsia="Times New Roman" w:hAnsi="Times New Roman"/>
                <w:sz w:val="16"/>
                <w:szCs w:val="16"/>
                <w:color w:val="auto"/>
                <w:w w:val="99"/>
              </w:rPr>
              <w:t>0.75</w:t>
            </w:r>
          </w:p>
        </w:tc>
        <w:tc>
          <w:tcPr>
            <w:tcW w:w="1300" w:type="dxa"/>
            <w:vAlign w:val="bottom"/>
          </w:tcPr>
          <w:p>
            <w:pPr>
              <w:jc w:val="right"/>
              <w:ind w:right="240"/>
              <w:spacing w:after="0"/>
              <w:rPr>
                <w:sz w:val="20"/>
                <w:szCs w:val="20"/>
                <w:color w:val="auto"/>
              </w:rPr>
            </w:pPr>
            <w:r>
              <w:rPr>
                <w:rFonts w:ascii="Times New Roman" w:cs="Times New Roman" w:eastAsia="Times New Roman" w:hAnsi="Times New Roman"/>
                <w:sz w:val="16"/>
                <w:szCs w:val="16"/>
                <w:color w:val="auto"/>
              </w:rPr>
              <w:t>0.14**</w:t>
            </w:r>
          </w:p>
        </w:tc>
        <w:tc>
          <w:tcPr>
            <w:tcW w:w="80" w:type="dxa"/>
            <w:vAlign w:val="bottom"/>
          </w:tcPr>
          <w:p>
            <w:pPr>
              <w:spacing w:after="0"/>
              <w:rPr>
                <w:sz w:val="17"/>
                <w:szCs w:val="17"/>
                <w:color w:val="auto"/>
              </w:rPr>
            </w:pPr>
          </w:p>
        </w:tc>
        <w:tc>
          <w:tcPr>
            <w:tcW w:w="620" w:type="dxa"/>
            <w:vAlign w:val="bottom"/>
            <w:gridSpan w:val="2"/>
          </w:tcPr>
          <w:p>
            <w:pPr>
              <w:jc w:val="center"/>
              <w:spacing w:after="0"/>
              <w:rPr>
                <w:sz w:val="20"/>
                <w:szCs w:val="20"/>
                <w:color w:val="auto"/>
              </w:rPr>
            </w:pPr>
            <w:r>
              <w:rPr>
                <w:rFonts w:ascii="Times New Roman" w:cs="Times New Roman" w:eastAsia="Times New Roman" w:hAnsi="Times New Roman"/>
                <w:sz w:val="16"/>
                <w:szCs w:val="16"/>
                <w:color w:val="auto"/>
                <w:w w:val="99"/>
              </w:rPr>
              <w:t>0.49</w:t>
            </w:r>
          </w:p>
        </w:tc>
        <w:tc>
          <w:tcPr>
            <w:tcW w:w="660" w:type="dxa"/>
            <w:vAlign w:val="bottom"/>
          </w:tcPr>
          <w:p>
            <w:pPr>
              <w:jc w:val="center"/>
              <w:spacing w:after="0"/>
              <w:rPr>
                <w:sz w:val="20"/>
                <w:szCs w:val="20"/>
                <w:color w:val="auto"/>
              </w:rPr>
            </w:pPr>
            <w:r>
              <w:rPr>
                <w:rFonts w:ascii="Times New Roman" w:cs="Times New Roman" w:eastAsia="Times New Roman" w:hAnsi="Times New Roman"/>
                <w:sz w:val="16"/>
                <w:szCs w:val="16"/>
                <w:color w:val="auto"/>
                <w:w w:val="99"/>
              </w:rPr>
              <w:t>0.64</w:t>
            </w:r>
          </w:p>
        </w:tc>
        <w:tc>
          <w:tcPr>
            <w:tcW w:w="1320" w:type="dxa"/>
            <w:vAlign w:val="bottom"/>
          </w:tcPr>
          <w:p>
            <w:pPr>
              <w:jc w:val="right"/>
              <w:ind w:right="320"/>
              <w:spacing w:after="0"/>
              <w:rPr>
                <w:sz w:val="20"/>
                <w:szCs w:val="20"/>
                <w:color w:val="auto"/>
              </w:rPr>
            </w:pPr>
            <w:r>
              <w:rPr>
                <w:rFonts w:ascii="Times New Roman" w:cs="Times New Roman" w:eastAsia="Times New Roman" w:hAnsi="Times New Roman"/>
                <w:sz w:val="16"/>
                <w:szCs w:val="16"/>
                <w:color w:val="auto"/>
              </w:rPr>
              <w:t>0.15*</w:t>
            </w:r>
          </w:p>
        </w:tc>
        <w:tc>
          <w:tcPr>
            <w:tcW w:w="140" w:type="dxa"/>
            <w:vAlign w:val="bottom"/>
          </w:tcPr>
          <w:p>
            <w:pPr>
              <w:spacing w:after="0"/>
              <w:rPr>
                <w:sz w:val="17"/>
                <w:szCs w:val="17"/>
                <w:color w:val="auto"/>
              </w:rPr>
            </w:pPr>
          </w:p>
        </w:tc>
        <w:tc>
          <w:tcPr>
            <w:tcW w:w="1100" w:type="dxa"/>
            <w:vAlign w:val="bottom"/>
          </w:tcPr>
          <w:p>
            <w:pPr>
              <w:jc w:val="right"/>
              <w:ind w:right="300"/>
              <w:spacing w:after="0"/>
              <w:rPr>
                <w:sz w:val="20"/>
                <w:szCs w:val="20"/>
                <w:color w:val="auto"/>
              </w:rPr>
            </w:pPr>
            <w:r>
              <w:rPr>
                <w:rFonts w:ascii="Arial" w:cs="Arial" w:eastAsia="Arial" w:hAnsi="Arial"/>
                <w:sz w:val="16"/>
                <w:szCs w:val="16"/>
                <w:color w:val="auto"/>
              </w:rPr>
              <w:t>2</w:t>
            </w:r>
            <w:r>
              <w:rPr>
                <w:rFonts w:ascii="Times New Roman" w:cs="Times New Roman" w:eastAsia="Times New Roman" w:hAnsi="Times New Roman"/>
                <w:sz w:val="16"/>
                <w:szCs w:val="16"/>
                <w:color w:val="auto"/>
              </w:rPr>
              <w:t>0.01</w:t>
            </w:r>
          </w:p>
        </w:tc>
        <w:tc>
          <w:tcPr>
            <w:tcW w:w="1080" w:type="dxa"/>
            <w:vAlign w:val="bottom"/>
          </w:tcPr>
          <w:p>
            <w:pPr>
              <w:jc w:val="right"/>
              <w:ind w:right="260"/>
              <w:spacing w:after="0"/>
              <w:rPr>
                <w:sz w:val="20"/>
                <w:szCs w:val="20"/>
                <w:color w:val="auto"/>
              </w:rPr>
            </w:pPr>
            <w:r>
              <w:rPr>
                <w:rFonts w:ascii="Arial" w:cs="Arial" w:eastAsia="Arial" w:hAnsi="Arial"/>
                <w:sz w:val="16"/>
                <w:szCs w:val="16"/>
                <w:color w:val="auto"/>
              </w:rPr>
              <w:t>2</w:t>
            </w:r>
            <w:r>
              <w:rPr>
                <w:rFonts w:ascii="Times New Roman" w:cs="Times New Roman" w:eastAsia="Times New Roman" w:hAnsi="Times New Roman"/>
                <w:sz w:val="16"/>
                <w:szCs w:val="16"/>
                <w:color w:val="auto"/>
              </w:rPr>
              <w:t>0.03</w:t>
            </w:r>
          </w:p>
        </w:tc>
      </w:tr>
      <w:tr>
        <w:trPr>
          <w:trHeight w:val="200"/>
        </w:trPr>
        <w:tc>
          <w:tcPr>
            <w:tcW w:w="2980" w:type="dxa"/>
            <w:vAlign w:val="bottom"/>
          </w:tcPr>
          <w:p>
            <w:pPr>
              <w:spacing w:after="0"/>
              <w:rPr>
                <w:sz w:val="20"/>
                <w:szCs w:val="20"/>
                <w:color w:val="auto"/>
              </w:rPr>
            </w:pPr>
            <w:r>
              <w:rPr>
                <w:rFonts w:ascii="Times New Roman" w:cs="Times New Roman" w:eastAsia="Times New Roman" w:hAnsi="Times New Roman"/>
                <w:sz w:val="16"/>
                <w:szCs w:val="16"/>
                <w:color w:val="auto"/>
              </w:rPr>
              <w:t>Saves money each month</w:t>
            </w:r>
          </w:p>
        </w:tc>
        <w:tc>
          <w:tcPr>
            <w:tcW w:w="540" w:type="dxa"/>
            <w:vAlign w:val="bottom"/>
          </w:tcPr>
          <w:p>
            <w:pPr>
              <w:jc w:val="center"/>
              <w:spacing w:after="0"/>
              <w:rPr>
                <w:sz w:val="20"/>
                <w:szCs w:val="20"/>
                <w:color w:val="auto"/>
              </w:rPr>
            </w:pPr>
            <w:r>
              <w:rPr>
                <w:rFonts w:ascii="Times New Roman" w:cs="Times New Roman" w:eastAsia="Times New Roman" w:hAnsi="Times New Roman"/>
                <w:sz w:val="16"/>
                <w:szCs w:val="16"/>
                <w:color w:val="auto"/>
                <w:w w:val="99"/>
              </w:rPr>
              <w:t>0.66</w:t>
            </w:r>
          </w:p>
        </w:tc>
        <w:tc>
          <w:tcPr>
            <w:tcW w:w="680" w:type="dxa"/>
            <w:vAlign w:val="bottom"/>
          </w:tcPr>
          <w:p>
            <w:pPr>
              <w:jc w:val="center"/>
              <w:spacing w:after="0"/>
              <w:rPr>
                <w:sz w:val="20"/>
                <w:szCs w:val="20"/>
                <w:color w:val="auto"/>
              </w:rPr>
            </w:pPr>
            <w:r>
              <w:rPr>
                <w:rFonts w:ascii="Times New Roman" w:cs="Times New Roman" w:eastAsia="Times New Roman" w:hAnsi="Times New Roman"/>
                <w:sz w:val="16"/>
                <w:szCs w:val="16"/>
                <w:color w:val="auto"/>
                <w:w w:val="99"/>
              </w:rPr>
              <w:t>0.60</w:t>
            </w:r>
          </w:p>
        </w:tc>
        <w:tc>
          <w:tcPr>
            <w:tcW w:w="1300" w:type="dxa"/>
            <w:vAlign w:val="bottom"/>
          </w:tcPr>
          <w:p>
            <w:pPr>
              <w:jc w:val="right"/>
              <w:ind w:right="400"/>
              <w:spacing w:after="0"/>
              <w:rPr>
                <w:sz w:val="20"/>
                <w:szCs w:val="20"/>
                <w:color w:val="auto"/>
              </w:rPr>
            </w:pPr>
            <w:r>
              <w:rPr>
                <w:rFonts w:ascii="Arial" w:cs="Arial" w:eastAsia="Arial" w:hAnsi="Arial"/>
                <w:sz w:val="16"/>
                <w:szCs w:val="16"/>
                <w:color w:val="auto"/>
              </w:rPr>
              <w:t>2</w:t>
            </w:r>
            <w:r>
              <w:rPr>
                <w:rFonts w:ascii="Times New Roman" w:cs="Times New Roman" w:eastAsia="Times New Roman" w:hAnsi="Times New Roman"/>
                <w:sz w:val="16"/>
                <w:szCs w:val="16"/>
                <w:color w:val="auto"/>
              </w:rPr>
              <w:t>0.06</w:t>
            </w:r>
          </w:p>
        </w:tc>
        <w:tc>
          <w:tcPr>
            <w:tcW w:w="80" w:type="dxa"/>
            <w:vAlign w:val="bottom"/>
          </w:tcPr>
          <w:p>
            <w:pPr>
              <w:spacing w:after="0"/>
              <w:rPr>
                <w:sz w:val="17"/>
                <w:szCs w:val="17"/>
                <w:color w:val="auto"/>
              </w:rPr>
            </w:pPr>
          </w:p>
        </w:tc>
        <w:tc>
          <w:tcPr>
            <w:tcW w:w="620" w:type="dxa"/>
            <w:vAlign w:val="bottom"/>
            <w:gridSpan w:val="2"/>
          </w:tcPr>
          <w:p>
            <w:pPr>
              <w:jc w:val="center"/>
              <w:spacing w:after="0"/>
              <w:rPr>
                <w:sz w:val="20"/>
                <w:szCs w:val="20"/>
                <w:color w:val="auto"/>
              </w:rPr>
            </w:pPr>
            <w:r>
              <w:rPr>
                <w:rFonts w:ascii="Times New Roman" w:cs="Times New Roman" w:eastAsia="Times New Roman" w:hAnsi="Times New Roman"/>
                <w:sz w:val="16"/>
                <w:szCs w:val="16"/>
                <w:color w:val="auto"/>
                <w:w w:val="99"/>
              </w:rPr>
              <w:t>0.63</w:t>
            </w:r>
          </w:p>
        </w:tc>
        <w:tc>
          <w:tcPr>
            <w:tcW w:w="660" w:type="dxa"/>
            <w:vAlign w:val="bottom"/>
          </w:tcPr>
          <w:p>
            <w:pPr>
              <w:jc w:val="center"/>
              <w:spacing w:after="0"/>
              <w:rPr>
                <w:sz w:val="20"/>
                <w:szCs w:val="20"/>
                <w:color w:val="auto"/>
              </w:rPr>
            </w:pPr>
            <w:r>
              <w:rPr>
                <w:rFonts w:ascii="Times New Roman" w:cs="Times New Roman" w:eastAsia="Times New Roman" w:hAnsi="Times New Roman"/>
                <w:sz w:val="16"/>
                <w:szCs w:val="16"/>
                <w:color w:val="auto"/>
                <w:w w:val="99"/>
              </w:rPr>
              <w:t>0.57</w:t>
            </w:r>
          </w:p>
        </w:tc>
        <w:tc>
          <w:tcPr>
            <w:tcW w:w="1320" w:type="dxa"/>
            <w:vAlign w:val="bottom"/>
          </w:tcPr>
          <w:p>
            <w:pPr>
              <w:jc w:val="right"/>
              <w:ind w:right="400"/>
              <w:spacing w:after="0"/>
              <w:rPr>
                <w:sz w:val="20"/>
                <w:szCs w:val="20"/>
                <w:color w:val="auto"/>
              </w:rPr>
            </w:pPr>
            <w:r>
              <w:rPr>
                <w:rFonts w:ascii="Arial" w:cs="Arial" w:eastAsia="Arial" w:hAnsi="Arial"/>
                <w:sz w:val="16"/>
                <w:szCs w:val="16"/>
                <w:color w:val="auto"/>
              </w:rPr>
              <w:t>2</w:t>
            </w:r>
            <w:r>
              <w:rPr>
                <w:rFonts w:ascii="Times New Roman" w:cs="Times New Roman" w:eastAsia="Times New Roman" w:hAnsi="Times New Roman"/>
                <w:sz w:val="16"/>
                <w:szCs w:val="16"/>
                <w:color w:val="auto"/>
              </w:rPr>
              <w:t>0.06</w:t>
            </w:r>
          </w:p>
        </w:tc>
        <w:tc>
          <w:tcPr>
            <w:tcW w:w="140" w:type="dxa"/>
            <w:vAlign w:val="bottom"/>
          </w:tcPr>
          <w:p>
            <w:pPr>
              <w:spacing w:after="0"/>
              <w:rPr>
                <w:sz w:val="17"/>
                <w:szCs w:val="17"/>
                <w:color w:val="auto"/>
              </w:rPr>
            </w:pPr>
          </w:p>
        </w:tc>
        <w:tc>
          <w:tcPr>
            <w:tcW w:w="1100" w:type="dxa"/>
            <w:vAlign w:val="bottom"/>
          </w:tcPr>
          <w:p>
            <w:pPr>
              <w:jc w:val="right"/>
              <w:ind w:right="300"/>
              <w:spacing w:after="0"/>
              <w:rPr>
                <w:sz w:val="20"/>
                <w:szCs w:val="20"/>
                <w:color w:val="auto"/>
              </w:rPr>
            </w:pPr>
            <w:r>
              <w:rPr>
                <w:rFonts w:ascii="Times New Roman" w:cs="Times New Roman" w:eastAsia="Times New Roman" w:hAnsi="Times New Roman"/>
                <w:sz w:val="16"/>
                <w:szCs w:val="16"/>
                <w:color w:val="auto"/>
              </w:rPr>
              <w:t>0.00</w:t>
            </w:r>
          </w:p>
        </w:tc>
        <w:tc>
          <w:tcPr>
            <w:tcW w:w="1080" w:type="dxa"/>
            <w:vAlign w:val="bottom"/>
          </w:tcPr>
          <w:p>
            <w:pPr>
              <w:jc w:val="right"/>
              <w:ind w:right="260"/>
              <w:spacing w:after="0"/>
              <w:rPr>
                <w:sz w:val="20"/>
                <w:szCs w:val="20"/>
                <w:color w:val="auto"/>
              </w:rPr>
            </w:pPr>
            <w:r>
              <w:rPr>
                <w:rFonts w:ascii="Times New Roman" w:cs="Times New Roman" w:eastAsia="Times New Roman" w:hAnsi="Times New Roman"/>
                <w:sz w:val="16"/>
                <w:szCs w:val="16"/>
                <w:color w:val="auto"/>
              </w:rPr>
              <w:t>0.00</w:t>
            </w:r>
          </w:p>
        </w:tc>
      </w:tr>
      <w:tr>
        <w:trPr>
          <w:trHeight w:val="200"/>
        </w:trPr>
        <w:tc>
          <w:tcPr>
            <w:tcW w:w="2980" w:type="dxa"/>
            <w:vAlign w:val="bottom"/>
          </w:tcPr>
          <w:p>
            <w:pPr>
              <w:spacing w:after="0"/>
              <w:rPr>
                <w:sz w:val="20"/>
                <w:szCs w:val="20"/>
                <w:color w:val="auto"/>
              </w:rPr>
            </w:pPr>
            <w:r>
              <w:rPr>
                <w:rFonts w:ascii="Times New Roman" w:cs="Times New Roman" w:eastAsia="Times New Roman" w:hAnsi="Times New Roman"/>
                <w:sz w:val="16"/>
                <w:szCs w:val="16"/>
                <w:color w:val="auto"/>
              </w:rPr>
              <w:t>Always uses monthly budget</w:t>
            </w:r>
          </w:p>
        </w:tc>
        <w:tc>
          <w:tcPr>
            <w:tcW w:w="540" w:type="dxa"/>
            <w:vAlign w:val="bottom"/>
          </w:tcPr>
          <w:p>
            <w:pPr>
              <w:jc w:val="center"/>
              <w:spacing w:after="0"/>
              <w:rPr>
                <w:sz w:val="20"/>
                <w:szCs w:val="20"/>
                <w:color w:val="auto"/>
              </w:rPr>
            </w:pPr>
            <w:r>
              <w:rPr>
                <w:rFonts w:ascii="Times New Roman" w:cs="Times New Roman" w:eastAsia="Times New Roman" w:hAnsi="Times New Roman"/>
                <w:sz w:val="16"/>
                <w:szCs w:val="16"/>
                <w:color w:val="auto"/>
                <w:w w:val="99"/>
              </w:rPr>
              <w:t>0.37</w:t>
            </w:r>
          </w:p>
        </w:tc>
        <w:tc>
          <w:tcPr>
            <w:tcW w:w="680" w:type="dxa"/>
            <w:vAlign w:val="bottom"/>
          </w:tcPr>
          <w:p>
            <w:pPr>
              <w:jc w:val="center"/>
              <w:spacing w:after="0"/>
              <w:rPr>
                <w:sz w:val="20"/>
                <w:szCs w:val="20"/>
                <w:color w:val="auto"/>
              </w:rPr>
            </w:pPr>
            <w:r>
              <w:rPr>
                <w:rFonts w:ascii="Times New Roman" w:cs="Times New Roman" w:eastAsia="Times New Roman" w:hAnsi="Times New Roman"/>
                <w:sz w:val="16"/>
                <w:szCs w:val="16"/>
                <w:color w:val="auto"/>
                <w:w w:val="99"/>
              </w:rPr>
              <w:t>0.39</w:t>
            </w:r>
          </w:p>
        </w:tc>
        <w:tc>
          <w:tcPr>
            <w:tcW w:w="1300" w:type="dxa"/>
            <w:vAlign w:val="bottom"/>
          </w:tcPr>
          <w:p>
            <w:pPr>
              <w:jc w:val="right"/>
              <w:ind w:right="400"/>
              <w:spacing w:after="0"/>
              <w:rPr>
                <w:sz w:val="20"/>
                <w:szCs w:val="20"/>
                <w:color w:val="auto"/>
              </w:rPr>
            </w:pPr>
            <w:r>
              <w:rPr>
                <w:rFonts w:ascii="Times New Roman" w:cs="Times New Roman" w:eastAsia="Times New Roman" w:hAnsi="Times New Roman"/>
                <w:sz w:val="16"/>
                <w:szCs w:val="16"/>
                <w:color w:val="auto"/>
              </w:rPr>
              <w:t>0.02</w:t>
            </w:r>
          </w:p>
        </w:tc>
        <w:tc>
          <w:tcPr>
            <w:tcW w:w="80" w:type="dxa"/>
            <w:vAlign w:val="bottom"/>
          </w:tcPr>
          <w:p>
            <w:pPr>
              <w:spacing w:after="0"/>
              <w:rPr>
                <w:sz w:val="17"/>
                <w:szCs w:val="17"/>
                <w:color w:val="auto"/>
              </w:rPr>
            </w:pPr>
          </w:p>
        </w:tc>
        <w:tc>
          <w:tcPr>
            <w:tcW w:w="620" w:type="dxa"/>
            <w:vAlign w:val="bottom"/>
            <w:gridSpan w:val="2"/>
          </w:tcPr>
          <w:p>
            <w:pPr>
              <w:jc w:val="center"/>
              <w:spacing w:after="0"/>
              <w:rPr>
                <w:sz w:val="20"/>
                <w:szCs w:val="20"/>
                <w:color w:val="auto"/>
              </w:rPr>
            </w:pPr>
            <w:r>
              <w:rPr>
                <w:rFonts w:ascii="Times New Roman" w:cs="Times New Roman" w:eastAsia="Times New Roman" w:hAnsi="Times New Roman"/>
                <w:sz w:val="16"/>
                <w:szCs w:val="16"/>
                <w:color w:val="auto"/>
                <w:w w:val="99"/>
              </w:rPr>
              <w:t>0.42</w:t>
            </w:r>
          </w:p>
        </w:tc>
        <w:tc>
          <w:tcPr>
            <w:tcW w:w="660" w:type="dxa"/>
            <w:vAlign w:val="bottom"/>
          </w:tcPr>
          <w:p>
            <w:pPr>
              <w:jc w:val="center"/>
              <w:spacing w:after="0"/>
              <w:rPr>
                <w:sz w:val="20"/>
                <w:szCs w:val="20"/>
                <w:color w:val="auto"/>
              </w:rPr>
            </w:pPr>
            <w:r>
              <w:rPr>
                <w:rFonts w:ascii="Times New Roman" w:cs="Times New Roman" w:eastAsia="Times New Roman" w:hAnsi="Times New Roman"/>
                <w:sz w:val="16"/>
                <w:szCs w:val="16"/>
                <w:color w:val="auto"/>
                <w:w w:val="99"/>
              </w:rPr>
              <w:t>0.37</w:t>
            </w:r>
          </w:p>
        </w:tc>
        <w:tc>
          <w:tcPr>
            <w:tcW w:w="1320" w:type="dxa"/>
            <w:vAlign w:val="bottom"/>
          </w:tcPr>
          <w:p>
            <w:pPr>
              <w:jc w:val="right"/>
              <w:ind w:right="400"/>
              <w:spacing w:after="0"/>
              <w:rPr>
                <w:sz w:val="20"/>
                <w:szCs w:val="20"/>
                <w:color w:val="auto"/>
              </w:rPr>
            </w:pPr>
            <w:r>
              <w:rPr>
                <w:rFonts w:ascii="Arial" w:cs="Arial" w:eastAsia="Arial" w:hAnsi="Arial"/>
                <w:sz w:val="16"/>
                <w:szCs w:val="16"/>
                <w:color w:val="auto"/>
              </w:rPr>
              <w:t>2</w:t>
            </w:r>
            <w:r>
              <w:rPr>
                <w:rFonts w:ascii="Times New Roman" w:cs="Times New Roman" w:eastAsia="Times New Roman" w:hAnsi="Times New Roman"/>
                <w:sz w:val="16"/>
                <w:szCs w:val="16"/>
                <w:color w:val="auto"/>
              </w:rPr>
              <w:t>0.05</w:t>
            </w:r>
          </w:p>
        </w:tc>
        <w:tc>
          <w:tcPr>
            <w:tcW w:w="140" w:type="dxa"/>
            <w:vAlign w:val="bottom"/>
          </w:tcPr>
          <w:p>
            <w:pPr>
              <w:spacing w:after="0"/>
              <w:rPr>
                <w:sz w:val="17"/>
                <w:szCs w:val="17"/>
                <w:color w:val="auto"/>
              </w:rPr>
            </w:pPr>
          </w:p>
        </w:tc>
        <w:tc>
          <w:tcPr>
            <w:tcW w:w="1100" w:type="dxa"/>
            <w:vAlign w:val="bottom"/>
          </w:tcPr>
          <w:p>
            <w:pPr>
              <w:jc w:val="right"/>
              <w:ind w:right="300"/>
              <w:spacing w:after="0"/>
              <w:rPr>
                <w:sz w:val="20"/>
                <w:szCs w:val="20"/>
                <w:color w:val="auto"/>
              </w:rPr>
            </w:pPr>
            <w:r>
              <w:rPr>
                <w:rFonts w:ascii="Times New Roman" w:cs="Times New Roman" w:eastAsia="Times New Roman" w:hAnsi="Times New Roman"/>
                <w:sz w:val="16"/>
                <w:szCs w:val="16"/>
                <w:color w:val="auto"/>
              </w:rPr>
              <w:t>0.07</w:t>
            </w:r>
          </w:p>
        </w:tc>
        <w:tc>
          <w:tcPr>
            <w:tcW w:w="1080" w:type="dxa"/>
            <w:vAlign w:val="bottom"/>
          </w:tcPr>
          <w:p>
            <w:pPr>
              <w:jc w:val="right"/>
              <w:ind w:right="260"/>
              <w:spacing w:after="0"/>
              <w:rPr>
                <w:sz w:val="20"/>
                <w:szCs w:val="20"/>
                <w:color w:val="auto"/>
              </w:rPr>
            </w:pPr>
            <w:r>
              <w:rPr>
                <w:rFonts w:ascii="Times New Roman" w:cs="Times New Roman" w:eastAsia="Times New Roman" w:hAnsi="Times New Roman"/>
                <w:sz w:val="16"/>
                <w:szCs w:val="16"/>
                <w:color w:val="auto"/>
              </w:rPr>
              <w:t>0.10</w:t>
            </w:r>
          </w:p>
        </w:tc>
      </w:tr>
      <w:tr>
        <w:trPr>
          <w:trHeight w:val="200"/>
        </w:trPr>
        <w:tc>
          <w:tcPr>
            <w:tcW w:w="2980" w:type="dxa"/>
            <w:vAlign w:val="bottom"/>
          </w:tcPr>
          <w:p>
            <w:pPr>
              <w:spacing w:after="0"/>
              <w:rPr>
                <w:sz w:val="20"/>
                <w:szCs w:val="20"/>
                <w:color w:val="auto"/>
              </w:rPr>
            </w:pPr>
            <w:r>
              <w:rPr>
                <w:rFonts w:ascii="Times New Roman" w:cs="Times New Roman" w:eastAsia="Times New Roman" w:hAnsi="Times New Roman"/>
                <w:sz w:val="16"/>
                <w:szCs w:val="16"/>
                <w:color w:val="auto"/>
              </w:rPr>
              <w:t>Always plans–sets financial goals for future</w:t>
            </w:r>
          </w:p>
        </w:tc>
        <w:tc>
          <w:tcPr>
            <w:tcW w:w="540" w:type="dxa"/>
            <w:vAlign w:val="bottom"/>
          </w:tcPr>
          <w:p>
            <w:pPr>
              <w:jc w:val="center"/>
              <w:spacing w:after="0"/>
              <w:rPr>
                <w:sz w:val="20"/>
                <w:szCs w:val="20"/>
                <w:color w:val="auto"/>
              </w:rPr>
            </w:pPr>
            <w:r>
              <w:rPr>
                <w:rFonts w:ascii="Times New Roman" w:cs="Times New Roman" w:eastAsia="Times New Roman" w:hAnsi="Times New Roman"/>
                <w:sz w:val="16"/>
                <w:szCs w:val="16"/>
                <w:color w:val="auto"/>
                <w:w w:val="99"/>
              </w:rPr>
              <w:t>0.27</w:t>
            </w:r>
          </w:p>
        </w:tc>
        <w:tc>
          <w:tcPr>
            <w:tcW w:w="680" w:type="dxa"/>
            <w:vAlign w:val="bottom"/>
          </w:tcPr>
          <w:p>
            <w:pPr>
              <w:jc w:val="center"/>
              <w:spacing w:after="0"/>
              <w:rPr>
                <w:sz w:val="20"/>
                <w:szCs w:val="20"/>
                <w:color w:val="auto"/>
              </w:rPr>
            </w:pPr>
            <w:r>
              <w:rPr>
                <w:rFonts w:ascii="Times New Roman" w:cs="Times New Roman" w:eastAsia="Times New Roman" w:hAnsi="Times New Roman"/>
                <w:sz w:val="16"/>
                <w:szCs w:val="16"/>
                <w:color w:val="auto"/>
                <w:w w:val="99"/>
              </w:rPr>
              <w:t>0.22</w:t>
            </w:r>
          </w:p>
        </w:tc>
        <w:tc>
          <w:tcPr>
            <w:tcW w:w="1300" w:type="dxa"/>
            <w:vAlign w:val="bottom"/>
          </w:tcPr>
          <w:p>
            <w:pPr>
              <w:jc w:val="right"/>
              <w:ind w:right="400"/>
              <w:spacing w:after="0"/>
              <w:rPr>
                <w:sz w:val="20"/>
                <w:szCs w:val="20"/>
                <w:color w:val="auto"/>
              </w:rPr>
            </w:pPr>
            <w:r>
              <w:rPr>
                <w:rFonts w:ascii="Arial" w:cs="Arial" w:eastAsia="Arial" w:hAnsi="Arial"/>
                <w:sz w:val="16"/>
                <w:szCs w:val="16"/>
                <w:color w:val="auto"/>
              </w:rPr>
              <w:t>2</w:t>
            </w:r>
            <w:r>
              <w:rPr>
                <w:rFonts w:ascii="Times New Roman" w:cs="Times New Roman" w:eastAsia="Times New Roman" w:hAnsi="Times New Roman"/>
                <w:sz w:val="16"/>
                <w:szCs w:val="16"/>
                <w:color w:val="auto"/>
              </w:rPr>
              <w:t>0.05</w:t>
            </w:r>
          </w:p>
        </w:tc>
        <w:tc>
          <w:tcPr>
            <w:tcW w:w="80" w:type="dxa"/>
            <w:vAlign w:val="bottom"/>
          </w:tcPr>
          <w:p>
            <w:pPr>
              <w:spacing w:after="0"/>
              <w:rPr>
                <w:sz w:val="17"/>
                <w:szCs w:val="17"/>
                <w:color w:val="auto"/>
              </w:rPr>
            </w:pPr>
          </w:p>
        </w:tc>
        <w:tc>
          <w:tcPr>
            <w:tcW w:w="620" w:type="dxa"/>
            <w:vAlign w:val="bottom"/>
            <w:gridSpan w:val="2"/>
          </w:tcPr>
          <w:p>
            <w:pPr>
              <w:jc w:val="center"/>
              <w:spacing w:after="0"/>
              <w:rPr>
                <w:sz w:val="20"/>
                <w:szCs w:val="20"/>
                <w:color w:val="auto"/>
              </w:rPr>
            </w:pPr>
            <w:r>
              <w:rPr>
                <w:rFonts w:ascii="Times New Roman" w:cs="Times New Roman" w:eastAsia="Times New Roman" w:hAnsi="Times New Roman"/>
                <w:sz w:val="16"/>
                <w:szCs w:val="16"/>
                <w:color w:val="auto"/>
                <w:w w:val="99"/>
              </w:rPr>
              <w:t>0.26</w:t>
            </w:r>
          </w:p>
        </w:tc>
        <w:tc>
          <w:tcPr>
            <w:tcW w:w="660" w:type="dxa"/>
            <w:vAlign w:val="bottom"/>
          </w:tcPr>
          <w:p>
            <w:pPr>
              <w:jc w:val="center"/>
              <w:spacing w:after="0"/>
              <w:rPr>
                <w:sz w:val="20"/>
                <w:szCs w:val="20"/>
                <w:color w:val="auto"/>
              </w:rPr>
            </w:pPr>
            <w:r>
              <w:rPr>
                <w:rFonts w:ascii="Times New Roman" w:cs="Times New Roman" w:eastAsia="Times New Roman" w:hAnsi="Times New Roman"/>
                <w:sz w:val="16"/>
                <w:szCs w:val="16"/>
                <w:color w:val="auto"/>
                <w:w w:val="99"/>
              </w:rPr>
              <w:t>0.35</w:t>
            </w:r>
          </w:p>
        </w:tc>
        <w:tc>
          <w:tcPr>
            <w:tcW w:w="1320" w:type="dxa"/>
            <w:vAlign w:val="bottom"/>
          </w:tcPr>
          <w:p>
            <w:pPr>
              <w:jc w:val="right"/>
              <w:ind w:right="400"/>
              <w:spacing w:after="0"/>
              <w:rPr>
                <w:sz w:val="20"/>
                <w:szCs w:val="20"/>
                <w:color w:val="auto"/>
              </w:rPr>
            </w:pPr>
            <w:r>
              <w:rPr>
                <w:rFonts w:ascii="Times New Roman" w:cs="Times New Roman" w:eastAsia="Times New Roman" w:hAnsi="Times New Roman"/>
                <w:sz w:val="16"/>
                <w:szCs w:val="16"/>
                <w:color w:val="auto"/>
              </w:rPr>
              <w:t>0.09</w:t>
            </w:r>
          </w:p>
        </w:tc>
        <w:tc>
          <w:tcPr>
            <w:tcW w:w="140" w:type="dxa"/>
            <w:vAlign w:val="bottom"/>
          </w:tcPr>
          <w:p>
            <w:pPr>
              <w:spacing w:after="0"/>
              <w:rPr>
                <w:sz w:val="17"/>
                <w:szCs w:val="17"/>
                <w:color w:val="auto"/>
              </w:rPr>
            </w:pPr>
          </w:p>
        </w:tc>
        <w:tc>
          <w:tcPr>
            <w:tcW w:w="1100" w:type="dxa"/>
            <w:vAlign w:val="bottom"/>
          </w:tcPr>
          <w:p>
            <w:pPr>
              <w:jc w:val="right"/>
              <w:ind w:right="300"/>
              <w:spacing w:after="0"/>
              <w:rPr>
                <w:sz w:val="20"/>
                <w:szCs w:val="20"/>
                <w:color w:val="auto"/>
              </w:rPr>
            </w:pPr>
            <w:r>
              <w:rPr>
                <w:rFonts w:ascii="Arial" w:cs="Arial" w:eastAsia="Arial" w:hAnsi="Arial"/>
                <w:sz w:val="16"/>
                <w:szCs w:val="16"/>
                <w:color w:val="auto"/>
              </w:rPr>
              <w:t>2</w:t>
            </w:r>
            <w:r>
              <w:rPr>
                <w:rFonts w:ascii="Times New Roman" w:cs="Times New Roman" w:eastAsia="Times New Roman" w:hAnsi="Times New Roman"/>
                <w:sz w:val="16"/>
                <w:szCs w:val="16"/>
                <w:color w:val="auto"/>
              </w:rPr>
              <w:t>0.14</w:t>
            </w:r>
          </w:p>
        </w:tc>
        <w:tc>
          <w:tcPr>
            <w:tcW w:w="1080" w:type="dxa"/>
            <w:vAlign w:val="bottom"/>
          </w:tcPr>
          <w:p>
            <w:pPr>
              <w:jc w:val="right"/>
              <w:ind w:right="260"/>
              <w:spacing w:after="0"/>
              <w:rPr>
                <w:sz w:val="20"/>
                <w:szCs w:val="20"/>
                <w:color w:val="auto"/>
              </w:rPr>
            </w:pPr>
            <w:r>
              <w:rPr>
                <w:rFonts w:ascii="Arial" w:cs="Arial" w:eastAsia="Arial" w:hAnsi="Arial"/>
                <w:sz w:val="16"/>
                <w:szCs w:val="16"/>
                <w:color w:val="auto"/>
              </w:rPr>
              <w:t>2</w:t>
            </w:r>
            <w:r>
              <w:rPr>
                <w:rFonts w:ascii="Times New Roman" w:cs="Times New Roman" w:eastAsia="Times New Roman" w:hAnsi="Times New Roman"/>
                <w:sz w:val="16"/>
                <w:szCs w:val="16"/>
                <w:color w:val="auto"/>
              </w:rPr>
              <w:t>0.12</w:t>
            </w:r>
          </w:p>
        </w:tc>
      </w:tr>
      <w:tr>
        <w:trPr>
          <w:trHeight w:val="198"/>
        </w:trPr>
        <w:tc>
          <w:tcPr>
            <w:tcW w:w="2980" w:type="dxa"/>
            <w:vAlign w:val="bottom"/>
          </w:tcPr>
          <w:p>
            <w:pPr>
              <w:spacing w:after="0"/>
              <w:rPr>
                <w:sz w:val="20"/>
                <w:szCs w:val="20"/>
                <w:color w:val="auto"/>
              </w:rPr>
            </w:pPr>
            <w:r>
              <w:rPr>
                <w:rFonts w:ascii="Times New Roman" w:cs="Times New Roman" w:eastAsia="Times New Roman" w:hAnsi="Times New Roman"/>
                <w:sz w:val="16"/>
                <w:szCs w:val="16"/>
                <w:color w:val="auto"/>
              </w:rPr>
              <w:t>Always pays bills on time</w:t>
            </w:r>
          </w:p>
        </w:tc>
        <w:tc>
          <w:tcPr>
            <w:tcW w:w="540" w:type="dxa"/>
            <w:vAlign w:val="bottom"/>
          </w:tcPr>
          <w:p>
            <w:pPr>
              <w:jc w:val="center"/>
              <w:spacing w:after="0"/>
              <w:rPr>
                <w:sz w:val="20"/>
                <w:szCs w:val="20"/>
                <w:color w:val="auto"/>
              </w:rPr>
            </w:pPr>
            <w:r>
              <w:rPr>
                <w:rFonts w:ascii="Times New Roman" w:cs="Times New Roman" w:eastAsia="Times New Roman" w:hAnsi="Times New Roman"/>
                <w:sz w:val="16"/>
                <w:szCs w:val="16"/>
                <w:color w:val="auto"/>
                <w:w w:val="99"/>
              </w:rPr>
              <w:t>0.60</w:t>
            </w:r>
          </w:p>
        </w:tc>
        <w:tc>
          <w:tcPr>
            <w:tcW w:w="680" w:type="dxa"/>
            <w:vAlign w:val="bottom"/>
          </w:tcPr>
          <w:p>
            <w:pPr>
              <w:jc w:val="center"/>
              <w:spacing w:after="0"/>
              <w:rPr>
                <w:sz w:val="20"/>
                <w:szCs w:val="20"/>
                <w:color w:val="auto"/>
              </w:rPr>
            </w:pPr>
            <w:r>
              <w:rPr>
                <w:rFonts w:ascii="Times New Roman" w:cs="Times New Roman" w:eastAsia="Times New Roman" w:hAnsi="Times New Roman"/>
                <w:sz w:val="16"/>
                <w:szCs w:val="16"/>
                <w:color w:val="auto"/>
                <w:w w:val="99"/>
              </w:rPr>
              <w:t>0.65</w:t>
            </w:r>
          </w:p>
        </w:tc>
        <w:tc>
          <w:tcPr>
            <w:tcW w:w="1300" w:type="dxa"/>
            <w:vAlign w:val="bottom"/>
          </w:tcPr>
          <w:p>
            <w:pPr>
              <w:jc w:val="right"/>
              <w:ind w:right="400"/>
              <w:spacing w:after="0"/>
              <w:rPr>
                <w:sz w:val="20"/>
                <w:szCs w:val="20"/>
                <w:color w:val="auto"/>
              </w:rPr>
            </w:pPr>
            <w:r>
              <w:rPr>
                <w:rFonts w:ascii="Times New Roman" w:cs="Times New Roman" w:eastAsia="Times New Roman" w:hAnsi="Times New Roman"/>
                <w:sz w:val="16"/>
                <w:szCs w:val="16"/>
                <w:color w:val="auto"/>
              </w:rPr>
              <w:t>0.05</w:t>
            </w:r>
          </w:p>
        </w:tc>
        <w:tc>
          <w:tcPr>
            <w:tcW w:w="80" w:type="dxa"/>
            <w:vAlign w:val="bottom"/>
          </w:tcPr>
          <w:p>
            <w:pPr>
              <w:spacing w:after="0"/>
              <w:rPr>
                <w:sz w:val="17"/>
                <w:szCs w:val="17"/>
                <w:color w:val="auto"/>
              </w:rPr>
            </w:pPr>
          </w:p>
        </w:tc>
        <w:tc>
          <w:tcPr>
            <w:tcW w:w="620" w:type="dxa"/>
            <w:vAlign w:val="bottom"/>
            <w:gridSpan w:val="2"/>
          </w:tcPr>
          <w:p>
            <w:pPr>
              <w:jc w:val="center"/>
              <w:spacing w:after="0"/>
              <w:rPr>
                <w:sz w:val="20"/>
                <w:szCs w:val="20"/>
                <w:color w:val="auto"/>
              </w:rPr>
            </w:pPr>
            <w:r>
              <w:rPr>
                <w:rFonts w:ascii="Times New Roman" w:cs="Times New Roman" w:eastAsia="Times New Roman" w:hAnsi="Times New Roman"/>
                <w:sz w:val="16"/>
                <w:szCs w:val="16"/>
                <w:color w:val="auto"/>
                <w:w w:val="99"/>
              </w:rPr>
              <w:t>0.58</w:t>
            </w:r>
          </w:p>
        </w:tc>
        <w:tc>
          <w:tcPr>
            <w:tcW w:w="660" w:type="dxa"/>
            <w:vAlign w:val="bottom"/>
          </w:tcPr>
          <w:p>
            <w:pPr>
              <w:jc w:val="center"/>
              <w:spacing w:after="0"/>
              <w:rPr>
                <w:sz w:val="20"/>
                <w:szCs w:val="20"/>
                <w:color w:val="auto"/>
              </w:rPr>
            </w:pPr>
            <w:r>
              <w:rPr>
                <w:rFonts w:ascii="Times New Roman" w:cs="Times New Roman" w:eastAsia="Times New Roman" w:hAnsi="Times New Roman"/>
                <w:sz w:val="16"/>
                <w:szCs w:val="16"/>
                <w:color w:val="auto"/>
                <w:w w:val="99"/>
              </w:rPr>
              <w:t>0.57</w:t>
            </w:r>
          </w:p>
        </w:tc>
        <w:tc>
          <w:tcPr>
            <w:tcW w:w="1320" w:type="dxa"/>
            <w:vAlign w:val="bottom"/>
          </w:tcPr>
          <w:p>
            <w:pPr>
              <w:jc w:val="right"/>
              <w:ind w:right="400"/>
              <w:spacing w:after="0"/>
              <w:rPr>
                <w:sz w:val="20"/>
                <w:szCs w:val="20"/>
                <w:color w:val="auto"/>
              </w:rPr>
            </w:pPr>
            <w:r>
              <w:rPr>
                <w:rFonts w:ascii="Arial" w:cs="Arial" w:eastAsia="Arial" w:hAnsi="Arial"/>
                <w:sz w:val="16"/>
                <w:szCs w:val="16"/>
                <w:color w:val="auto"/>
              </w:rPr>
              <w:t>2</w:t>
            </w:r>
            <w:r>
              <w:rPr>
                <w:rFonts w:ascii="Times New Roman" w:cs="Times New Roman" w:eastAsia="Times New Roman" w:hAnsi="Times New Roman"/>
                <w:sz w:val="16"/>
                <w:szCs w:val="16"/>
                <w:color w:val="auto"/>
              </w:rPr>
              <w:t>0.01</w:t>
            </w:r>
          </w:p>
        </w:tc>
        <w:tc>
          <w:tcPr>
            <w:tcW w:w="140" w:type="dxa"/>
            <w:vAlign w:val="bottom"/>
          </w:tcPr>
          <w:p>
            <w:pPr>
              <w:spacing w:after="0"/>
              <w:rPr>
                <w:sz w:val="17"/>
                <w:szCs w:val="17"/>
                <w:color w:val="auto"/>
              </w:rPr>
            </w:pPr>
          </w:p>
        </w:tc>
        <w:tc>
          <w:tcPr>
            <w:tcW w:w="1100" w:type="dxa"/>
            <w:vAlign w:val="bottom"/>
          </w:tcPr>
          <w:p>
            <w:pPr>
              <w:jc w:val="right"/>
              <w:ind w:right="300"/>
              <w:spacing w:after="0"/>
              <w:rPr>
                <w:sz w:val="20"/>
                <w:szCs w:val="20"/>
                <w:color w:val="auto"/>
              </w:rPr>
            </w:pPr>
            <w:r>
              <w:rPr>
                <w:rFonts w:ascii="Times New Roman" w:cs="Times New Roman" w:eastAsia="Times New Roman" w:hAnsi="Times New Roman"/>
                <w:sz w:val="16"/>
                <w:szCs w:val="16"/>
                <w:color w:val="auto"/>
              </w:rPr>
              <w:t>0.06</w:t>
            </w:r>
          </w:p>
        </w:tc>
        <w:tc>
          <w:tcPr>
            <w:tcW w:w="1080" w:type="dxa"/>
            <w:vAlign w:val="bottom"/>
          </w:tcPr>
          <w:p>
            <w:pPr>
              <w:jc w:val="right"/>
              <w:ind w:right="260"/>
              <w:spacing w:after="0"/>
              <w:rPr>
                <w:sz w:val="20"/>
                <w:szCs w:val="20"/>
                <w:color w:val="auto"/>
              </w:rPr>
            </w:pPr>
            <w:r>
              <w:rPr>
                <w:rFonts w:ascii="Times New Roman" w:cs="Times New Roman" w:eastAsia="Times New Roman" w:hAnsi="Times New Roman"/>
                <w:sz w:val="16"/>
                <w:szCs w:val="16"/>
                <w:color w:val="auto"/>
              </w:rPr>
              <w:t>0.13</w:t>
            </w:r>
          </w:p>
        </w:tc>
      </w:tr>
      <w:tr>
        <w:trPr>
          <w:trHeight w:val="228"/>
        </w:trPr>
        <w:tc>
          <w:tcPr>
            <w:tcW w:w="2980" w:type="dxa"/>
            <w:vAlign w:val="bottom"/>
          </w:tcPr>
          <w:p>
            <w:pPr>
              <w:spacing w:after="0" w:line="228" w:lineRule="exact"/>
              <w:rPr>
                <w:sz w:val="20"/>
                <w:szCs w:val="20"/>
                <w:color w:val="auto"/>
              </w:rPr>
            </w:pPr>
            <w:r>
              <w:rPr>
                <w:rFonts w:ascii="Times New Roman" w:cs="Times New Roman" w:eastAsia="Times New Roman" w:hAnsi="Times New Roman"/>
                <w:sz w:val="16"/>
                <w:szCs w:val="16"/>
                <w:color w:val="auto"/>
              </w:rPr>
              <w:t>Pays credit card balance each month</w:t>
            </w:r>
            <w:r>
              <w:rPr>
                <w:rFonts w:ascii="Times New Roman" w:cs="Times New Roman" w:eastAsia="Times New Roman" w:hAnsi="Times New Roman"/>
                <w:sz w:val="23"/>
                <w:szCs w:val="23"/>
                <w:color w:val="auto"/>
                <w:vertAlign w:val="superscript"/>
              </w:rPr>
              <w:t>a</w:t>
            </w:r>
          </w:p>
        </w:tc>
        <w:tc>
          <w:tcPr>
            <w:tcW w:w="540" w:type="dxa"/>
            <w:vAlign w:val="bottom"/>
          </w:tcPr>
          <w:p>
            <w:pPr>
              <w:jc w:val="center"/>
              <w:spacing w:after="0"/>
              <w:rPr>
                <w:sz w:val="20"/>
                <w:szCs w:val="20"/>
                <w:color w:val="auto"/>
              </w:rPr>
            </w:pPr>
            <w:r>
              <w:rPr>
                <w:rFonts w:ascii="Times New Roman" w:cs="Times New Roman" w:eastAsia="Times New Roman" w:hAnsi="Times New Roman"/>
                <w:sz w:val="16"/>
                <w:szCs w:val="16"/>
                <w:color w:val="auto"/>
                <w:w w:val="99"/>
              </w:rPr>
              <w:t>0.12</w:t>
            </w:r>
          </w:p>
        </w:tc>
        <w:tc>
          <w:tcPr>
            <w:tcW w:w="680" w:type="dxa"/>
            <w:vAlign w:val="bottom"/>
          </w:tcPr>
          <w:p>
            <w:pPr>
              <w:jc w:val="center"/>
              <w:spacing w:after="0"/>
              <w:rPr>
                <w:sz w:val="20"/>
                <w:szCs w:val="20"/>
                <w:color w:val="auto"/>
              </w:rPr>
            </w:pPr>
            <w:r>
              <w:rPr>
                <w:rFonts w:ascii="Times New Roman" w:cs="Times New Roman" w:eastAsia="Times New Roman" w:hAnsi="Times New Roman"/>
                <w:sz w:val="16"/>
                <w:szCs w:val="16"/>
                <w:color w:val="auto"/>
                <w:w w:val="99"/>
              </w:rPr>
              <w:t>0.15</w:t>
            </w:r>
          </w:p>
        </w:tc>
        <w:tc>
          <w:tcPr>
            <w:tcW w:w="1300" w:type="dxa"/>
            <w:vAlign w:val="bottom"/>
          </w:tcPr>
          <w:p>
            <w:pPr>
              <w:jc w:val="right"/>
              <w:ind w:right="400"/>
              <w:spacing w:after="0"/>
              <w:rPr>
                <w:sz w:val="20"/>
                <w:szCs w:val="20"/>
                <w:color w:val="auto"/>
              </w:rPr>
            </w:pPr>
            <w:r>
              <w:rPr>
                <w:rFonts w:ascii="Times New Roman" w:cs="Times New Roman" w:eastAsia="Times New Roman" w:hAnsi="Times New Roman"/>
                <w:sz w:val="16"/>
                <w:szCs w:val="16"/>
                <w:color w:val="auto"/>
              </w:rPr>
              <w:t>0.03</w:t>
            </w:r>
          </w:p>
        </w:tc>
        <w:tc>
          <w:tcPr>
            <w:tcW w:w="80" w:type="dxa"/>
            <w:vAlign w:val="bottom"/>
          </w:tcPr>
          <w:p>
            <w:pPr>
              <w:spacing w:after="0"/>
              <w:rPr>
                <w:sz w:val="19"/>
                <w:szCs w:val="19"/>
                <w:color w:val="auto"/>
              </w:rPr>
            </w:pPr>
          </w:p>
        </w:tc>
        <w:tc>
          <w:tcPr>
            <w:tcW w:w="620" w:type="dxa"/>
            <w:vAlign w:val="bottom"/>
            <w:gridSpan w:val="2"/>
          </w:tcPr>
          <w:p>
            <w:pPr>
              <w:jc w:val="center"/>
              <w:spacing w:after="0"/>
              <w:rPr>
                <w:sz w:val="20"/>
                <w:szCs w:val="20"/>
                <w:color w:val="auto"/>
              </w:rPr>
            </w:pPr>
            <w:r>
              <w:rPr>
                <w:rFonts w:ascii="Times New Roman" w:cs="Times New Roman" w:eastAsia="Times New Roman" w:hAnsi="Times New Roman"/>
                <w:sz w:val="16"/>
                <w:szCs w:val="16"/>
                <w:color w:val="auto"/>
                <w:w w:val="99"/>
              </w:rPr>
              <w:t>0.13</w:t>
            </w:r>
          </w:p>
        </w:tc>
        <w:tc>
          <w:tcPr>
            <w:tcW w:w="660" w:type="dxa"/>
            <w:vAlign w:val="bottom"/>
          </w:tcPr>
          <w:p>
            <w:pPr>
              <w:jc w:val="center"/>
              <w:spacing w:after="0"/>
              <w:rPr>
                <w:sz w:val="20"/>
                <w:szCs w:val="20"/>
                <w:color w:val="auto"/>
              </w:rPr>
            </w:pPr>
            <w:r>
              <w:rPr>
                <w:rFonts w:ascii="Times New Roman" w:cs="Times New Roman" w:eastAsia="Times New Roman" w:hAnsi="Times New Roman"/>
                <w:sz w:val="16"/>
                <w:szCs w:val="16"/>
                <w:color w:val="auto"/>
                <w:w w:val="99"/>
              </w:rPr>
              <w:t>0.11</w:t>
            </w:r>
          </w:p>
        </w:tc>
        <w:tc>
          <w:tcPr>
            <w:tcW w:w="1320" w:type="dxa"/>
            <w:vAlign w:val="bottom"/>
          </w:tcPr>
          <w:p>
            <w:pPr>
              <w:jc w:val="right"/>
              <w:ind w:right="400"/>
              <w:spacing w:after="0"/>
              <w:rPr>
                <w:sz w:val="20"/>
                <w:szCs w:val="20"/>
                <w:color w:val="auto"/>
              </w:rPr>
            </w:pPr>
            <w:r>
              <w:rPr>
                <w:rFonts w:ascii="Arial" w:cs="Arial" w:eastAsia="Arial" w:hAnsi="Arial"/>
                <w:sz w:val="16"/>
                <w:szCs w:val="16"/>
                <w:color w:val="auto"/>
              </w:rPr>
              <w:t>2</w:t>
            </w:r>
            <w:r>
              <w:rPr>
                <w:rFonts w:ascii="Times New Roman" w:cs="Times New Roman" w:eastAsia="Times New Roman" w:hAnsi="Times New Roman"/>
                <w:sz w:val="16"/>
                <w:szCs w:val="16"/>
                <w:color w:val="auto"/>
              </w:rPr>
              <w:t>0.02</w:t>
            </w:r>
          </w:p>
        </w:tc>
        <w:tc>
          <w:tcPr>
            <w:tcW w:w="140" w:type="dxa"/>
            <w:vAlign w:val="bottom"/>
          </w:tcPr>
          <w:p>
            <w:pPr>
              <w:spacing w:after="0"/>
              <w:rPr>
                <w:sz w:val="19"/>
                <w:szCs w:val="19"/>
                <w:color w:val="auto"/>
              </w:rPr>
            </w:pPr>
          </w:p>
        </w:tc>
        <w:tc>
          <w:tcPr>
            <w:tcW w:w="1100" w:type="dxa"/>
            <w:vAlign w:val="bottom"/>
          </w:tcPr>
          <w:p>
            <w:pPr>
              <w:jc w:val="right"/>
              <w:ind w:right="300"/>
              <w:spacing w:after="0"/>
              <w:rPr>
                <w:sz w:val="20"/>
                <w:szCs w:val="20"/>
                <w:color w:val="auto"/>
              </w:rPr>
            </w:pPr>
            <w:r>
              <w:rPr>
                <w:rFonts w:ascii="Times New Roman" w:cs="Times New Roman" w:eastAsia="Times New Roman" w:hAnsi="Times New Roman"/>
                <w:sz w:val="16"/>
                <w:szCs w:val="16"/>
                <w:color w:val="auto"/>
              </w:rPr>
              <w:t>0.05</w:t>
            </w:r>
          </w:p>
        </w:tc>
        <w:tc>
          <w:tcPr>
            <w:tcW w:w="1080" w:type="dxa"/>
            <w:vAlign w:val="bottom"/>
          </w:tcPr>
          <w:p>
            <w:pPr>
              <w:jc w:val="right"/>
              <w:ind w:right="260"/>
              <w:spacing w:after="0"/>
              <w:rPr>
                <w:sz w:val="20"/>
                <w:szCs w:val="20"/>
                <w:color w:val="auto"/>
              </w:rPr>
            </w:pPr>
            <w:r>
              <w:rPr>
                <w:rFonts w:ascii="Times New Roman" w:cs="Times New Roman" w:eastAsia="Times New Roman" w:hAnsi="Times New Roman"/>
                <w:sz w:val="16"/>
                <w:szCs w:val="16"/>
                <w:color w:val="auto"/>
              </w:rPr>
              <w:t>0.03</w:t>
            </w:r>
          </w:p>
        </w:tc>
      </w:tr>
      <w:tr>
        <w:trPr>
          <w:trHeight w:val="171"/>
        </w:trPr>
        <w:tc>
          <w:tcPr>
            <w:tcW w:w="2980" w:type="dxa"/>
            <w:vAlign w:val="bottom"/>
          </w:tcPr>
          <w:p>
            <w:pPr>
              <w:spacing w:after="0" w:line="163" w:lineRule="exact"/>
              <w:rPr>
                <w:sz w:val="20"/>
                <w:szCs w:val="20"/>
                <w:color w:val="auto"/>
              </w:rPr>
            </w:pPr>
            <w:r>
              <w:rPr>
                <w:rFonts w:ascii="Times New Roman" w:cs="Times New Roman" w:eastAsia="Times New Roman" w:hAnsi="Times New Roman"/>
                <w:sz w:val="16"/>
                <w:szCs w:val="16"/>
                <w:color w:val="auto"/>
              </w:rPr>
              <w:t>Knows mutual funds have risk</w:t>
            </w:r>
          </w:p>
        </w:tc>
        <w:tc>
          <w:tcPr>
            <w:tcW w:w="540" w:type="dxa"/>
            <w:vAlign w:val="bottom"/>
          </w:tcPr>
          <w:p>
            <w:pPr>
              <w:jc w:val="center"/>
              <w:spacing w:after="0" w:line="163" w:lineRule="exact"/>
              <w:rPr>
                <w:sz w:val="20"/>
                <w:szCs w:val="20"/>
                <w:color w:val="auto"/>
              </w:rPr>
            </w:pPr>
            <w:r>
              <w:rPr>
                <w:rFonts w:ascii="Times New Roman" w:cs="Times New Roman" w:eastAsia="Times New Roman" w:hAnsi="Times New Roman"/>
                <w:sz w:val="16"/>
                <w:szCs w:val="16"/>
                <w:color w:val="auto"/>
                <w:w w:val="99"/>
              </w:rPr>
              <w:t>0.30</w:t>
            </w:r>
          </w:p>
        </w:tc>
        <w:tc>
          <w:tcPr>
            <w:tcW w:w="680" w:type="dxa"/>
            <w:vAlign w:val="bottom"/>
          </w:tcPr>
          <w:p>
            <w:pPr>
              <w:jc w:val="center"/>
              <w:spacing w:after="0" w:line="163" w:lineRule="exact"/>
              <w:rPr>
                <w:sz w:val="20"/>
                <w:szCs w:val="20"/>
                <w:color w:val="auto"/>
              </w:rPr>
            </w:pPr>
            <w:r>
              <w:rPr>
                <w:rFonts w:ascii="Times New Roman" w:cs="Times New Roman" w:eastAsia="Times New Roman" w:hAnsi="Times New Roman"/>
                <w:sz w:val="16"/>
                <w:szCs w:val="16"/>
                <w:color w:val="auto"/>
                <w:w w:val="99"/>
              </w:rPr>
              <w:t>0.31</w:t>
            </w:r>
          </w:p>
        </w:tc>
        <w:tc>
          <w:tcPr>
            <w:tcW w:w="1300" w:type="dxa"/>
            <w:vAlign w:val="bottom"/>
          </w:tcPr>
          <w:p>
            <w:pPr>
              <w:jc w:val="right"/>
              <w:ind w:right="400"/>
              <w:spacing w:after="0" w:line="163" w:lineRule="exact"/>
              <w:rPr>
                <w:sz w:val="20"/>
                <w:szCs w:val="20"/>
                <w:color w:val="auto"/>
              </w:rPr>
            </w:pPr>
            <w:r>
              <w:rPr>
                <w:rFonts w:ascii="Times New Roman" w:cs="Times New Roman" w:eastAsia="Times New Roman" w:hAnsi="Times New Roman"/>
                <w:sz w:val="16"/>
                <w:szCs w:val="16"/>
                <w:color w:val="auto"/>
              </w:rPr>
              <w:t>0.01</w:t>
            </w:r>
          </w:p>
        </w:tc>
        <w:tc>
          <w:tcPr>
            <w:tcW w:w="80" w:type="dxa"/>
            <w:vAlign w:val="bottom"/>
          </w:tcPr>
          <w:p>
            <w:pPr>
              <w:spacing w:after="0"/>
              <w:rPr>
                <w:sz w:val="14"/>
                <w:szCs w:val="14"/>
                <w:color w:val="auto"/>
              </w:rPr>
            </w:pPr>
          </w:p>
        </w:tc>
        <w:tc>
          <w:tcPr>
            <w:tcW w:w="620" w:type="dxa"/>
            <w:vAlign w:val="bottom"/>
            <w:gridSpan w:val="2"/>
          </w:tcPr>
          <w:p>
            <w:pPr>
              <w:jc w:val="center"/>
              <w:spacing w:after="0" w:line="163" w:lineRule="exact"/>
              <w:rPr>
                <w:sz w:val="20"/>
                <w:szCs w:val="20"/>
                <w:color w:val="auto"/>
              </w:rPr>
            </w:pPr>
            <w:r>
              <w:rPr>
                <w:rFonts w:ascii="Times New Roman" w:cs="Times New Roman" w:eastAsia="Times New Roman" w:hAnsi="Times New Roman"/>
                <w:sz w:val="16"/>
                <w:szCs w:val="16"/>
                <w:color w:val="auto"/>
                <w:w w:val="99"/>
              </w:rPr>
              <w:t>0.35</w:t>
            </w:r>
          </w:p>
        </w:tc>
        <w:tc>
          <w:tcPr>
            <w:tcW w:w="660" w:type="dxa"/>
            <w:vAlign w:val="bottom"/>
          </w:tcPr>
          <w:p>
            <w:pPr>
              <w:jc w:val="center"/>
              <w:spacing w:after="0" w:line="163" w:lineRule="exact"/>
              <w:rPr>
                <w:sz w:val="20"/>
                <w:szCs w:val="20"/>
                <w:color w:val="auto"/>
              </w:rPr>
            </w:pPr>
            <w:r>
              <w:rPr>
                <w:rFonts w:ascii="Times New Roman" w:cs="Times New Roman" w:eastAsia="Times New Roman" w:hAnsi="Times New Roman"/>
                <w:sz w:val="16"/>
                <w:szCs w:val="16"/>
                <w:color w:val="auto"/>
                <w:w w:val="99"/>
              </w:rPr>
              <w:t>0.30</w:t>
            </w:r>
          </w:p>
        </w:tc>
        <w:tc>
          <w:tcPr>
            <w:tcW w:w="1320" w:type="dxa"/>
            <w:vAlign w:val="bottom"/>
          </w:tcPr>
          <w:p>
            <w:pPr>
              <w:jc w:val="right"/>
              <w:ind w:right="400"/>
              <w:spacing w:after="0" w:line="171" w:lineRule="exact"/>
              <w:rPr>
                <w:sz w:val="20"/>
                <w:szCs w:val="20"/>
                <w:color w:val="auto"/>
              </w:rPr>
            </w:pPr>
            <w:r>
              <w:rPr>
                <w:rFonts w:ascii="Arial" w:cs="Arial" w:eastAsia="Arial" w:hAnsi="Arial"/>
                <w:sz w:val="16"/>
                <w:szCs w:val="16"/>
                <w:color w:val="auto"/>
              </w:rPr>
              <w:t>2</w:t>
            </w:r>
            <w:r>
              <w:rPr>
                <w:rFonts w:ascii="Times New Roman" w:cs="Times New Roman" w:eastAsia="Times New Roman" w:hAnsi="Times New Roman"/>
                <w:sz w:val="16"/>
                <w:szCs w:val="16"/>
                <w:color w:val="auto"/>
              </w:rPr>
              <w:t>0.05</w:t>
            </w:r>
          </w:p>
        </w:tc>
        <w:tc>
          <w:tcPr>
            <w:tcW w:w="140" w:type="dxa"/>
            <w:vAlign w:val="bottom"/>
          </w:tcPr>
          <w:p>
            <w:pPr>
              <w:spacing w:after="0"/>
              <w:rPr>
                <w:sz w:val="14"/>
                <w:szCs w:val="14"/>
                <w:color w:val="auto"/>
              </w:rPr>
            </w:pPr>
          </w:p>
        </w:tc>
        <w:tc>
          <w:tcPr>
            <w:tcW w:w="1100" w:type="dxa"/>
            <w:vAlign w:val="bottom"/>
          </w:tcPr>
          <w:p>
            <w:pPr>
              <w:jc w:val="right"/>
              <w:ind w:right="300"/>
              <w:spacing w:after="0" w:line="163" w:lineRule="exact"/>
              <w:rPr>
                <w:sz w:val="20"/>
                <w:szCs w:val="20"/>
                <w:color w:val="auto"/>
              </w:rPr>
            </w:pPr>
            <w:r>
              <w:rPr>
                <w:rFonts w:ascii="Times New Roman" w:cs="Times New Roman" w:eastAsia="Times New Roman" w:hAnsi="Times New Roman"/>
                <w:sz w:val="16"/>
                <w:szCs w:val="16"/>
                <w:color w:val="auto"/>
              </w:rPr>
              <w:t>0.06</w:t>
            </w:r>
          </w:p>
        </w:tc>
        <w:tc>
          <w:tcPr>
            <w:tcW w:w="1080" w:type="dxa"/>
            <w:vAlign w:val="bottom"/>
          </w:tcPr>
          <w:p>
            <w:pPr>
              <w:jc w:val="right"/>
              <w:ind w:right="260"/>
              <w:spacing w:after="0" w:line="163" w:lineRule="exact"/>
              <w:rPr>
                <w:sz w:val="20"/>
                <w:szCs w:val="20"/>
                <w:color w:val="auto"/>
              </w:rPr>
            </w:pPr>
            <w:r>
              <w:rPr>
                <w:rFonts w:ascii="Times New Roman" w:cs="Times New Roman" w:eastAsia="Times New Roman" w:hAnsi="Times New Roman"/>
                <w:sz w:val="16"/>
                <w:szCs w:val="16"/>
                <w:color w:val="auto"/>
              </w:rPr>
              <w:t>0.06</w:t>
            </w:r>
          </w:p>
        </w:tc>
      </w:tr>
      <w:tr>
        <w:trPr>
          <w:trHeight w:val="200"/>
        </w:trPr>
        <w:tc>
          <w:tcPr>
            <w:tcW w:w="2980" w:type="dxa"/>
            <w:vAlign w:val="bottom"/>
          </w:tcPr>
          <w:p>
            <w:pPr>
              <w:spacing w:after="0"/>
              <w:rPr>
                <w:sz w:val="20"/>
                <w:szCs w:val="20"/>
                <w:color w:val="auto"/>
              </w:rPr>
            </w:pPr>
            <w:r>
              <w:rPr>
                <w:rFonts w:ascii="Times New Roman" w:cs="Times New Roman" w:eastAsia="Times New Roman" w:hAnsi="Times New Roman"/>
                <w:sz w:val="16"/>
                <w:szCs w:val="16"/>
                <w:color w:val="auto"/>
              </w:rPr>
              <w:t>Knows how to minimize credit card interest</w:t>
            </w:r>
          </w:p>
        </w:tc>
        <w:tc>
          <w:tcPr>
            <w:tcW w:w="540" w:type="dxa"/>
            <w:vAlign w:val="bottom"/>
          </w:tcPr>
          <w:p>
            <w:pPr>
              <w:jc w:val="center"/>
              <w:spacing w:after="0"/>
              <w:rPr>
                <w:sz w:val="20"/>
                <w:szCs w:val="20"/>
                <w:color w:val="auto"/>
              </w:rPr>
            </w:pPr>
            <w:r>
              <w:rPr>
                <w:rFonts w:ascii="Times New Roman" w:cs="Times New Roman" w:eastAsia="Times New Roman" w:hAnsi="Times New Roman"/>
                <w:sz w:val="16"/>
                <w:szCs w:val="16"/>
                <w:color w:val="auto"/>
                <w:w w:val="99"/>
              </w:rPr>
              <w:t>0.88</w:t>
            </w:r>
          </w:p>
        </w:tc>
        <w:tc>
          <w:tcPr>
            <w:tcW w:w="680" w:type="dxa"/>
            <w:vAlign w:val="bottom"/>
          </w:tcPr>
          <w:p>
            <w:pPr>
              <w:jc w:val="center"/>
              <w:spacing w:after="0"/>
              <w:rPr>
                <w:sz w:val="20"/>
                <w:szCs w:val="20"/>
                <w:color w:val="auto"/>
              </w:rPr>
            </w:pPr>
            <w:r>
              <w:rPr>
                <w:rFonts w:ascii="Times New Roman" w:cs="Times New Roman" w:eastAsia="Times New Roman" w:hAnsi="Times New Roman"/>
                <w:sz w:val="16"/>
                <w:szCs w:val="16"/>
                <w:color w:val="auto"/>
                <w:w w:val="99"/>
              </w:rPr>
              <w:t>0.86</w:t>
            </w:r>
          </w:p>
        </w:tc>
        <w:tc>
          <w:tcPr>
            <w:tcW w:w="1300" w:type="dxa"/>
            <w:vAlign w:val="bottom"/>
          </w:tcPr>
          <w:p>
            <w:pPr>
              <w:jc w:val="right"/>
              <w:ind w:right="400"/>
              <w:spacing w:after="0"/>
              <w:rPr>
                <w:sz w:val="20"/>
                <w:szCs w:val="20"/>
                <w:color w:val="auto"/>
              </w:rPr>
            </w:pPr>
            <w:r>
              <w:rPr>
                <w:rFonts w:ascii="Arial" w:cs="Arial" w:eastAsia="Arial" w:hAnsi="Arial"/>
                <w:sz w:val="16"/>
                <w:szCs w:val="16"/>
                <w:color w:val="auto"/>
              </w:rPr>
              <w:t>2</w:t>
            </w:r>
            <w:r>
              <w:rPr>
                <w:rFonts w:ascii="Times New Roman" w:cs="Times New Roman" w:eastAsia="Times New Roman" w:hAnsi="Times New Roman"/>
                <w:sz w:val="16"/>
                <w:szCs w:val="16"/>
                <w:color w:val="auto"/>
              </w:rPr>
              <w:t>0.02</w:t>
            </w:r>
          </w:p>
        </w:tc>
        <w:tc>
          <w:tcPr>
            <w:tcW w:w="80" w:type="dxa"/>
            <w:vAlign w:val="bottom"/>
          </w:tcPr>
          <w:p>
            <w:pPr>
              <w:spacing w:after="0"/>
              <w:rPr>
                <w:sz w:val="17"/>
                <w:szCs w:val="17"/>
                <w:color w:val="auto"/>
              </w:rPr>
            </w:pPr>
          </w:p>
        </w:tc>
        <w:tc>
          <w:tcPr>
            <w:tcW w:w="620" w:type="dxa"/>
            <w:vAlign w:val="bottom"/>
            <w:gridSpan w:val="2"/>
          </w:tcPr>
          <w:p>
            <w:pPr>
              <w:jc w:val="center"/>
              <w:spacing w:after="0"/>
              <w:rPr>
                <w:sz w:val="20"/>
                <w:szCs w:val="20"/>
                <w:color w:val="auto"/>
              </w:rPr>
            </w:pPr>
            <w:r>
              <w:rPr>
                <w:rFonts w:ascii="Times New Roman" w:cs="Times New Roman" w:eastAsia="Times New Roman" w:hAnsi="Times New Roman"/>
                <w:sz w:val="16"/>
                <w:szCs w:val="16"/>
                <w:color w:val="auto"/>
                <w:w w:val="99"/>
              </w:rPr>
              <w:t>0.86</w:t>
            </w:r>
          </w:p>
        </w:tc>
        <w:tc>
          <w:tcPr>
            <w:tcW w:w="660" w:type="dxa"/>
            <w:vAlign w:val="bottom"/>
          </w:tcPr>
          <w:p>
            <w:pPr>
              <w:jc w:val="center"/>
              <w:spacing w:after="0"/>
              <w:rPr>
                <w:sz w:val="20"/>
                <w:szCs w:val="20"/>
                <w:color w:val="auto"/>
              </w:rPr>
            </w:pPr>
            <w:r>
              <w:rPr>
                <w:rFonts w:ascii="Times New Roman" w:cs="Times New Roman" w:eastAsia="Times New Roman" w:hAnsi="Times New Roman"/>
                <w:sz w:val="16"/>
                <w:szCs w:val="16"/>
                <w:color w:val="auto"/>
                <w:w w:val="99"/>
              </w:rPr>
              <w:t>0.88</w:t>
            </w:r>
          </w:p>
        </w:tc>
        <w:tc>
          <w:tcPr>
            <w:tcW w:w="1320" w:type="dxa"/>
            <w:vAlign w:val="bottom"/>
          </w:tcPr>
          <w:p>
            <w:pPr>
              <w:jc w:val="right"/>
              <w:ind w:right="400"/>
              <w:spacing w:after="0"/>
              <w:rPr>
                <w:sz w:val="20"/>
                <w:szCs w:val="20"/>
                <w:color w:val="auto"/>
              </w:rPr>
            </w:pPr>
            <w:r>
              <w:rPr>
                <w:rFonts w:ascii="Times New Roman" w:cs="Times New Roman" w:eastAsia="Times New Roman" w:hAnsi="Times New Roman"/>
                <w:sz w:val="16"/>
                <w:szCs w:val="16"/>
                <w:color w:val="auto"/>
              </w:rPr>
              <w:t>0.02</w:t>
            </w:r>
          </w:p>
        </w:tc>
        <w:tc>
          <w:tcPr>
            <w:tcW w:w="140" w:type="dxa"/>
            <w:vAlign w:val="bottom"/>
          </w:tcPr>
          <w:p>
            <w:pPr>
              <w:spacing w:after="0"/>
              <w:rPr>
                <w:sz w:val="17"/>
                <w:szCs w:val="17"/>
                <w:color w:val="auto"/>
              </w:rPr>
            </w:pPr>
          </w:p>
        </w:tc>
        <w:tc>
          <w:tcPr>
            <w:tcW w:w="1100" w:type="dxa"/>
            <w:vAlign w:val="bottom"/>
          </w:tcPr>
          <w:p>
            <w:pPr>
              <w:jc w:val="right"/>
              <w:ind w:right="300"/>
              <w:spacing w:after="0"/>
              <w:rPr>
                <w:sz w:val="20"/>
                <w:szCs w:val="20"/>
                <w:color w:val="auto"/>
              </w:rPr>
            </w:pPr>
            <w:r>
              <w:rPr>
                <w:rFonts w:ascii="Arial" w:cs="Arial" w:eastAsia="Arial" w:hAnsi="Arial"/>
                <w:sz w:val="16"/>
                <w:szCs w:val="16"/>
                <w:color w:val="auto"/>
              </w:rPr>
              <w:t>2</w:t>
            </w:r>
            <w:r>
              <w:rPr>
                <w:rFonts w:ascii="Times New Roman" w:cs="Times New Roman" w:eastAsia="Times New Roman" w:hAnsi="Times New Roman"/>
                <w:sz w:val="16"/>
                <w:szCs w:val="16"/>
                <w:color w:val="auto"/>
              </w:rPr>
              <w:t>0.04</w:t>
            </w:r>
          </w:p>
        </w:tc>
        <w:tc>
          <w:tcPr>
            <w:tcW w:w="1080" w:type="dxa"/>
            <w:vAlign w:val="bottom"/>
          </w:tcPr>
          <w:p>
            <w:pPr>
              <w:jc w:val="right"/>
              <w:ind w:right="260"/>
              <w:spacing w:after="0"/>
              <w:rPr>
                <w:sz w:val="20"/>
                <w:szCs w:val="20"/>
                <w:color w:val="auto"/>
              </w:rPr>
            </w:pPr>
            <w:r>
              <w:rPr>
                <w:rFonts w:ascii="Arial" w:cs="Arial" w:eastAsia="Arial" w:hAnsi="Arial"/>
                <w:sz w:val="16"/>
                <w:szCs w:val="16"/>
                <w:color w:val="auto"/>
              </w:rPr>
              <w:t>2</w:t>
            </w:r>
            <w:r>
              <w:rPr>
                <w:rFonts w:ascii="Times New Roman" w:cs="Times New Roman" w:eastAsia="Times New Roman" w:hAnsi="Times New Roman"/>
                <w:sz w:val="16"/>
                <w:szCs w:val="16"/>
                <w:color w:val="auto"/>
              </w:rPr>
              <w:t>0.04</w:t>
            </w:r>
          </w:p>
        </w:tc>
      </w:tr>
      <w:tr>
        <w:trPr>
          <w:trHeight w:val="198"/>
        </w:trPr>
        <w:tc>
          <w:tcPr>
            <w:tcW w:w="2980" w:type="dxa"/>
            <w:vAlign w:val="bottom"/>
          </w:tcPr>
          <w:p>
            <w:pPr>
              <w:spacing w:after="0"/>
              <w:rPr>
                <w:sz w:val="20"/>
                <w:szCs w:val="20"/>
                <w:color w:val="auto"/>
              </w:rPr>
            </w:pPr>
            <w:r>
              <w:rPr>
                <w:rFonts w:ascii="Times New Roman" w:cs="Times New Roman" w:eastAsia="Times New Roman" w:hAnsi="Times New Roman"/>
                <w:sz w:val="16"/>
                <w:szCs w:val="16"/>
                <w:color w:val="auto"/>
              </w:rPr>
              <w:t>Uses Internet often</w:t>
            </w:r>
          </w:p>
        </w:tc>
        <w:tc>
          <w:tcPr>
            <w:tcW w:w="540" w:type="dxa"/>
            <w:vAlign w:val="bottom"/>
          </w:tcPr>
          <w:p>
            <w:pPr>
              <w:jc w:val="center"/>
              <w:spacing w:after="0"/>
              <w:rPr>
                <w:sz w:val="20"/>
                <w:szCs w:val="20"/>
                <w:color w:val="auto"/>
              </w:rPr>
            </w:pPr>
            <w:r>
              <w:rPr>
                <w:rFonts w:ascii="Times New Roman" w:cs="Times New Roman" w:eastAsia="Times New Roman" w:hAnsi="Times New Roman"/>
                <w:sz w:val="16"/>
                <w:szCs w:val="16"/>
                <w:color w:val="auto"/>
                <w:w w:val="99"/>
              </w:rPr>
              <w:t>0.24</w:t>
            </w:r>
          </w:p>
        </w:tc>
        <w:tc>
          <w:tcPr>
            <w:tcW w:w="680" w:type="dxa"/>
            <w:vAlign w:val="bottom"/>
          </w:tcPr>
          <w:p>
            <w:pPr>
              <w:jc w:val="center"/>
              <w:spacing w:after="0"/>
              <w:rPr>
                <w:sz w:val="20"/>
                <w:szCs w:val="20"/>
                <w:color w:val="auto"/>
              </w:rPr>
            </w:pPr>
            <w:r>
              <w:rPr>
                <w:rFonts w:ascii="Times New Roman" w:cs="Times New Roman" w:eastAsia="Times New Roman" w:hAnsi="Times New Roman"/>
                <w:sz w:val="16"/>
                <w:szCs w:val="16"/>
                <w:color w:val="auto"/>
                <w:w w:val="99"/>
              </w:rPr>
              <w:t>0.41</w:t>
            </w:r>
          </w:p>
        </w:tc>
        <w:tc>
          <w:tcPr>
            <w:tcW w:w="1300" w:type="dxa"/>
            <w:vAlign w:val="bottom"/>
          </w:tcPr>
          <w:p>
            <w:pPr>
              <w:jc w:val="right"/>
              <w:ind w:right="240"/>
              <w:spacing w:after="0"/>
              <w:rPr>
                <w:sz w:val="20"/>
                <w:szCs w:val="20"/>
                <w:color w:val="auto"/>
              </w:rPr>
            </w:pPr>
            <w:r>
              <w:rPr>
                <w:rFonts w:ascii="Times New Roman" w:cs="Times New Roman" w:eastAsia="Times New Roman" w:hAnsi="Times New Roman"/>
                <w:sz w:val="16"/>
                <w:szCs w:val="16"/>
                <w:color w:val="auto"/>
              </w:rPr>
              <w:t>0.17**</w:t>
            </w:r>
          </w:p>
        </w:tc>
        <w:tc>
          <w:tcPr>
            <w:tcW w:w="80" w:type="dxa"/>
            <w:vAlign w:val="bottom"/>
          </w:tcPr>
          <w:p>
            <w:pPr>
              <w:spacing w:after="0"/>
              <w:rPr>
                <w:sz w:val="17"/>
                <w:szCs w:val="17"/>
                <w:color w:val="auto"/>
              </w:rPr>
            </w:pPr>
          </w:p>
        </w:tc>
        <w:tc>
          <w:tcPr>
            <w:tcW w:w="620" w:type="dxa"/>
            <w:vAlign w:val="bottom"/>
            <w:gridSpan w:val="2"/>
          </w:tcPr>
          <w:p>
            <w:pPr>
              <w:jc w:val="center"/>
              <w:spacing w:after="0"/>
              <w:rPr>
                <w:sz w:val="20"/>
                <w:szCs w:val="20"/>
                <w:color w:val="auto"/>
              </w:rPr>
            </w:pPr>
            <w:r>
              <w:rPr>
                <w:rFonts w:ascii="Times New Roman" w:cs="Times New Roman" w:eastAsia="Times New Roman" w:hAnsi="Times New Roman"/>
                <w:sz w:val="16"/>
                <w:szCs w:val="16"/>
                <w:color w:val="auto"/>
                <w:w w:val="99"/>
              </w:rPr>
              <w:t>0.14</w:t>
            </w:r>
          </w:p>
        </w:tc>
        <w:tc>
          <w:tcPr>
            <w:tcW w:w="660" w:type="dxa"/>
            <w:vAlign w:val="bottom"/>
          </w:tcPr>
          <w:p>
            <w:pPr>
              <w:jc w:val="center"/>
              <w:spacing w:after="0"/>
              <w:rPr>
                <w:sz w:val="20"/>
                <w:szCs w:val="20"/>
                <w:color w:val="auto"/>
              </w:rPr>
            </w:pPr>
            <w:r>
              <w:rPr>
                <w:rFonts w:ascii="Times New Roman" w:cs="Times New Roman" w:eastAsia="Times New Roman" w:hAnsi="Times New Roman"/>
                <w:sz w:val="16"/>
                <w:szCs w:val="16"/>
                <w:color w:val="auto"/>
                <w:w w:val="99"/>
              </w:rPr>
              <w:t>0.32</w:t>
            </w:r>
          </w:p>
        </w:tc>
        <w:tc>
          <w:tcPr>
            <w:tcW w:w="1320" w:type="dxa"/>
            <w:vAlign w:val="bottom"/>
          </w:tcPr>
          <w:p>
            <w:pPr>
              <w:jc w:val="right"/>
              <w:ind w:right="260"/>
              <w:spacing w:after="0"/>
              <w:rPr>
                <w:sz w:val="20"/>
                <w:szCs w:val="20"/>
                <w:color w:val="auto"/>
              </w:rPr>
            </w:pPr>
            <w:r>
              <w:rPr>
                <w:rFonts w:ascii="Times New Roman" w:cs="Times New Roman" w:eastAsia="Times New Roman" w:hAnsi="Times New Roman"/>
                <w:sz w:val="16"/>
                <w:szCs w:val="16"/>
                <w:color w:val="auto"/>
              </w:rPr>
              <w:t>0.18**</w:t>
            </w:r>
          </w:p>
        </w:tc>
        <w:tc>
          <w:tcPr>
            <w:tcW w:w="140" w:type="dxa"/>
            <w:vAlign w:val="bottom"/>
          </w:tcPr>
          <w:p>
            <w:pPr>
              <w:spacing w:after="0"/>
              <w:rPr>
                <w:sz w:val="17"/>
                <w:szCs w:val="17"/>
                <w:color w:val="auto"/>
              </w:rPr>
            </w:pPr>
          </w:p>
        </w:tc>
        <w:tc>
          <w:tcPr>
            <w:tcW w:w="1100" w:type="dxa"/>
            <w:vAlign w:val="bottom"/>
          </w:tcPr>
          <w:p>
            <w:pPr>
              <w:jc w:val="right"/>
              <w:ind w:right="300"/>
              <w:spacing w:after="0"/>
              <w:rPr>
                <w:sz w:val="20"/>
                <w:szCs w:val="20"/>
                <w:color w:val="auto"/>
              </w:rPr>
            </w:pPr>
            <w:r>
              <w:rPr>
                <w:rFonts w:ascii="Arial" w:cs="Arial" w:eastAsia="Arial" w:hAnsi="Arial"/>
                <w:sz w:val="16"/>
                <w:szCs w:val="16"/>
                <w:color w:val="auto"/>
              </w:rPr>
              <w:t>2</w:t>
            </w:r>
            <w:r>
              <w:rPr>
                <w:rFonts w:ascii="Times New Roman" w:cs="Times New Roman" w:eastAsia="Times New Roman" w:hAnsi="Times New Roman"/>
                <w:sz w:val="16"/>
                <w:szCs w:val="16"/>
                <w:color w:val="auto"/>
              </w:rPr>
              <w:t>0.01</w:t>
            </w:r>
          </w:p>
        </w:tc>
        <w:tc>
          <w:tcPr>
            <w:tcW w:w="1080" w:type="dxa"/>
            <w:vAlign w:val="bottom"/>
          </w:tcPr>
          <w:p>
            <w:pPr>
              <w:jc w:val="right"/>
              <w:ind w:right="260"/>
              <w:spacing w:after="0"/>
              <w:rPr>
                <w:sz w:val="20"/>
                <w:szCs w:val="20"/>
                <w:color w:val="auto"/>
              </w:rPr>
            </w:pPr>
            <w:r>
              <w:rPr>
                <w:rFonts w:ascii="Times New Roman" w:cs="Times New Roman" w:eastAsia="Times New Roman" w:hAnsi="Times New Roman"/>
                <w:sz w:val="16"/>
                <w:szCs w:val="16"/>
                <w:color w:val="auto"/>
              </w:rPr>
              <w:t>0.02</w:t>
            </w:r>
          </w:p>
        </w:tc>
      </w:tr>
      <w:tr>
        <w:trPr>
          <w:trHeight w:val="200"/>
        </w:trPr>
        <w:tc>
          <w:tcPr>
            <w:tcW w:w="2980" w:type="dxa"/>
            <w:vAlign w:val="bottom"/>
          </w:tcPr>
          <w:p>
            <w:pPr>
              <w:spacing w:after="0"/>
              <w:rPr>
                <w:sz w:val="20"/>
                <w:szCs w:val="20"/>
                <w:color w:val="auto"/>
              </w:rPr>
            </w:pPr>
            <w:r>
              <w:rPr>
                <w:rFonts w:ascii="Times New Roman" w:cs="Times New Roman" w:eastAsia="Times New Roman" w:hAnsi="Times New Roman"/>
                <w:sz w:val="16"/>
                <w:szCs w:val="16"/>
                <w:color w:val="auto"/>
              </w:rPr>
              <w:t>Uses Internet sometimes</w:t>
            </w:r>
          </w:p>
        </w:tc>
        <w:tc>
          <w:tcPr>
            <w:tcW w:w="540" w:type="dxa"/>
            <w:vAlign w:val="bottom"/>
          </w:tcPr>
          <w:p>
            <w:pPr>
              <w:jc w:val="center"/>
              <w:spacing w:after="0"/>
              <w:rPr>
                <w:sz w:val="20"/>
                <w:szCs w:val="20"/>
                <w:color w:val="auto"/>
              </w:rPr>
            </w:pPr>
            <w:r>
              <w:rPr>
                <w:rFonts w:ascii="Times New Roman" w:cs="Times New Roman" w:eastAsia="Times New Roman" w:hAnsi="Times New Roman"/>
                <w:sz w:val="16"/>
                <w:szCs w:val="16"/>
                <w:color w:val="auto"/>
                <w:w w:val="99"/>
              </w:rPr>
              <w:t>0.28</w:t>
            </w:r>
          </w:p>
        </w:tc>
        <w:tc>
          <w:tcPr>
            <w:tcW w:w="680" w:type="dxa"/>
            <w:vAlign w:val="bottom"/>
          </w:tcPr>
          <w:p>
            <w:pPr>
              <w:jc w:val="center"/>
              <w:spacing w:after="0"/>
              <w:rPr>
                <w:sz w:val="20"/>
                <w:szCs w:val="20"/>
                <w:color w:val="auto"/>
              </w:rPr>
            </w:pPr>
            <w:r>
              <w:rPr>
                <w:rFonts w:ascii="Times New Roman" w:cs="Times New Roman" w:eastAsia="Times New Roman" w:hAnsi="Times New Roman"/>
                <w:sz w:val="16"/>
                <w:szCs w:val="16"/>
                <w:color w:val="auto"/>
                <w:w w:val="99"/>
              </w:rPr>
              <w:t>0.27</w:t>
            </w:r>
          </w:p>
        </w:tc>
        <w:tc>
          <w:tcPr>
            <w:tcW w:w="1300" w:type="dxa"/>
            <w:vAlign w:val="bottom"/>
          </w:tcPr>
          <w:p>
            <w:pPr>
              <w:jc w:val="right"/>
              <w:ind w:right="400"/>
              <w:spacing w:after="0"/>
              <w:rPr>
                <w:sz w:val="20"/>
                <w:szCs w:val="20"/>
                <w:color w:val="auto"/>
              </w:rPr>
            </w:pPr>
            <w:r>
              <w:rPr>
                <w:rFonts w:ascii="Arial" w:cs="Arial" w:eastAsia="Arial" w:hAnsi="Arial"/>
                <w:sz w:val="16"/>
                <w:szCs w:val="16"/>
                <w:color w:val="auto"/>
              </w:rPr>
              <w:t>2</w:t>
            </w:r>
            <w:r>
              <w:rPr>
                <w:rFonts w:ascii="Times New Roman" w:cs="Times New Roman" w:eastAsia="Times New Roman" w:hAnsi="Times New Roman"/>
                <w:sz w:val="16"/>
                <w:szCs w:val="16"/>
                <w:color w:val="auto"/>
              </w:rPr>
              <w:t>0.01</w:t>
            </w:r>
          </w:p>
        </w:tc>
        <w:tc>
          <w:tcPr>
            <w:tcW w:w="80" w:type="dxa"/>
            <w:vAlign w:val="bottom"/>
          </w:tcPr>
          <w:p>
            <w:pPr>
              <w:spacing w:after="0"/>
              <w:rPr>
                <w:sz w:val="17"/>
                <w:szCs w:val="17"/>
                <w:color w:val="auto"/>
              </w:rPr>
            </w:pPr>
          </w:p>
        </w:tc>
        <w:tc>
          <w:tcPr>
            <w:tcW w:w="620" w:type="dxa"/>
            <w:vAlign w:val="bottom"/>
            <w:gridSpan w:val="2"/>
          </w:tcPr>
          <w:p>
            <w:pPr>
              <w:jc w:val="center"/>
              <w:spacing w:after="0"/>
              <w:rPr>
                <w:sz w:val="20"/>
                <w:szCs w:val="20"/>
                <w:color w:val="auto"/>
              </w:rPr>
            </w:pPr>
            <w:r>
              <w:rPr>
                <w:rFonts w:ascii="Times New Roman" w:cs="Times New Roman" w:eastAsia="Times New Roman" w:hAnsi="Times New Roman"/>
                <w:sz w:val="16"/>
                <w:szCs w:val="16"/>
                <w:color w:val="auto"/>
                <w:w w:val="99"/>
              </w:rPr>
              <w:t>0.10</w:t>
            </w:r>
          </w:p>
        </w:tc>
        <w:tc>
          <w:tcPr>
            <w:tcW w:w="660" w:type="dxa"/>
            <w:vAlign w:val="bottom"/>
          </w:tcPr>
          <w:p>
            <w:pPr>
              <w:jc w:val="center"/>
              <w:spacing w:after="0"/>
              <w:rPr>
                <w:sz w:val="20"/>
                <w:szCs w:val="20"/>
                <w:color w:val="auto"/>
              </w:rPr>
            </w:pPr>
            <w:r>
              <w:rPr>
                <w:rFonts w:ascii="Times New Roman" w:cs="Times New Roman" w:eastAsia="Times New Roman" w:hAnsi="Times New Roman"/>
                <w:sz w:val="16"/>
                <w:szCs w:val="16"/>
                <w:color w:val="auto"/>
                <w:w w:val="99"/>
              </w:rPr>
              <w:t>0.17</w:t>
            </w:r>
          </w:p>
        </w:tc>
        <w:tc>
          <w:tcPr>
            <w:tcW w:w="1320" w:type="dxa"/>
            <w:vAlign w:val="bottom"/>
          </w:tcPr>
          <w:p>
            <w:pPr>
              <w:jc w:val="right"/>
              <w:ind w:right="400"/>
              <w:spacing w:after="0"/>
              <w:rPr>
                <w:sz w:val="20"/>
                <w:szCs w:val="20"/>
                <w:color w:val="auto"/>
              </w:rPr>
            </w:pPr>
            <w:r>
              <w:rPr>
                <w:rFonts w:ascii="Times New Roman" w:cs="Times New Roman" w:eastAsia="Times New Roman" w:hAnsi="Times New Roman"/>
                <w:sz w:val="16"/>
                <w:szCs w:val="16"/>
                <w:color w:val="auto"/>
              </w:rPr>
              <w:t>0.07</w:t>
            </w:r>
          </w:p>
        </w:tc>
        <w:tc>
          <w:tcPr>
            <w:tcW w:w="140" w:type="dxa"/>
            <w:vAlign w:val="bottom"/>
          </w:tcPr>
          <w:p>
            <w:pPr>
              <w:spacing w:after="0"/>
              <w:rPr>
                <w:sz w:val="17"/>
                <w:szCs w:val="17"/>
                <w:color w:val="auto"/>
              </w:rPr>
            </w:pPr>
          </w:p>
        </w:tc>
        <w:tc>
          <w:tcPr>
            <w:tcW w:w="1100" w:type="dxa"/>
            <w:vAlign w:val="bottom"/>
          </w:tcPr>
          <w:p>
            <w:pPr>
              <w:jc w:val="right"/>
              <w:ind w:right="300"/>
              <w:spacing w:after="0"/>
              <w:rPr>
                <w:sz w:val="20"/>
                <w:szCs w:val="20"/>
                <w:color w:val="auto"/>
              </w:rPr>
            </w:pPr>
            <w:r>
              <w:rPr>
                <w:rFonts w:ascii="Arial" w:cs="Arial" w:eastAsia="Arial" w:hAnsi="Arial"/>
                <w:sz w:val="16"/>
                <w:szCs w:val="16"/>
                <w:color w:val="auto"/>
              </w:rPr>
              <w:t>2</w:t>
            </w:r>
            <w:r>
              <w:rPr>
                <w:rFonts w:ascii="Times New Roman" w:cs="Times New Roman" w:eastAsia="Times New Roman" w:hAnsi="Times New Roman"/>
                <w:sz w:val="16"/>
                <w:szCs w:val="16"/>
                <w:color w:val="auto"/>
              </w:rPr>
              <w:t>0.08</w:t>
            </w:r>
          </w:p>
        </w:tc>
        <w:tc>
          <w:tcPr>
            <w:tcW w:w="1080" w:type="dxa"/>
            <w:vAlign w:val="bottom"/>
          </w:tcPr>
          <w:p>
            <w:pPr>
              <w:jc w:val="right"/>
              <w:ind w:right="260"/>
              <w:spacing w:after="0"/>
              <w:rPr>
                <w:sz w:val="20"/>
                <w:szCs w:val="20"/>
                <w:color w:val="auto"/>
              </w:rPr>
            </w:pPr>
            <w:r>
              <w:rPr>
                <w:rFonts w:ascii="Arial" w:cs="Arial" w:eastAsia="Arial" w:hAnsi="Arial"/>
                <w:sz w:val="16"/>
                <w:szCs w:val="16"/>
                <w:color w:val="auto"/>
              </w:rPr>
              <w:t>2</w:t>
            </w:r>
            <w:r>
              <w:rPr>
                <w:rFonts w:ascii="Times New Roman" w:cs="Times New Roman" w:eastAsia="Times New Roman" w:hAnsi="Times New Roman"/>
                <w:sz w:val="16"/>
                <w:szCs w:val="16"/>
                <w:color w:val="auto"/>
              </w:rPr>
              <w:t>0.07</w:t>
            </w:r>
          </w:p>
        </w:tc>
      </w:tr>
      <w:tr>
        <w:trPr>
          <w:trHeight w:val="64"/>
        </w:trPr>
        <w:tc>
          <w:tcPr>
            <w:tcW w:w="2980" w:type="dxa"/>
            <w:vAlign w:val="bottom"/>
            <w:tcBorders>
              <w:bottom w:val="single" w:sz="8" w:color="auto"/>
            </w:tcBorders>
          </w:tcPr>
          <w:p>
            <w:pPr>
              <w:spacing w:after="0"/>
              <w:rPr>
                <w:sz w:val="5"/>
                <w:szCs w:val="5"/>
                <w:color w:val="auto"/>
              </w:rPr>
            </w:pPr>
          </w:p>
        </w:tc>
        <w:tc>
          <w:tcPr>
            <w:tcW w:w="540" w:type="dxa"/>
            <w:vAlign w:val="bottom"/>
            <w:tcBorders>
              <w:bottom w:val="single" w:sz="8" w:color="auto"/>
            </w:tcBorders>
          </w:tcPr>
          <w:p>
            <w:pPr>
              <w:spacing w:after="0"/>
              <w:rPr>
                <w:sz w:val="5"/>
                <w:szCs w:val="5"/>
                <w:color w:val="auto"/>
              </w:rPr>
            </w:pPr>
          </w:p>
        </w:tc>
        <w:tc>
          <w:tcPr>
            <w:tcW w:w="680" w:type="dxa"/>
            <w:vAlign w:val="bottom"/>
            <w:tcBorders>
              <w:bottom w:val="single" w:sz="8" w:color="auto"/>
            </w:tcBorders>
          </w:tcPr>
          <w:p>
            <w:pPr>
              <w:spacing w:after="0"/>
              <w:rPr>
                <w:sz w:val="5"/>
                <w:szCs w:val="5"/>
                <w:color w:val="auto"/>
              </w:rPr>
            </w:pPr>
          </w:p>
        </w:tc>
        <w:tc>
          <w:tcPr>
            <w:tcW w:w="1300" w:type="dxa"/>
            <w:vAlign w:val="bottom"/>
            <w:tcBorders>
              <w:bottom w:val="single" w:sz="8" w:color="auto"/>
            </w:tcBorders>
          </w:tcPr>
          <w:p>
            <w:pPr>
              <w:spacing w:after="0"/>
              <w:rPr>
                <w:sz w:val="5"/>
                <w:szCs w:val="5"/>
                <w:color w:val="auto"/>
              </w:rPr>
            </w:pPr>
          </w:p>
        </w:tc>
        <w:tc>
          <w:tcPr>
            <w:tcW w:w="80" w:type="dxa"/>
            <w:vAlign w:val="bottom"/>
            <w:tcBorders>
              <w:bottom w:val="single" w:sz="8" w:color="auto"/>
            </w:tcBorders>
          </w:tcPr>
          <w:p>
            <w:pPr>
              <w:spacing w:after="0"/>
              <w:rPr>
                <w:sz w:val="5"/>
                <w:szCs w:val="5"/>
                <w:color w:val="auto"/>
              </w:rPr>
            </w:pPr>
          </w:p>
        </w:tc>
        <w:tc>
          <w:tcPr>
            <w:tcW w:w="80" w:type="dxa"/>
            <w:vAlign w:val="bottom"/>
            <w:tcBorders>
              <w:bottom w:val="single" w:sz="8" w:color="auto"/>
            </w:tcBorders>
          </w:tcPr>
          <w:p>
            <w:pPr>
              <w:spacing w:after="0"/>
              <w:rPr>
                <w:sz w:val="5"/>
                <w:szCs w:val="5"/>
                <w:color w:val="auto"/>
              </w:rPr>
            </w:pPr>
          </w:p>
        </w:tc>
        <w:tc>
          <w:tcPr>
            <w:tcW w:w="540" w:type="dxa"/>
            <w:vAlign w:val="bottom"/>
            <w:tcBorders>
              <w:bottom w:val="single" w:sz="8" w:color="auto"/>
            </w:tcBorders>
          </w:tcPr>
          <w:p>
            <w:pPr>
              <w:spacing w:after="0"/>
              <w:rPr>
                <w:sz w:val="5"/>
                <w:szCs w:val="5"/>
                <w:color w:val="auto"/>
              </w:rPr>
            </w:pPr>
          </w:p>
        </w:tc>
        <w:tc>
          <w:tcPr>
            <w:tcW w:w="660" w:type="dxa"/>
            <w:vAlign w:val="bottom"/>
            <w:tcBorders>
              <w:bottom w:val="single" w:sz="8" w:color="auto"/>
            </w:tcBorders>
          </w:tcPr>
          <w:p>
            <w:pPr>
              <w:spacing w:after="0"/>
              <w:rPr>
                <w:sz w:val="5"/>
                <w:szCs w:val="5"/>
                <w:color w:val="auto"/>
              </w:rPr>
            </w:pPr>
          </w:p>
        </w:tc>
        <w:tc>
          <w:tcPr>
            <w:tcW w:w="1320" w:type="dxa"/>
            <w:vAlign w:val="bottom"/>
            <w:tcBorders>
              <w:bottom w:val="single" w:sz="8" w:color="auto"/>
            </w:tcBorders>
          </w:tcPr>
          <w:p>
            <w:pPr>
              <w:spacing w:after="0"/>
              <w:rPr>
                <w:sz w:val="5"/>
                <w:szCs w:val="5"/>
                <w:color w:val="auto"/>
              </w:rPr>
            </w:pPr>
          </w:p>
        </w:tc>
        <w:tc>
          <w:tcPr>
            <w:tcW w:w="140" w:type="dxa"/>
            <w:vAlign w:val="bottom"/>
            <w:tcBorders>
              <w:bottom w:val="single" w:sz="8" w:color="auto"/>
            </w:tcBorders>
          </w:tcPr>
          <w:p>
            <w:pPr>
              <w:spacing w:after="0"/>
              <w:rPr>
                <w:sz w:val="5"/>
                <w:szCs w:val="5"/>
                <w:color w:val="auto"/>
              </w:rPr>
            </w:pPr>
          </w:p>
        </w:tc>
        <w:tc>
          <w:tcPr>
            <w:tcW w:w="1100" w:type="dxa"/>
            <w:vAlign w:val="bottom"/>
            <w:tcBorders>
              <w:bottom w:val="single" w:sz="8" w:color="auto"/>
            </w:tcBorders>
          </w:tcPr>
          <w:p>
            <w:pPr>
              <w:spacing w:after="0"/>
              <w:rPr>
                <w:sz w:val="5"/>
                <w:szCs w:val="5"/>
                <w:color w:val="auto"/>
              </w:rPr>
            </w:pPr>
          </w:p>
        </w:tc>
        <w:tc>
          <w:tcPr>
            <w:tcW w:w="1080" w:type="dxa"/>
            <w:vAlign w:val="bottom"/>
            <w:tcBorders>
              <w:bottom w:val="single" w:sz="8" w:color="auto"/>
            </w:tcBorders>
          </w:tcPr>
          <w:p>
            <w:pPr>
              <w:spacing w:after="0"/>
              <w:rPr>
                <w:sz w:val="5"/>
                <w:szCs w:val="5"/>
                <w:color w:val="auto"/>
              </w:rPr>
            </w:pPr>
          </w:p>
        </w:tc>
      </w:tr>
    </w:tbl>
    <w:p>
      <w:pPr>
        <w:spacing w:after="0" w:line="7"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color w:val="auto"/>
          <w:vertAlign w:val="superscript"/>
        </w:rPr>
        <w:t>a</w:t>
      </w:r>
      <w:r>
        <w:rPr>
          <w:rFonts w:ascii="Times New Roman" w:cs="Times New Roman" w:eastAsia="Times New Roman" w:hAnsi="Times New Roman"/>
          <w:sz w:val="16"/>
          <w:szCs w:val="16"/>
          <w:color w:val="auto"/>
        </w:rPr>
        <w:t>Calculated for those with credit cards.</w:t>
      </w:r>
    </w:p>
    <w:p>
      <w:pPr>
        <w:spacing w:after="0" w:line="222" w:lineRule="auto"/>
        <w:rPr>
          <w:sz w:val="20"/>
          <w:szCs w:val="20"/>
          <w:color w:val="auto"/>
        </w:rPr>
      </w:pPr>
      <w:r>
        <w:rPr>
          <w:rFonts w:ascii="Times New Roman" w:cs="Times New Roman" w:eastAsia="Times New Roman" w:hAnsi="Times New Roman"/>
          <w:sz w:val="16"/>
          <w:szCs w:val="16"/>
          <w:color w:val="auto"/>
        </w:rPr>
        <w:t xml:space="preserve">*.05 </w:t>
      </w:r>
      <w:r>
        <w:rPr>
          <w:rFonts w:ascii="Arial" w:cs="Arial" w:eastAsia="Arial" w:hAnsi="Arial"/>
          <w:sz w:val="16"/>
          <w:szCs w:val="16"/>
          <w:color w:val="auto"/>
        </w:rPr>
        <w:t>,</w:t>
      </w:r>
      <w:r>
        <w:rPr>
          <w:rFonts w:ascii="Times New Roman" w:cs="Times New Roman" w:eastAsia="Times New Roman" w:hAnsi="Times New Roman"/>
          <w:sz w:val="16"/>
          <w:szCs w:val="16"/>
          <w:color w:val="auto"/>
        </w:rPr>
        <w:t xml:space="preserve"> </w:t>
      </w:r>
      <w:r>
        <w:rPr>
          <w:rFonts w:ascii="Arial" w:cs="Arial" w:eastAsia="Arial" w:hAnsi="Arial"/>
          <w:sz w:val="16"/>
          <w:szCs w:val="16"/>
          <w:color w:val="auto"/>
        </w:rPr>
        <w:t>p</w:t>
      </w:r>
      <w:r>
        <w:rPr>
          <w:rFonts w:ascii="Times New Roman" w:cs="Times New Roman" w:eastAsia="Times New Roman" w:hAnsi="Times New Roman"/>
          <w:sz w:val="16"/>
          <w:szCs w:val="16"/>
          <w:color w:val="auto"/>
        </w:rPr>
        <w:t xml:space="preserve"> </w:t>
      </w:r>
      <w:r>
        <w:rPr>
          <w:rFonts w:ascii="Arial" w:cs="Arial" w:eastAsia="Arial" w:hAnsi="Arial"/>
          <w:sz w:val="16"/>
          <w:szCs w:val="16"/>
          <w:color w:val="auto"/>
        </w:rPr>
        <w:t>,</w:t>
      </w:r>
      <w:r>
        <w:rPr>
          <w:rFonts w:ascii="Times New Roman" w:cs="Times New Roman" w:eastAsia="Times New Roman" w:hAnsi="Times New Roman"/>
          <w:sz w:val="16"/>
          <w:szCs w:val="16"/>
          <w:color w:val="auto"/>
        </w:rPr>
        <w:t xml:space="preserve"> .10, **</w:t>
      </w:r>
      <w:r>
        <w:rPr>
          <w:rFonts w:ascii="Arial" w:cs="Arial" w:eastAsia="Arial" w:hAnsi="Arial"/>
          <w:sz w:val="16"/>
          <w:szCs w:val="16"/>
          <w:color w:val="auto"/>
        </w:rPr>
        <w:t>p</w:t>
      </w:r>
      <w:r>
        <w:rPr>
          <w:rFonts w:ascii="Times New Roman" w:cs="Times New Roman" w:eastAsia="Times New Roman" w:hAnsi="Times New Roman"/>
          <w:sz w:val="16"/>
          <w:szCs w:val="16"/>
          <w:color w:val="auto"/>
        </w:rPr>
        <w:t xml:space="preserve"> </w:t>
      </w:r>
      <w:r>
        <w:rPr>
          <w:rFonts w:ascii="Arial" w:cs="Arial" w:eastAsia="Arial" w:hAnsi="Arial"/>
          <w:sz w:val="16"/>
          <w:szCs w:val="16"/>
          <w:color w:val="auto"/>
        </w:rPr>
        <w:t>,</w:t>
      </w:r>
      <w:r>
        <w:rPr>
          <w:rFonts w:ascii="Times New Roman" w:cs="Times New Roman" w:eastAsia="Times New Roman" w:hAnsi="Times New Roman"/>
          <w:sz w:val="16"/>
          <w:szCs w:val="16"/>
          <w:color w:val="auto"/>
        </w:rPr>
        <w:t xml:space="preserve"> .05.</w:t>
      </w:r>
    </w:p>
    <w:p>
      <w:pPr>
        <w:spacing w:after="0" w:line="20" w:lineRule="exact"/>
        <w:rPr>
          <w:sz w:val="20"/>
          <w:szCs w:val="20"/>
          <w:color w:val="auto"/>
        </w:rPr>
      </w:pPr>
      <w:r>
        <w:rPr>
          <w:sz w:val="20"/>
          <w:szCs w:val="20"/>
          <w:color w:val="auto"/>
        </w:rPr>
        <w:br w:type="column"/>
      </w:r>
    </w:p>
    <w:tbl>
      <w:tblPr>
        <w:tblLayout w:type="fixed"/>
        <w:tblInd w:w="0" w:type="dxa"/>
        <w:tblCellMar>
          <w:top w:w="0" w:type="dxa"/>
          <w:left w:w="0" w:type="dxa"/>
          <w:bottom w:w="0" w:type="dxa"/>
          <w:right w:w="0" w:type="dxa"/>
        </w:tblCellMar>
      </w:tblPr>
      <w:tr>
        <w:trPr>
          <w:trHeight w:val="1060"/>
        </w:trPr>
        <w:tc>
          <w:tcPr>
            <w:tcW w:w="148" w:type="dxa"/>
            <w:vAlign w:val="bottom"/>
            <w:textDirection w:val="tbRl"/>
          </w:tcPr>
          <w:p>
            <w:pPr>
              <w:spacing w:after="0" w:line="193" w:lineRule="auto"/>
              <w:rPr>
                <w:sz w:val="20"/>
                <w:szCs w:val="20"/>
                <w:color w:val="auto"/>
              </w:rPr>
            </w:pPr>
            <w:r>
              <w:rPr>
                <w:rFonts w:ascii="Times New Roman" w:cs="Times New Roman" w:eastAsia="Times New Roman" w:hAnsi="Times New Roman"/>
                <w:sz w:val="16"/>
                <w:szCs w:val="16"/>
                <w:color w:val="auto"/>
              </w:rPr>
              <w:t>SUMMER 2008</w:t>
            </w:r>
          </w:p>
        </w:tc>
      </w:tr>
    </w:tbl>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80" w:lineRule="exact"/>
        <w:rPr>
          <w:sz w:val="20"/>
          <w:szCs w:val="20"/>
          <w:color w:val="auto"/>
        </w:rPr>
      </w:pPr>
    </w:p>
    <w:tbl>
      <w:tblPr>
        <w:tblLayout w:type="fixed"/>
        <w:tblInd w:w="0" w:type="dxa"/>
        <w:tblCellMar>
          <w:top w:w="0" w:type="dxa"/>
          <w:left w:w="0" w:type="dxa"/>
          <w:bottom w:w="0" w:type="dxa"/>
          <w:right w:w="0" w:type="dxa"/>
        </w:tblCellMar>
      </w:tblPr>
      <w:tr>
        <w:trPr>
          <w:trHeight w:val="1800"/>
        </w:trPr>
        <w:tc>
          <w:tcPr>
            <w:tcW w:w="148" w:type="dxa"/>
            <w:vAlign w:val="bottom"/>
            <w:textDirection w:val="tbRl"/>
          </w:tcPr>
          <w:p>
            <w:pPr>
              <w:spacing w:after="0" w:line="193" w:lineRule="auto"/>
              <w:rPr>
                <w:sz w:val="20"/>
                <w:szCs w:val="20"/>
                <w:color w:val="auto"/>
              </w:rPr>
            </w:pPr>
            <w:r>
              <w:rPr>
                <w:rFonts w:ascii="Times New Roman" w:cs="Times New Roman" w:eastAsia="Times New Roman" w:hAnsi="Times New Roman"/>
                <w:sz w:val="16"/>
                <w:szCs w:val="16"/>
                <w:color w:val="auto"/>
              </w:rPr>
              <w:t>VOLUME 42, NUMBER 2</w:t>
            </w:r>
          </w:p>
        </w:tc>
      </w:tr>
    </w:tbl>
    <w:p>
      <w:pPr>
        <w:spacing w:after="0" w:line="1760" w:lineRule="exact"/>
        <w:rPr>
          <w:sz w:val="20"/>
          <w:szCs w:val="20"/>
          <w:color w:val="auto"/>
        </w:rPr>
      </w:pPr>
    </w:p>
    <w:p>
      <w:pPr>
        <w:sectPr>
          <w:pgSz w:w="13320" w:h="8640" w:orient="landscape"/>
          <w:cols w:equalWidth="0" w:num="2">
            <w:col w:w="10500" w:space="527"/>
            <w:col w:w="177"/>
          </w:cols>
          <w:pgMar w:left="1300" w:top="1240" w:right="816" w:bottom="376" w:gutter="0" w:footer="0" w:header="0"/>
        </w:sectPr>
      </w:pPr>
    </w:p>
    <w:p>
      <w:pPr>
        <w:spacing w:after="0" w:line="260" w:lineRule="exact"/>
        <w:rPr>
          <w:sz w:val="20"/>
          <w:szCs w:val="20"/>
          <w:color w:val="auto"/>
        </w:rPr>
      </w:pPr>
    </w:p>
    <w:tbl>
      <w:tblPr>
        <w:tblLayout w:type="fixed"/>
        <w:tblInd w:w="11019" w:type="dxa"/>
        <w:tblCellMar>
          <w:top w:w="0" w:type="dxa"/>
          <w:left w:w="0" w:type="dxa"/>
          <w:bottom w:w="0" w:type="dxa"/>
          <w:right w:w="0" w:type="dxa"/>
        </w:tblCellMar>
      </w:tblPr>
      <w:tr>
        <w:trPr>
          <w:trHeight w:val="300"/>
        </w:trPr>
        <w:tc>
          <w:tcPr>
            <w:tcW w:w="185" w:type="dxa"/>
            <w:vAlign w:val="bottom"/>
            <w:textDirection w:val="tbRl"/>
          </w:tcPr>
          <w:p>
            <w:pPr>
              <w:spacing w:after="0" w:line="193" w:lineRule="auto"/>
              <w:rPr>
                <w:sz w:val="20"/>
                <w:szCs w:val="20"/>
                <w:color w:val="auto"/>
              </w:rPr>
            </w:pPr>
            <w:r>
              <w:rPr>
                <w:rFonts w:ascii="Times New Roman" w:cs="Times New Roman" w:eastAsia="Times New Roman" w:hAnsi="Times New Roman"/>
                <w:sz w:val="20"/>
                <w:szCs w:val="20"/>
                <w:color w:val="auto"/>
              </w:rPr>
              <w:t>291</w:t>
            </w:r>
          </w:p>
        </w:tc>
      </w:tr>
    </w:tbl>
    <w:p>
      <w:pPr>
        <w:sectPr>
          <w:pgSz w:w="13320" w:h="8640" w:orient="landscape"/>
          <w:cols w:equalWidth="0" w:num="1">
            <w:col w:w="11204"/>
          </w:cols>
          <w:pgMar w:left="1300" w:top="1240" w:right="816" w:bottom="376" w:gutter="0" w:footer="0" w:header="0"/>
          <w:type w:val="continuous"/>
        </w:sectPr>
      </w:pPr>
    </w:p>
    <w:bookmarkStart w:id="21" w:name="page22"/>
    <w:bookmarkEnd w:id="21"/>
    <w:p>
      <w:pPr>
        <w:spacing w:after="0"/>
        <w:tabs>
          <w:tab w:leader="none" w:pos="3460" w:val="left"/>
        </w:tabs>
        <w:rPr>
          <w:sz w:val="20"/>
          <w:szCs w:val="20"/>
          <w:color w:val="auto"/>
        </w:rPr>
      </w:pPr>
      <w:r>
        <w:rPr>
          <w:rFonts w:ascii="Times New Roman" w:cs="Times New Roman" w:eastAsia="Times New Roman" w:hAnsi="Times New Roman"/>
          <w:sz w:val="20"/>
          <w:szCs w:val="20"/>
          <w:color w:val="auto"/>
        </w:rPr>
        <w:t>292</w:t>
      </w:r>
      <w:r>
        <w:rPr>
          <w:sz w:val="20"/>
          <w:szCs w:val="20"/>
          <w:color w:val="auto"/>
        </w:rPr>
        <w:tab/>
      </w:r>
      <w:r>
        <w:rPr>
          <w:rFonts w:ascii="Times New Roman" w:cs="Times New Roman" w:eastAsia="Times New Roman" w:hAnsi="Times New Roman"/>
          <w:sz w:val="16"/>
          <w:szCs w:val="16"/>
          <w:color w:val="auto"/>
        </w:rPr>
        <w:t>THE JOURNAL OF CONSUMER AFFAIRS</w:t>
      </w:r>
    </w:p>
    <w:p>
      <w:pPr>
        <w:spacing w:after="0" w:line="200" w:lineRule="exact"/>
        <w:rPr>
          <w:sz w:val="20"/>
          <w:szCs w:val="20"/>
          <w:color w:val="auto"/>
        </w:rPr>
      </w:pPr>
    </w:p>
    <w:p>
      <w:pPr>
        <w:spacing w:after="0" w:line="344" w:lineRule="exact"/>
        <w:rPr>
          <w:sz w:val="20"/>
          <w:szCs w:val="20"/>
          <w:color w:val="auto"/>
        </w:rPr>
      </w:pPr>
    </w:p>
    <w:p>
      <w:pPr>
        <w:jc w:val="both"/>
        <w:spacing w:after="0" w:line="242" w:lineRule="auto"/>
        <w:rPr>
          <w:sz w:val="20"/>
          <w:szCs w:val="20"/>
          <w:color w:val="auto"/>
        </w:rPr>
      </w:pPr>
      <w:r>
        <w:rPr>
          <w:rFonts w:ascii="Times New Roman" w:cs="Times New Roman" w:eastAsia="Times New Roman" w:hAnsi="Times New Roman"/>
          <w:sz w:val="22"/>
          <w:szCs w:val="22"/>
          <w:color w:val="auto"/>
        </w:rPr>
        <w:t>labeled ‘‘difference’’ shows an estimate of (B-A) from above. Similarly, column 6 shows an estimate of (D-C). And the last two columns show esti-mates of the DD. One shows the unadjusted (simple) DD and the second shows estimates adjusted for other covariates. Focusing on the results in column 3, we see that there are statistically significant increases in a few important areas. These are the proportion of treatment group mem-bers: who own stocks and bonds, who bank online, who use a debit card, and who use the Internet often. Other changes tend to be relatively modest and not statistically significant. At first glance, there appear to be few changes in outcomes specifically targeted by the program. However, tem-poral changes unrelated to the intervention may obscure true program effects. Therefore, it is necessary to examine the pre- and postintervention changes in the control group to isolate the program effects from other potentially confounding factors.</w:t>
      </w:r>
    </w:p>
    <w:p>
      <w:pPr>
        <w:spacing w:after="0" w:line="56" w:lineRule="exact"/>
        <w:rPr>
          <w:sz w:val="20"/>
          <w:szCs w:val="20"/>
          <w:color w:val="auto"/>
        </w:rPr>
      </w:pPr>
    </w:p>
    <w:p>
      <w:pPr>
        <w:jc w:val="both"/>
        <w:ind w:firstLine="239"/>
        <w:spacing w:after="0" w:line="248" w:lineRule="auto"/>
        <w:rPr>
          <w:sz w:val="20"/>
          <w:szCs w:val="20"/>
          <w:color w:val="auto"/>
        </w:rPr>
      </w:pPr>
      <w:r>
        <w:rPr>
          <w:rFonts w:ascii="Times New Roman" w:cs="Times New Roman" w:eastAsia="Times New Roman" w:hAnsi="Times New Roman"/>
          <w:sz w:val="21"/>
          <w:szCs w:val="21"/>
          <w:color w:val="auto"/>
        </w:rPr>
        <w:t>The pre- and postintervention differences for the control group are pre-sented in column 6. In this case, there are statistically significant increases in the proportion of the control group: who own a mortgage, who use a debit card, and who use the Internet often. In addition, the proportion of the con-trol group that has a credit card increased by 8 percentage points.</w:t>
      </w:r>
    </w:p>
    <w:p>
      <w:pPr>
        <w:spacing w:after="0" w:line="47" w:lineRule="exact"/>
        <w:rPr>
          <w:sz w:val="20"/>
          <w:szCs w:val="20"/>
          <w:color w:val="auto"/>
        </w:rPr>
      </w:pPr>
    </w:p>
    <w:p>
      <w:pPr>
        <w:jc w:val="both"/>
        <w:ind w:firstLine="239"/>
        <w:spacing w:after="0" w:line="243" w:lineRule="auto"/>
        <w:rPr>
          <w:sz w:val="20"/>
          <w:szCs w:val="20"/>
          <w:color w:val="auto"/>
        </w:rPr>
      </w:pPr>
      <w:r>
        <w:rPr>
          <w:rFonts w:ascii="Times New Roman" w:cs="Times New Roman" w:eastAsia="Times New Roman" w:hAnsi="Times New Roman"/>
          <w:sz w:val="22"/>
          <w:szCs w:val="22"/>
          <w:color w:val="auto"/>
        </w:rPr>
        <w:t>In general, the pre- and postintervention changes in outcomes for the control group are quite similar to those for the treatment group. This implies that the program had few effects. This point can be further illus-trated by examining the DD estimates in the last two columns. The first point to note is that there are with one exception no statistically significant differences. Online banking increased significantly more (between 9 and 15 percentage points) for the treatment than control group, but this effect is almost assured by the nature of the intervention. Thus, from a purely sta-tistical point of view, the Program had no effects. But even using a less stringent criterion of whether there were large (practically important) effects reveals few potential program impacts. On the other hand, use of online banking increased by at least 9 percentage points for the treatment group, an increase that is meaningful from the Bank’s perspective. This represents a 42 percent increase over the baseline level, but still leaves the number of persons using online banking at 30 percent (21 baseline plus 9 program impact). For other outcomes, there were few ‘‘large’’ effects. In fact, the largest effect was perverse—members of the treatment group were less likely to plan and set future financial goals at follow-up than they were at baseline.</w:t>
      </w:r>
    </w:p>
    <w:p>
      <w:pPr>
        <w:spacing w:after="0" w:line="56" w:lineRule="exact"/>
        <w:rPr>
          <w:sz w:val="20"/>
          <w:szCs w:val="20"/>
          <w:color w:val="auto"/>
        </w:rPr>
      </w:pPr>
    </w:p>
    <w:p>
      <w:pPr>
        <w:jc w:val="both"/>
        <w:ind w:firstLine="239"/>
        <w:spacing w:after="0" w:line="228" w:lineRule="auto"/>
        <w:rPr>
          <w:sz w:val="20"/>
          <w:szCs w:val="20"/>
          <w:color w:val="auto"/>
        </w:rPr>
      </w:pPr>
      <w:r>
        <w:rPr>
          <w:rFonts w:ascii="Times New Roman" w:cs="Times New Roman" w:eastAsia="Times New Roman" w:hAnsi="Times New Roman"/>
          <w:sz w:val="22"/>
          <w:szCs w:val="22"/>
          <w:color w:val="auto"/>
        </w:rPr>
        <w:t>In Table 4, we do not allow program effects to differ by the intensity of the intervention. We simply investigate whether those in the treatment group differed systematically from those in the control group. But within</w:t>
      </w:r>
    </w:p>
    <w:p>
      <w:pPr>
        <w:sectPr>
          <w:pgSz w:w="8640" w:h="13320" w:orient="portrait"/>
          <w:cols w:equalWidth="0" w:num="1">
            <w:col w:w="6460"/>
          </w:cols>
          <w:pgMar w:left="940" w:top="731" w:right="1240" w:bottom="685" w:gutter="0" w:footer="0" w:header="0"/>
        </w:sectPr>
      </w:pPr>
    </w:p>
    <w:bookmarkStart w:id="22" w:name="page23"/>
    <w:bookmarkEnd w:id="22"/>
    <w:p>
      <w:pPr>
        <w:spacing w:after="0"/>
        <w:tabs>
          <w:tab w:leader="none" w:pos="2320" w:val="left"/>
          <w:tab w:leader="none" w:pos="6140" w:val="left"/>
        </w:tabs>
        <w:rPr>
          <w:sz w:val="20"/>
          <w:szCs w:val="20"/>
          <w:color w:val="auto"/>
        </w:rPr>
      </w:pPr>
      <w:r>
        <w:rPr>
          <w:rFonts w:ascii="Times New Roman" w:cs="Times New Roman" w:eastAsia="Times New Roman" w:hAnsi="Times New Roman"/>
          <w:sz w:val="16"/>
          <w:szCs w:val="16"/>
          <w:color w:val="auto"/>
        </w:rPr>
        <w:t>SUMMER 2008</w:t>
      </w:r>
      <w:r>
        <w:rPr>
          <w:sz w:val="20"/>
          <w:szCs w:val="20"/>
          <w:color w:val="auto"/>
        </w:rPr>
        <w:tab/>
      </w:r>
      <w:r>
        <w:rPr>
          <w:rFonts w:ascii="Times New Roman" w:cs="Times New Roman" w:eastAsia="Times New Roman" w:hAnsi="Times New Roman"/>
          <w:sz w:val="16"/>
          <w:szCs w:val="16"/>
          <w:color w:val="auto"/>
        </w:rPr>
        <w:t>VOLUME 42, NUMBER 2</w:t>
      </w:r>
      <w:r>
        <w:rPr>
          <w:sz w:val="20"/>
          <w:szCs w:val="20"/>
          <w:color w:val="auto"/>
        </w:rPr>
        <w:tab/>
      </w:r>
      <w:r>
        <w:rPr>
          <w:rFonts w:ascii="Times New Roman" w:cs="Times New Roman" w:eastAsia="Times New Roman" w:hAnsi="Times New Roman"/>
          <w:sz w:val="20"/>
          <w:szCs w:val="20"/>
          <w:color w:val="auto"/>
        </w:rPr>
        <w:t>293</w:t>
      </w:r>
    </w:p>
    <w:p>
      <w:pPr>
        <w:spacing w:after="0" w:line="200" w:lineRule="exact"/>
        <w:rPr>
          <w:sz w:val="20"/>
          <w:szCs w:val="20"/>
          <w:color w:val="auto"/>
        </w:rPr>
      </w:pPr>
    </w:p>
    <w:p>
      <w:pPr>
        <w:spacing w:after="0" w:line="304" w:lineRule="exact"/>
        <w:rPr>
          <w:sz w:val="20"/>
          <w:szCs w:val="20"/>
          <w:color w:val="auto"/>
        </w:rPr>
      </w:pPr>
    </w:p>
    <w:p>
      <w:pPr>
        <w:jc w:val="both"/>
        <w:spacing w:after="0" w:line="242" w:lineRule="auto"/>
        <w:rPr>
          <w:sz w:val="20"/>
          <w:szCs w:val="20"/>
          <w:color w:val="auto"/>
        </w:rPr>
      </w:pPr>
      <w:r>
        <w:rPr>
          <w:rFonts w:ascii="Times New Roman" w:cs="Times New Roman" w:eastAsia="Times New Roman" w:hAnsi="Times New Roman"/>
          <w:sz w:val="22"/>
          <w:szCs w:val="22"/>
          <w:color w:val="auto"/>
        </w:rPr>
        <w:t>the treatment group, the intensity of the intervention differed; some mem-bers of the treatment group attended beginning classes in financial literacy, while others attended intermediate classes and still others attended no classes. We can use this information to assess whether there was a dose-response relationship between the intervention and the outcomes. Specifically, we examine whether the program had different effects for three types of persons among the treatment group: those who took no finan-cial literacy classes, those who took only beginner classes, and those who took intermediate level classes. Unfortunately, since participation in classes was voluntary, this stratification of the treatment group possibly introduces some selection bias. For example, perhaps those more motivated to learn will enroll in classes, but motivation to learn is likely related to other char-acteristics that influence how much these persons save or plan for their financial future. Thus, the results of this analysis need to be interpreted with caution.</w:t>
      </w:r>
    </w:p>
    <w:p>
      <w:pPr>
        <w:spacing w:after="0" w:line="60" w:lineRule="exact"/>
        <w:rPr>
          <w:sz w:val="20"/>
          <w:szCs w:val="20"/>
          <w:color w:val="auto"/>
        </w:rPr>
      </w:pPr>
    </w:p>
    <w:p>
      <w:pPr>
        <w:jc w:val="both"/>
        <w:ind w:firstLine="239"/>
        <w:spacing w:after="0" w:line="250" w:lineRule="auto"/>
        <w:rPr>
          <w:sz w:val="20"/>
          <w:szCs w:val="20"/>
          <w:color w:val="auto"/>
        </w:rPr>
      </w:pPr>
      <w:r>
        <w:rPr>
          <w:rFonts w:ascii="Times New Roman" w:cs="Times New Roman" w:eastAsia="Times New Roman" w:hAnsi="Times New Roman"/>
          <w:sz w:val="21"/>
          <w:szCs w:val="21"/>
          <w:color w:val="auto"/>
        </w:rPr>
        <w:t>We do not present the results of the dose-response analysis, but summa-rize the findings. In short, we gained little insight from the analysis. In most cases, there were no differences in outcomes between persons in different categories. In fact, there were some perverse effects, as those with fewer classes sometimes had greater improvements in financial literacy. This result is most likely related to the selection issue noted above.</w:t>
      </w:r>
    </w:p>
    <w:p>
      <w:pPr>
        <w:spacing w:after="0" w:line="45" w:lineRule="exact"/>
        <w:rPr>
          <w:sz w:val="20"/>
          <w:szCs w:val="20"/>
          <w:color w:val="auto"/>
        </w:rPr>
      </w:pPr>
    </w:p>
    <w:p>
      <w:pPr>
        <w:jc w:val="both"/>
        <w:ind w:firstLine="239"/>
        <w:spacing w:after="0" w:line="239" w:lineRule="auto"/>
        <w:rPr>
          <w:sz w:val="20"/>
          <w:szCs w:val="20"/>
          <w:color w:val="auto"/>
        </w:rPr>
      </w:pPr>
      <w:r>
        <w:rPr>
          <w:rFonts w:ascii="Times New Roman" w:cs="Times New Roman" w:eastAsia="Times New Roman" w:hAnsi="Times New Roman"/>
          <w:sz w:val="22"/>
          <w:szCs w:val="22"/>
          <w:color w:val="auto"/>
        </w:rPr>
        <w:t>The quantitative analysis tells us that the Program did not have signif-icant impacts on participants. However, given that we were studying a demonstration program, the qualitative component of the work is par-ticularly important. The intention for this component of the work was to gain a better understanding of why the Program results were what they were. Were they, for example, a function of poor program design? Of implementation? Do these results indicate that the idea behind the Program was faulty?</w:t>
      </w:r>
    </w:p>
    <w:p>
      <w:pPr>
        <w:spacing w:after="0" w:line="268"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2"/>
          <w:szCs w:val="22"/>
          <w:color w:val="auto"/>
        </w:rPr>
        <w:t>Findings from Focus Groups and Interviews</w:t>
      </w:r>
    </w:p>
    <w:p>
      <w:pPr>
        <w:spacing w:after="0" w:line="313" w:lineRule="exact"/>
        <w:rPr>
          <w:sz w:val="20"/>
          <w:szCs w:val="20"/>
          <w:color w:val="auto"/>
        </w:rPr>
      </w:pPr>
    </w:p>
    <w:p>
      <w:pPr>
        <w:jc w:val="both"/>
        <w:ind w:firstLine="239"/>
        <w:spacing w:after="0" w:line="232" w:lineRule="auto"/>
        <w:rPr>
          <w:sz w:val="20"/>
          <w:szCs w:val="20"/>
          <w:color w:val="auto"/>
        </w:rPr>
      </w:pPr>
      <w:r>
        <w:rPr>
          <w:rFonts w:ascii="Times New Roman" w:cs="Times New Roman" w:eastAsia="Times New Roman" w:hAnsi="Times New Roman"/>
          <w:sz w:val="22"/>
          <w:szCs w:val="22"/>
          <w:color w:val="auto"/>
        </w:rPr>
        <w:t>The findings below are separated into two sections—one related to the program and another that concerns participants. Findings from the quali-tative component of the research inform the findings from the survey and shed light on potential reasons for the dearth of effects.</w:t>
      </w:r>
    </w:p>
    <w:p>
      <w:pPr>
        <w:spacing w:after="0" w:line="277" w:lineRule="exact"/>
        <w:rPr>
          <w:sz w:val="20"/>
          <w:szCs w:val="20"/>
          <w:color w:val="auto"/>
        </w:rPr>
      </w:pPr>
    </w:p>
    <w:p>
      <w:pPr>
        <w:spacing w:after="0"/>
        <w:rPr>
          <w:sz w:val="20"/>
          <w:szCs w:val="20"/>
          <w:color w:val="auto"/>
        </w:rPr>
      </w:pPr>
      <w:r>
        <w:rPr>
          <w:rFonts w:ascii="Arial" w:cs="Arial" w:eastAsia="Arial" w:hAnsi="Arial"/>
          <w:sz w:val="22"/>
          <w:szCs w:val="22"/>
          <w:color w:val="auto"/>
        </w:rPr>
        <w:t>Program-Related Findings</w:t>
      </w:r>
    </w:p>
    <w:p>
      <w:pPr>
        <w:spacing w:after="0" w:line="305" w:lineRule="exact"/>
        <w:rPr>
          <w:sz w:val="20"/>
          <w:szCs w:val="20"/>
          <w:color w:val="auto"/>
        </w:rPr>
      </w:pPr>
    </w:p>
    <w:p>
      <w:pPr>
        <w:jc w:val="both"/>
        <w:ind w:firstLine="239"/>
        <w:spacing w:after="0" w:line="230" w:lineRule="auto"/>
        <w:rPr>
          <w:sz w:val="20"/>
          <w:szCs w:val="20"/>
          <w:color w:val="auto"/>
        </w:rPr>
      </w:pPr>
      <w:r>
        <w:rPr>
          <w:rFonts w:ascii="Times New Roman" w:cs="Times New Roman" w:eastAsia="Times New Roman" w:hAnsi="Times New Roman"/>
          <w:sz w:val="21"/>
          <w:szCs w:val="21"/>
          <w:color w:val="auto"/>
        </w:rPr>
        <w:t>Interviews and focus groups revealed significant issues with the imple-mentation of the Program. These issues concerned marketing, resources,</w:t>
      </w:r>
    </w:p>
    <w:p>
      <w:pPr>
        <w:sectPr>
          <w:pgSz w:w="8640" w:h="13320" w:orient="portrait"/>
          <w:cols w:equalWidth="0" w:num="1">
            <w:col w:w="6460"/>
          </w:cols>
          <w:pgMar w:left="1240" w:top="771" w:right="940" w:bottom="684" w:gutter="0" w:footer="0" w:header="0"/>
        </w:sectPr>
      </w:pPr>
    </w:p>
    <w:bookmarkStart w:id="23" w:name="page24"/>
    <w:bookmarkEnd w:id="23"/>
    <w:p>
      <w:pPr>
        <w:spacing w:after="0"/>
        <w:tabs>
          <w:tab w:leader="none" w:pos="3460" w:val="left"/>
        </w:tabs>
        <w:rPr>
          <w:sz w:val="20"/>
          <w:szCs w:val="20"/>
          <w:color w:val="auto"/>
        </w:rPr>
      </w:pPr>
      <w:r>
        <w:rPr>
          <w:rFonts w:ascii="Times New Roman" w:cs="Times New Roman" w:eastAsia="Times New Roman" w:hAnsi="Times New Roman"/>
          <w:sz w:val="20"/>
          <w:szCs w:val="20"/>
          <w:color w:val="auto"/>
        </w:rPr>
        <w:t>294</w:t>
      </w:r>
      <w:r>
        <w:rPr>
          <w:sz w:val="20"/>
          <w:szCs w:val="20"/>
          <w:color w:val="auto"/>
        </w:rPr>
        <w:tab/>
      </w:r>
      <w:r>
        <w:rPr>
          <w:rFonts w:ascii="Times New Roman" w:cs="Times New Roman" w:eastAsia="Times New Roman" w:hAnsi="Times New Roman"/>
          <w:sz w:val="16"/>
          <w:szCs w:val="16"/>
          <w:color w:val="auto"/>
        </w:rPr>
        <w:t>THE JOURNAL OF CONSUMER AFFAIRS</w:t>
      </w:r>
    </w:p>
    <w:p>
      <w:pPr>
        <w:spacing w:after="0" w:line="200" w:lineRule="exact"/>
        <w:rPr>
          <w:sz w:val="20"/>
          <w:szCs w:val="20"/>
          <w:color w:val="auto"/>
        </w:rPr>
      </w:pPr>
    </w:p>
    <w:p>
      <w:pPr>
        <w:spacing w:after="0" w:line="344" w:lineRule="exact"/>
        <w:rPr>
          <w:sz w:val="20"/>
          <w:szCs w:val="20"/>
          <w:color w:val="auto"/>
        </w:rPr>
      </w:pPr>
    </w:p>
    <w:p>
      <w:pPr>
        <w:jc w:val="both"/>
        <w:spacing w:after="0" w:line="235" w:lineRule="auto"/>
        <w:rPr>
          <w:sz w:val="20"/>
          <w:szCs w:val="20"/>
          <w:color w:val="auto"/>
        </w:rPr>
      </w:pPr>
      <w:r>
        <w:rPr>
          <w:rFonts w:ascii="Times New Roman" w:cs="Times New Roman" w:eastAsia="Times New Roman" w:hAnsi="Times New Roman"/>
          <w:sz w:val="22"/>
          <w:szCs w:val="22"/>
          <w:color w:val="auto"/>
        </w:rPr>
        <w:t>logistical problems, and cost. We believe that these issues compromised the ability of the Program to achieve its potential. A fine-grained understanding of these issues and their likely connection to Program outcomes illuminate the importance of planning and linking design features to definitions of success.</w:t>
      </w:r>
    </w:p>
    <w:p>
      <w:pPr>
        <w:spacing w:after="0" w:line="57" w:lineRule="exact"/>
        <w:rPr>
          <w:sz w:val="20"/>
          <w:szCs w:val="20"/>
          <w:color w:val="auto"/>
        </w:rPr>
      </w:pPr>
    </w:p>
    <w:p>
      <w:pPr>
        <w:jc w:val="both"/>
        <w:ind w:firstLine="239"/>
        <w:spacing w:after="0" w:line="239" w:lineRule="auto"/>
        <w:rPr>
          <w:sz w:val="20"/>
          <w:szCs w:val="20"/>
          <w:color w:val="auto"/>
        </w:rPr>
      </w:pPr>
      <w:r>
        <w:rPr>
          <w:rFonts w:ascii="Times New Roman" w:cs="Times New Roman" w:eastAsia="Times New Roman" w:hAnsi="Times New Roman"/>
          <w:sz w:val="22"/>
          <w:szCs w:val="22"/>
          <w:color w:val="auto"/>
        </w:rPr>
        <w:t>Initial marketing decisions led to much smaller numbers of participants than the Bank anticipated. All marketing of the Program was done through the branches and this marketing was uneven. According to one Bank staffer, ‘‘the program wasn’t marketed actively enough at the branches— they weren’t doing a real sales pitch.’’ Said another, ‘‘We were unable to get out into the community as much as we would have liked.’’ Word of mouth works well but takes time. By the time word got out about the program, the six-month sign up windows were closing.</w:t>
      </w:r>
    </w:p>
    <w:p>
      <w:pPr>
        <w:spacing w:after="0" w:line="56" w:lineRule="exact"/>
        <w:rPr>
          <w:sz w:val="20"/>
          <w:szCs w:val="20"/>
          <w:color w:val="auto"/>
        </w:rPr>
      </w:pPr>
    </w:p>
    <w:p>
      <w:pPr>
        <w:jc w:val="both"/>
        <w:ind w:firstLine="239"/>
        <w:spacing w:after="0" w:line="241" w:lineRule="auto"/>
        <w:rPr>
          <w:sz w:val="20"/>
          <w:szCs w:val="20"/>
          <w:color w:val="auto"/>
        </w:rPr>
      </w:pPr>
      <w:r>
        <w:rPr>
          <w:rFonts w:ascii="Times New Roman" w:cs="Times New Roman" w:eastAsia="Times New Roman" w:hAnsi="Times New Roman"/>
          <w:sz w:val="22"/>
          <w:szCs w:val="22"/>
          <w:color w:val="auto"/>
        </w:rPr>
        <w:t xml:space="preserve">Representatives of all the CBOs interviewed expressed a desire to have been more involved in outreach from the beginning of the program. They believe that they have a better understanding of the community they serve than does the Bank. Said one CBO representative, ‘‘We can hustle here—we have organizers.’’ One interviewee offered the following expla-nation: ‘‘There has been an overall concern about the possibility of negative PR that has resulted in the project being more low-key than I would have liked it to be </w:t>
      </w:r>
      <w:r>
        <w:rPr>
          <w:rFonts w:ascii="Times New Roman" w:cs="Times New Roman" w:eastAsia="Times New Roman" w:hAnsi="Times New Roman"/>
          <w:sz w:val="22"/>
          <w:szCs w:val="22"/>
          <w:i w:val="1"/>
          <w:iCs w:val="1"/>
          <w:color w:val="auto"/>
        </w:rPr>
        <w:t>.</w:t>
      </w:r>
      <w:r>
        <w:rPr>
          <w:rFonts w:ascii="Times New Roman" w:cs="Times New Roman" w:eastAsia="Times New Roman" w:hAnsi="Times New Roman"/>
          <w:sz w:val="22"/>
          <w:szCs w:val="22"/>
          <w:color w:val="auto"/>
        </w:rPr>
        <w:t>. I understand the concern, but the program was promoted very passively.’’ Although the Bank recognized this—to an extent—by incorporating CBOs into the program design, the implementation failed to fully leverage the CBOs’ assets.</w:t>
      </w:r>
    </w:p>
    <w:p>
      <w:pPr>
        <w:spacing w:after="0" w:line="55" w:lineRule="exact"/>
        <w:rPr>
          <w:sz w:val="20"/>
          <w:szCs w:val="20"/>
          <w:color w:val="auto"/>
        </w:rPr>
      </w:pPr>
    </w:p>
    <w:p>
      <w:pPr>
        <w:jc w:val="both"/>
        <w:ind w:firstLine="239"/>
        <w:spacing w:after="0" w:line="248" w:lineRule="auto"/>
        <w:rPr>
          <w:sz w:val="20"/>
          <w:szCs w:val="20"/>
          <w:color w:val="auto"/>
        </w:rPr>
      </w:pPr>
      <w:r>
        <w:rPr>
          <w:rFonts w:ascii="Times New Roman" w:cs="Times New Roman" w:eastAsia="Times New Roman" w:hAnsi="Times New Roman"/>
          <w:sz w:val="21"/>
          <w:szCs w:val="21"/>
          <w:color w:val="auto"/>
        </w:rPr>
        <w:t>When asked how they had heard about the Program, many participants told us that it had been poorly publicized and that they heard about it from a friend. One mentioned that she had asked the bank representative at her local branch about it, but that the rep had no knowledge of the Program. Only her persistence enabled her to participate.</w:t>
      </w:r>
    </w:p>
    <w:p>
      <w:pPr>
        <w:spacing w:after="0" w:line="48" w:lineRule="exact"/>
        <w:rPr>
          <w:sz w:val="20"/>
          <w:szCs w:val="20"/>
          <w:color w:val="auto"/>
        </w:rPr>
      </w:pPr>
    </w:p>
    <w:p>
      <w:pPr>
        <w:jc w:val="both"/>
        <w:ind w:firstLine="239"/>
        <w:spacing w:after="0" w:line="241" w:lineRule="auto"/>
        <w:rPr>
          <w:sz w:val="20"/>
          <w:szCs w:val="20"/>
          <w:color w:val="auto"/>
        </w:rPr>
      </w:pPr>
      <w:r>
        <w:rPr>
          <w:rFonts w:ascii="Times New Roman" w:cs="Times New Roman" w:eastAsia="Times New Roman" w:hAnsi="Times New Roman"/>
          <w:sz w:val="22"/>
          <w:szCs w:val="22"/>
          <w:color w:val="auto"/>
        </w:rPr>
        <w:t>It also became apparent to us that the Bank did not devote sufficient resources to the Program to achieve success. Bank staff and community actors generally agreed that the Program budget was not large enough to realize the full potential of the Program. Said one bank staff member, ‘‘We have only two people to implement this—there is so much more we believe we could be doing. [Our primary staff person] tries to make house calls if we can’t solve problems over the phone. I just know the impact of that is so great. If we could replicate that across even 50% of participants our impact would be that much greater.’’ A CBO executive director offered the following, ‘‘There needs to be at least one dedicated person to focus on managing this and really be up on what’s going on. There are only a couple of people [at the Bank] working</w:t>
      </w:r>
    </w:p>
    <w:p>
      <w:pPr>
        <w:sectPr>
          <w:pgSz w:w="8640" w:h="13320" w:orient="portrait"/>
          <w:cols w:equalWidth="0" w:num="1">
            <w:col w:w="6460"/>
          </w:cols>
          <w:pgMar w:left="940" w:top="731" w:right="1240" w:bottom="688" w:gutter="0" w:footer="0" w:header="0"/>
        </w:sectPr>
      </w:pPr>
    </w:p>
    <w:bookmarkStart w:id="24" w:name="page25"/>
    <w:bookmarkEnd w:id="24"/>
    <w:p>
      <w:pPr>
        <w:spacing w:after="0"/>
        <w:tabs>
          <w:tab w:leader="none" w:pos="2320" w:val="left"/>
          <w:tab w:leader="none" w:pos="6140" w:val="left"/>
        </w:tabs>
        <w:rPr>
          <w:sz w:val="20"/>
          <w:szCs w:val="20"/>
          <w:color w:val="auto"/>
        </w:rPr>
      </w:pPr>
      <w:r>
        <w:rPr>
          <w:rFonts w:ascii="Times New Roman" w:cs="Times New Roman" w:eastAsia="Times New Roman" w:hAnsi="Times New Roman"/>
          <w:sz w:val="16"/>
          <w:szCs w:val="16"/>
          <w:color w:val="auto"/>
        </w:rPr>
        <w:t>SUMMER 2008</w:t>
      </w:r>
      <w:r>
        <w:rPr>
          <w:sz w:val="20"/>
          <w:szCs w:val="20"/>
          <w:color w:val="auto"/>
        </w:rPr>
        <w:tab/>
      </w:r>
      <w:r>
        <w:rPr>
          <w:rFonts w:ascii="Times New Roman" w:cs="Times New Roman" w:eastAsia="Times New Roman" w:hAnsi="Times New Roman"/>
          <w:sz w:val="16"/>
          <w:szCs w:val="16"/>
          <w:color w:val="auto"/>
        </w:rPr>
        <w:t>VOLUME 42, NUMBER 2</w:t>
      </w:r>
      <w:r>
        <w:rPr>
          <w:sz w:val="20"/>
          <w:szCs w:val="20"/>
          <w:color w:val="auto"/>
        </w:rPr>
        <w:tab/>
      </w:r>
      <w:r>
        <w:rPr>
          <w:rFonts w:ascii="Times New Roman" w:cs="Times New Roman" w:eastAsia="Times New Roman" w:hAnsi="Times New Roman"/>
          <w:sz w:val="20"/>
          <w:szCs w:val="20"/>
          <w:color w:val="auto"/>
        </w:rPr>
        <w:t>295</w:t>
      </w:r>
    </w:p>
    <w:p>
      <w:pPr>
        <w:spacing w:after="0" w:line="200" w:lineRule="exact"/>
        <w:rPr>
          <w:sz w:val="20"/>
          <w:szCs w:val="20"/>
          <w:color w:val="auto"/>
        </w:rPr>
      </w:pPr>
    </w:p>
    <w:p>
      <w:pPr>
        <w:spacing w:after="0" w:line="304" w:lineRule="exact"/>
        <w:rPr>
          <w:sz w:val="20"/>
          <w:szCs w:val="20"/>
          <w:color w:val="auto"/>
        </w:rPr>
      </w:pPr>
    </w:p>
    <w:p>
      <w:pPr>
        <w:jc w:val="both"/>
        <w:spacing w:after="0" w:line="228" w:lineRule="auto"/>
        <w:rPr>
          <w:sz w:val="20"/>
          <w:szCs w:val="20"/>
          <w:color w:val="auto"/>
        </w:rPr>
      </w:pPr>
      <w:r>
        <w:rPr>
          <w:rFonts w:ascii="Times New Roman" w:cs="Times New Roman" w:eastAsia="Times New Roman" w:hAnsi="Times New Roman"/>
          <w:sz w:val="22"/>
          <w:szCs w:val="22"/>
          <w:color w:val="auto"/>
        </w:rPr>
        <w:t>on this, and they are working on other things. [The Program] needs a champion, someone to go to community meetings and keep in better touch with the stakeholders.’’</w:t>
      </w:r>
    </w:p>
    <w:p>
      <w:pPr>
        <w:spacing w:after="0" w:line="57" w:lineRule="exact"/>
        <w:rPr>
          <w:sz w:val="20"/>
          <w:szCs w:val="20"/>
          <w:color w:val="auto"/>
        </w:rPr>
      </w:pPr>
    </w:p>
    <w:p>
      <w:pPr>
        <w:jc w:val="both"/>
        <w:ind w:firstLine="239"/>
        <w:spacing w:after="0" w:line="255" w:lineRule="auto"/>
        <w:rPr>
          <w:sz w:val="20"/>
          <w:szCs w:val="20"/>
          <w:color w:val="auto"/>
        </w:rPr>
      </w:pPr>
      <w:r>
        <w:rPr>
          <w:rFonts w:ascii="Times New Roman" w:cs="Times New Roman" w:eastAsia="Times New Roman" w:hAnsi="Times New Roman"/>
          <w:sz w:val="21"/>
          <w:szCs w:val="21"/>
          <w:color w:val="auto"/>
        </w:rPr>
        <w:t>Logistical problems, which arise during any demonstration program, also compromised the potential success of the program. The Bank initiated the Program before all the necessary pieces were in place. For example, site 1 participants received their computers months before the curriculum was completed, which delayed their receipt of training. At another site, a CBO executive director complained that only two participants had received their computers when training began. Therefore, these participants could not go home and practice on their computers between classes. According to this executive director, it is ‘‘essential that they have their computers when they are going through the training.’’ Said another, ‘‘Logistics were very poor.’’ ‘‘There were people who had already started and completed the program when they received letters from the Bank saying they were now eligible to participate. And they still had no computers.’’ In some classes, there were problems with the electronic banking Web site, making it impossible for the instructors to demonstrate it to participants at class time. In addition, some CBOs complained that the Bank repeatedly postponed events and changed dates. These changes included training sessions for the CBOs and dates by which computers would be delivered to participants. Clearly, these are problems that any startup program could encounter. The key is to learn from these early problems and to incorporate them into ongoing work; early evidence is that the Bank did this at site 5. At the same time, it is reasonable to hypothesize that these issues affected the impact of the Program on participants.</w:t>
      </w:r>
    </w:p>
    <w:p>
      <w:pPr>
        <w:spacing w:after="0" w:line="56" w:lineRule="exact"/>
        <w:rPr>
          <w:sz w:val="20"/>
          <w:szCs w:val="20"/>
          <w:color w:val="auto"/>
        </w:rPr>
      </w:pPr>
    </w:p>
    <w:p>
      <w:pPr>
        <w:jc w:val="both"/>
        <w:ind w:firstLine="239"/>
        <w:spacing w:after="0" w:line="242" w:lineRule="auto"/>
        <w:rPr>
          <w:sz w:val="20"/>
          <w:szCs w:val="20"/>
          <w:color w:val="auto"/>
        </w:rPr>
      </w:pPr>
      <w:r>
        <w:rPr>
          <w:rFonts w:ascii="Times New Roman" w:cs="Times New Roman" w:eastAsia="Times New Roman" w:hAnsi="Times New Roman"/>
          <w:sz w:val="22"/>
          <w:szCs w:val="22"/>
          <w:color w:val="auto"/>
        </w:rPr>
        <w:t>Although the Bank provided free equipment and Internet access, the Program did not take into account ancillary expenses related to the Pro-gram that participants might incur. The LMI individuals that the Program targeted are extremely sensitive to cost. One participant said that she has not replaced her printer cartridge because they are too expensive ($30– $40). Another told that she could not find the cartridges in her neighbor-hood and that it was hard for her to get a ride to a store that carried them. This story begins to reveal the complexity of the lives of low-income urbanites and how comprehensive a program must be to be effective. We confronted the transportation issue ourselves on one of the days we held our focus groups. The weather was very cold with freezing rain and snow was predicted. As we made calls the morning of the focus groups to remind people to attend, several told that they were unable to make it out because of the weather and their lack of transportation options.</w:t>
      </w:r>
    </w:p>
    <w:p>
      <w:pPr>
        <w:sectPr>
          <w:pgSz w:w="8640" w:h="13320" w:orient="portrait"/>
          <w:cols w:equalWidth="0" w:num="1">
            <w:col w:w="6460"/>
          </w:cols>
          <w:pgMar w:left="1240" w:top="771" w:right="940" w:bottom="943" w:gutter="0" w:footer="0" w:header="0"/>
        </w:sectPr>
      </w:pPr>
    </w:p>
    <w:bookmarkStart w:id="25" w:name="page26"/>
    <w:bookmarkEnd w:id="25"/>
    <w:p>
      <w:pPr>
        <w:spacing w:after="0"/>
        <w:tabs>
          <w:tab w:leader="none" w:pos="3460" w:val="left"/>
        </w:tabs>
        <w:rPr>
          <w:sz w:val="20"/>
          <w:szCs w:val="20"/>
          <w:color w:val="auto"/>
        </w:rPr>
      </w:pPr>
      <w:r>
        <w:rPr>
          <w:rFonts w:ascii="Times New Roman" w:cs="Times New Roman" w:eastAsia="Times New Roman" w:hAnsi="Times New Roman"/>
          <w:sz w:val="20"/>
          <w:szCs w:val="20"/>
          <w:color w:val="auto"/>
        </w:rPr>
        <w:t>296</w:t>
      </w:r>
      <w:r>
        <w:rPr>
          <w:sz w:val="20"/>
          <w:szCs w:val="20"/>
          <w:color w:val="auto"/>
        </w:rPr>
        <w:tab/>
      </w:r>
      <w:r>
        <w:rPr>
          <w:rFonts w:ascii="Times New Roman" w:cs="Times New Roman" w:eastAsia="Times New Roman" w:hAnsi="Times New Roman"/>
          <w:sz w:val="16"/>
          <w:szCs w:val="16"/>
          <w:color w:val="auto"/>
        </w:rPr>
        <w:t>THE JOURNAL OF CONSUMER AFFAIRS</w:t>
      </w:r>
    </w:p>
    <w:p>
      <w:pPr>
        <w:spacing w:after="0" w:line="200" w:lineRule="exact"/>
        <w:rPr>
          <w:sz w:val="20"/>
          <w:szCs w:val="20"/>
          <w:color w:val="auto"/>
        </w:rPr>
      </w:pPr>
    </w:p>
    <w:p>
      <w:pPr>
        <w:spacing w:after="0" w:line="344" w:lineRule="exact"/>
        <w:rPr>
          <w:sz w:val="20"/>
          <w:szCs w:val="20"/>
          <w:color w:val="auto"/>
        </w:rPr>
      </w:pPr>
    </w:p>
    <w:p>
      <w:pPr>
        <w:jc w:val="both"/>
        <w:ind w:firstLine="239"/>
        <w:spacing w:after="0" w:line="253" w:lineRule="auto"/>
        <w:rPr>
          <w:sz w:val="20"/>
          <w:szCs w:val="20"/>
          <w:color w:val="auto"/>
        </w:rPr>
      </w:pPr>
      <w:r>
        <w:rPr>
          <w:rFonts w:ascii="Times New Roman" w:cs="Times New Roman" w:eastAsia="Times New Roman" w:hAnsi="Times New Roman"/>
          <w:sz w:val="21"/>
          <w:szCs w:val="21"/>
          <w:color w:val="auto"/>
        </w:rPr>
        <w:t>Other participants have come to the end of their year of free Internet service and do not know if they can afford to pay for it themselves. Some expressed concern about the fees they would have to pay to continue bank-ing online (as part of the program, they received free access to the Bank’s online banking site for only one year). Although online banking is inex-pensive for banks, it is relatively expensive for consumers who may not otherwise use high-speed Internet services because of the fees associated with this use. Sophisticated online banking software is cumbersome with a modem. One participant noted that there were other computer classes available at the CBO but that they cost money and she could not afford them—she believed that she would have benefited from more free training.</w:t>
      </w:r>
    </w:p>
    <w:p>
      <w:pPr>
        <w:spacing w:after="0" w:line="269" w:lineRule="exact"/>
        <w:rPr>
          <w:sz w:val="20"/>
          <w:szCs w:val="20"/>
          <w:color w:val="auto"/>
        </w:rPr>
      </w:pPr>
    </w:p>
    <w:p>
      <w:pPr>
        <w:spacing w:after="0"/>
        <w:rPr>
          <w:sz w:val="20"/>
          <w:szCs w:val="20"/>
          <w:color w:val="auto"/>
        </w:rPr>
      </w:pPr>
      <w:r>
        <w:rPr>
          <w:rFonts w:ascii="Arial" w:cs="Arial" w:eastAsia="Arial" w:hAnsi="Arial"/>
          <w:sz w:val="22"/>
          <w:szCs w:val="22"/>
          <w:color w:val="auto"/>
        </w:rPr>
        <w:t>Participant-Related Findings</w:t>
      </w:r>
    </w:p>
    <w:p>
      <w:pPr>
        <w:spacing w:after="0" w:line="305" w:lineRule="exact"/>
        <w:rPr>
          <w:sz w:val="20"/>
          <w:szCs w:val="20"/>
          <w:color w:val="auto"/>
        </w:rPr>
      </w:pPr>
    </w:p>
    <w:p>
      <w:pPr>
        <w:jc w:val="both"/>
        <w:ind w:firstLine="239"/>
        <w:spacing w:after="0" w:line="235" w:lineRule="auto"/>
        <w:rPr>
          <w:sz w:val="20"/>
          <w:szCs w:val="20"/>
          <w:color w:val="auto"/>
        </w:rPr>
      </w:pPr>
      <w:r>
        <w:rPr>
          <w:rFonts w:ascii="Times New Roman" w:cs="Times New Roman" w:eastAsia="Times New Roman" w:hAnsi="Times New Roman"/>
          <w:sz w:val="22"/>
          <w:szCs w:val="22"/>
          <w:color w:val="auto"/>
        </w:rPr>
        <w:t>For those participants who achieved a reasonable comfort level with the online banking, we found interesting potential connections between online banking and financial literacy. For those participants who had less expe-rience with ICT, it took a significant amount of training and support to get them comfortable.</w:t>
      </w:r>
    </w:p>
    <w:p>
      <w:pPr>
        <w:spacing w:after="0" w:line="56" w:lineRule="exact"/>
        <w:rPr>
          <w:sz w:val="20"/>
          <w:szCs w:val="20"/>
          <w:color w:val="auto"/>
        </w:rPr>
      </w:pPr>
    </w:p>
    <w:p>
      <w:pPr>
        <w:jc w:val="both"/>
        <w:ind w:firstLine="239"/>
        <w:spacing w:after="0" w:line="255" w:lineRule="auto"/>
        <w:rPr>
          <w:sz w:val="20"/>
          <w:szCs w:val="20"/>
          <w:color w:val="auto"/>
        </w:rPr>
      </w:pPr>
      <w:r>
        <w:rPr>
          <w:rFonts w:ascii="Times New Roman" w:cs="Times New Roman" w:eastAsia="Times New Roman" w:hAnsi="Times New Roman"/>
          <w:sz w:val="21"/>
          <w:szCs w:val="21"/>
          <w:color w:val="auto"/>
        </w:rPr>
        <w:t>One clear difference between participants who used the Bank’s elec-tronic banking Web site and those who did not was that the former tended to have some prior experience with computers and/or a friend or family member who could help them navigate the Internet and answer questions when they got stuck. Inexperience and fear of being taken advantage of were two factors that came across clearly in the groups of participants who did not use electronic banking. Said one participant: ‘‘I’m afraid to do it [bank online]. You hear about all of these scams, and people getting your number. I would have to make sure I had it down pat in order to put my info in there.’’ Another was fearful of banking online ‘‘because you’re deal-ing with bills and dealing with money and I don’t want to mess it up.’’ With respect to inexperience, one participant said that the first several times she tried to connect to the Internet, the computer ‘‘made a funny noise, so I just shut it down because I thought I was breaking it.’’ Upon telling her instruc-tor about her ‘‘problem,’’ she learned that the noise was her modem con-necting to the Internet. Stories such as this one illustrate the basic level at which IT neophytes must be addressed. Even those who began to use elec-tronic banking expressed some trepidation about doing business online. Said one participant, ‘‘If I want to do something and I find out it’s not a secure line, I’m out of there.’’</w:t>
      </w:r>
    </w:p>
    <w:p>
      <w:pPr>
        <w:spacing w:after="0" w:line="49" w:lineRule="exact"/>
        <w:rPr>
          <w:sz w:val="20"/>
          <w:szCs w:val="20"/>
          <w:color w:val="auto"/>
        </w:rPr>
      </w:pPr>
    </w:p>
    <w:p>
      <w:pPr>
        <w:jc w:val="both"/>
        <w:ind w:firstLine="239"/>
        <w:spacing w:after="0" w:line="230" w:lineRule="auto"/>
        <w:rPr>
          <w:sz w:val="20"/>
          <w:szCs w:val="20"/>
          <w:color w:val="auto"/>
        </w:rPr>
      </w:pPr>
      <w:r>
        <w:rPr>
          <w:rFonts w:ascii="Times New Roman" w:cs="Times New Roman" w:eastAsia="Times New Roman" w:hAnsi="Times New Roman"/>
          <w:sz w:val="21"/>
          <w:szCs w:val="21"/>
          <w:color w:val="auto"/>
        </w:rPr>
        <w:t>When asked why they were interested in applying for the Program, par-ticipants spoke mostly about feeling the need to learn about technology.</w:t>
      </w:r>
    </w:p>
    <w:p>
      <w:pPr>
        <w:sectPr>
          <w:pgSz w:w="8640" w:h="13320" w:orient="portrait"/>
          <w:cols w:equalWidth="0" w:num="1">
            <w:col w:w="6460"/>
          </w:cols>
          <w:pgMar w:left="940" w:top="731" w:right="1240" w:bottom="684" w:gutter="0" w:footer="0" w:header="0"/>
        </w:sectPr>
      </w:pPr>
    </w:p>
    <w:bookmarkStart w:id="26" w:name="page27"/>
    <w:bookmarkEnd w:id="26"/>
    <w:p>
      <w:pPr>
        <w:spacing w:after="0"/>
        <w:tabs>
          <w:tab w:leader="none" w:pos="2320" w:val="left"/>
          <w:tab w:leader="none" w:pos="6140" w:val="left"/>
        </w:tabs>
        <w:rPr>
          <w:sz w:val="20"/>
          <w:szCs w:val="20"/>
          <w:color w:val="auto"/>
        </w:rPr>
      </w:pPr>
      <w:r>
        <w:rPr>
          <w:rFonts w:ascii="Times New Roman" w:cs="Times New Roman" w:eastAsia="Times New Roman" w:hAnsi="Times New Roman"/>
          <w:sz w:val="16"/>
          <w:szCs w:val="16"/>
          <w:color w:val="auto"/>
        </w:rPr>
        <w:t>SUMMER 2008</w:t>
      </w:r>
      <w:r>
        <w:rPr>
          <w:sz w:val="20"/>
          <w:szCs w:val="20"/>
          <w:color w:val="auto"/>
        </w:rPr>
        <w:tab/>
      </w:r>
      <w:r>
        <w:rPr>
          <w:rFonts w:ascii="Times New Roman" w:cs="Times New Roman" w:eastAsia="Times New Roman" w:hAnsi="Times New Roman"/>
          <w:sz w:val="16"/>
          <w:szCs w:val="16"/>
          <w:color w:val="auto"/>
        </w:rPr>
        <w:t>VOLUME 42, NUMBER 2</w:t>
      </w:r>
      <w:r>
        <w:rPr>
          <w:sz w:val="20"/>
          <w:szCs w:val="20"/>
          <w:color w:val="auto"/>
        </w:rPr>
        <w:tab/>
      </w:r>
      <w:r>
        <w:rPr>
          <w:rFonts w:ascii="Times New Roman" w:cs="Times New Roman" w:eastAsia="Times New Roman" w:hAnsi="Times New Roman"/>
          <w:sz w:val="20"/>
          <w:szCs w:val="20"/>
          <w:color w:val="auto"/>
        </w:rPr>
        <w:t>297</w:t>
      </w:r>
    </w:p>
    <w:p>
      <w:pPr>
        <w:spacing w:after="0" w:line="200" w:lineRule="exact"/>
        <w:rPr>
          <w:sz w:val="20"/>
          <w:szCs w:val="20"/>
          <w:color w:val="auto"/>
        </w:rPr>
      </w:pPr>
    </w:p>
    <w:p>
      <w:pPr>
        <w:spacing w:after="0" w:line="304" w:lineRule="exact"/>
        <w:rPr>
          <w:sz w:val="20"/>
          <w:szCs w:val="20"/>
          <w:color w:val="auto"/>
        </w:rPr>
      </w:pPr>
    </w:p>
    <w:p>
      <w:pPr>
        <w:jc w:val="both"/>
        <w:spacing w:after="0" w:line="238" w:lineRule="auto"/>
        <w:rPr>
          <w:sz w:val="20"/>
          <w:szCs w:val="20"/>
          <w:color w:val="auto"/>
        </w:rPr>
      </w:pPr>
      <w:r>
        <w:rPr>
          <w:rFonts w:ascii="Times New Roman" w:cs="Times New Roman" w:eastAsia="Times New Roman" w:hAnsi="Times New Roman"/>
          <w:sz w:val="22"/>
          <w:szCs w:val="22"/>
          <w:color w:val="auto"/>
        </w:rPr>
        <w:t>Typical responses included one person who said, ‘‘It’s something that you need to know to keep up.’’ Another relayed that she had ‘‘been told that it’s something you need to know to get jobs’’ and that she had been asked whether she was computer literate. Said another, ‘‘I felt like, Wow, I can really learn this.’ I don’t have to feel funny now.’’ Another echoed this sentiment, saying, ‘‘Now I know what it’s like to have a computer in my home—it’s like not being left out.’’</w:t>
      </w:r>
    </w:p>
    <w:p>
      <w:pPr>
        <w:spacing w:after="0" w:line="58" w:lineRule="exact"/>
        <w:rPr>
          <w:sz w:val="20"/>
          <w:szCs w:val="20"/>
          <w:color w:val="auto"/>
        </w:rPr>
      </w:pPr>
    </w:p>
    <w:p>
      <w:pPr>
        <w:jc w:val="both"/>
        <w:ind w:firstLine="239"/>
        <w:spacing w:after="0" w:line="241" w:lineRule="auto"/>
        <w:rPr>
          <w:sz w:val="20"/>
          <w:szCs w:val="20"/>
          <w:color w:val="auto"/>
        </w:rPr>
      </w:pPr>
      <w:r>
        <w:rPr>
          <w:rFonts w:ascii="Times New Roman" w:cs="Times New Roman" w:eastAsia="Times New Roman" w:hAnsi="Times New Roman"/>
          <w:sz w:val="22"/>
          <w:szCs w:val="22"/>
          <w:color w:val="auto"/>
        </w:rPr>
        <w:t>One general finding that held across all groups was that most participants desired more training—longer classes and more classes. Several partici-pants spoke of having forgotten what they learned in class and wishing they could return for a refresher course. Said one participant, ‘‘If you’ve never done computers, it’s like someone hitting you over the head with a block. The information goes over my head, like there’s so much coming at you and bombarding you that you start to tune it out.’’ Participants were perhaps less comfortable with technology than Bank staff anticipated. Said one staff member, ‘‘Many of the customers were needy; they had a lot of questions and concerns that needed to be addressed.’’ Another recognized that ‘‘ten hours of free training was not quite enough, especially for those with no experience. We stretched it from ten to fifteen because we didn’t hit the numbers we wanted.’’</w:t>
      </w:r>
    </w:p>
    <w:p>
      <w:pPr>
        <w:spacing w:after="0" w:line="64" w:lineRule="exact"/>
        <w:rPr>
          <w:sz w:val="20"/>
          <w:szCs w:val="20"/>
          <w:color w:val="auto"/>
        </w:rPr>
      </w:pPr>
    </w:p>
    <w:p>
      <w:pPr>
        <w:jc w:val="both"/>
        <w:ind w:firstLine="239"/>
        <w:spacing w:after="0" w:line="233" w:lineRule="auto"/>
        <w:rPr>
          <w:sz w:val="20"/>
          <w:szCs w:val="20"/>
          <w:color w:val="auto"/>
        </w:rPr>
      </w:pPr>
      <w:r>
        <w:rPr>
          <w:rFonts w:ascii="Times New Roman" w:cs="Times New Roman" w:eastAsia="Times New Roman" w:hAnsi="Times New Roman"/>
          <w:sz w:val="22"/>
          <w:szCs w:val="22"/>
          <w:color w:val="auto"/>
        </w:rPr>
        <w:t>The Bank had some problems with the contractor used to create the cur-riculum, and some staff were unhappy with the result. Said one staffer, ‘‘there were not enough visuals, it wasn’t portable enough, and it was not good for people who have trouble reading.’’</w:t>
      </w:r>
    </w:p>
    <w:p>
      <w:pPr>
        <w:spacing w:after="0" w:line="54" w:lineRule="exact"/>
        <w:rPr>
          <w:sz w:val="20"/>
          <w:szCs w:val="20"/>
          <w:color w:val="auto"/>
        </w:rPr>
      </w:pPr>
    </w:p>
    <w:p>
      <w:pPr>
        <w:jc w:val="both"/>
        <w:ind w:firstLine="239"/>
        <w:spacing w:after="0"/>
        <w:rPr>
          <w:sz w:val="20"/>
          <w:szCs w:val="20"/>
          <w:color w:val="auto"/>
        </w:rPr>
      </w:pPr>
      <w:r>
        <w:rPr>
          <w:rFonts w:ascii="Times New Roman" w:cs="Times New Roman" w:eastAsia="Times New Roman" w:hAnsi="Times New Roman"/>
          <w:sz w:val="22"/>
          <w:szCs w:val="22"/>
          <w:color w:val="auto"/>
        </w:rPr>
        <w:t>One CBO staffer said that Program participants get interested in the computer training quickly, even if they are new users. ‘‘Once they get to the second lesson, they want to keep going—that sort of locks them in.’’</w:t>
      </w:r>
    </w:p>
    <w:p>
      <w:pPr>
        <w:spacing w:after="0" w:line="277" w:lineRule="exact"/>
        <w:rPr>
          <w:sz w:val="20"/>
          <w:szCs w:val="20"/>
          <w:color w:val="auto"/>
        </w:rPr>
      </w:pPr>
    </w:p>
    <w:p>
      <w:pPr>
        <w:jc w:val="both"/>
        <w:ind w:firstLine="239"/>
        <w:spacing w:after="0" w:line="241" w:lineRule="auto"/>
        <w:rPr>
          <w:sz w:val="20"/>
          <w:szCs w:val="20"/>
          <w:color w:val="auto"/>
        </w:rPr>
      </w:pPr>
      <w:r>
        <w:rPr>
          <w:rFonts w:ascii="Times New Roman" w:cs="Times New Roman" w:eastAsia="Times New Roman" w:hAnsi="Times New Roman"/>
          <w:sz w:val="22"/>
          <w:szCs w:val="22"/>
          <w:color w:val="auto"/>
        </w:rPr>
        <w:t>Although we did not see significant behavioral changes in partici-pants, such as saving more money, the comments participants made about the financial literacy component of the Program indicate that there may be some important synergies between financial literacy training and e-banking. Those who are using the Bank’s electronic banking Web site find that electronic banking helps them to pay their bills on time. Typical comments included that of one participant who said that it ‘‘keeps me organized.’’ Another noted that it ‘‘made it easier for me to look at my spending by seeing my statements online.’’ Others echoed this sentiment that the visual aspect of electronic banking was key. For example, ‘‘I feel like I have more control of my money because I can see it.’’ Said one participant, ‘‘Now I know where my money is, and how much I have to play with. I don’t carry cash anymore.’’ Yet, another liked that she</w:t>
      </w:r>
    </w:p>
    <w:p>
      <w:pPr>
        <w:sectPr>
          <w:pgSz w:w="8640" w:h="13320" w:orient="portrait"/>
          <w:cols w:equalWidth="0" w:num="1">
            <w:col w:w="6460"/>
          </w:cols>
          <w:pgMar w:left="1240" w:top="771" w:right="940" w:bottom="694" w:gutter="0" w:footer="0" w:header="0"/>
        </w:sectPr>
      </w:pPr>
    </w:p>
    <w:bookmarkStart w:id="27" w:name="page28"/>
    <w:bookmarkEnd w:id="27"/>
    <w:p>
      <w:pPr>
        <w:spacing w:after="0"/>
        <w:tabs>
          <w:tab w:leader="none" w:pos="3460" w:val="left"/>
        </w:tabs>
        <w:rPr>
          <w:sz w:val="20"/>
          <w:szCs w:val="20"/>
          <w:color w:val="auto"/>
        </w:rPr>
      </w:pPr>
      <w:r>
        <w:rPr>
          <w:rFonts w:ascii="Times New Roman" w:cs="Times New Roman" w:eastAsia="Times New Roman" w:hAnsi="Times New Roman"/>
          <w:sz w:val="20"/>
          <w:szCs w:val="20"/>
          <w:color w:val="auto"/>
        </w:rPr>
        <w:t>298</w:t>
      </w:r>
      <w:r>
        <w:rPr>
          <w:sz w:val="20"/>
          <w:szCs w:val="20"/>
          <w:color w:val="auto"/>
        </w:rPr>
        <w:tab/>
      </w:r>
      <w:r>
        <w:rPr>
          <w:rFonts w:ascii="Times New Roman" w:cs="Times New Roman" w:eastAsia="Times New Roman" w:hAnsi="Times New Roman"/>
          <w:sz w:val="16"/>
          <w:szCs w:val="16"/>
          <w:color w:val="auto"/>
        </w:rPr>
        <w:t>THE JOURNAL OF CONSUMER AFFAIRS</w:t>
      </w:r>
    </w:p>
    <w:p>
      <w:pPr>
        <w:spacing w:after="0" w:line="200" w:lineRule="exact"/>
        <w:rPr>
          <w:sz w:val="20"/>
          <w:szCs w:val="20"/>
          <w:color w:val="auto"/>
        </w:rPr>
      </w:pPr>
    </w:p>
    <w:p>
      <w:pPr>
        <w:spacing w:after="0" w:line="344" w:lineRule="exact"/>
        <w:rPr>
          <w:sz w:val="20"/>
          <w:szCs w:val="20"/>
          <w:color w:val="auto"/>
        </w:rPr>
      </w:pPr>
    </w:p>
    <w:p>
      <w:pPr>
        <w:jc w:val="both"/>
        <w:spacing w:after="0" w:line="242" w:lineRule="auto"/>
        <w:rPr>
          <w:sz w:val="20"/>
          <w:szCs w:val="20"/>
          <w:color w:val="auto"/>
        </w:rPr>
      </w:pPr>
      <w:r>
        <w:rPr>
          <w:rFonts w:ascii="Times New Roman" w:cs="Times New Roman" w:eastAsia="Times New Roman" w:hAnsi="Times New Roman"/>
          <w:sz w:val="22"/>
          <w:szCs w:val="22"/>
          <w:color w:val="auto"/>
        </w:rPr>
        <w:t>‘‘could easily tell when a bill was paid.’’ A few participants are very happy with recent Web site enhancements, which they find easier to use. There is some anecdotal evidence that learning the budgeting software is enabling participants to think differently about money and to begin to save. Said one participant, ‘‘I do have money. I save more now because I can see it.’’ One of the CBO trainers said that in the classes on financial literacy, she saw, ‘‘Lightbulbs going off. They were seeing how they could make adjustments and begin to save. These tools are helping them to make better choices, and nobody else is giving them these tools. They are learning that saving even $25 a month will make a difference.’’ Others said that being able to transfer money from one account to another online enabled them to avoid costly fees because it helped them avoid bouncing checks. Going through the program has generally made participants more comfortable with technology and particularly with e-banking. Said one CBO staff mem-ber, ‘‘everyone was so afraid of it, and now they realize there’s nothing to it.’’</w:t>
      </w:r>
    </w:p>
    <w:p>
      <w:pPr>
        <w:spacing w:after="0" w:line="323" w:lineRule="exact"/>
        <w:rPr>
          <w:sz w:val="20"/>
          <w:szCs w:val="20"/>
          <w:color w:val="auto"/>
        </w:rPr>
      </w:pPr>
    </w:p>
    <w:p>
      <w:pPr>
        <w:jc w:val="both"/>
        <w:ind w:firstLine="239"/>
        <w:spacing w:after="0"/>
        <w:rPr>
          <w:sz w:val="20"/>
          <w:szCs w:val="20"/>
          <w:color w:val="auto"/>
        </w:rPr>
      </w:pPr>
      <w:r>
        <w:rPr>
          <w:rFonts w:ascii="Times New Roman" w:cs="Times New Roman" w:eastAsia="Times New Roman" w:hAnsi="Times New Roman"/>
          <w:sz w:val="22"/>
          <w:szCs w:val="22"/>
          <w:color w:val="auto"/>
        </w:rPr>
        <w:t>At the same time, two participants had had negative experiences that made them even more reticent about trusting the technology.</w:t>
      </w:r>
      <w:r>
        <w:rPr>
          <w:rFonts w:ascii="Times New Roman" w:cs="Times New Roman" w:eastAsia="Times New Roman" w:hAnsi="Times New Roman"/>
          <w:sz w:val="29"/>
          <w:szCs w:val="29"/>
          <w:color w:val="auto"/>
          <w:vertAlign w:val="superscript"/>
        </w:rPr>
        <w:t>11</w:t>
      </w:r>
      <w:r>
        <w:rPr>
          <w:rFonts w:ascii="Times New Roman" w:cs="Times New Roman" w:eastAsia="Times New Roman" w:hAnsi="Times New Roman"/>
          <w:sz w:val="22"/>
          <w:szCs w:val="22"/>
          <w:color w:val="auto"/>
        </w:rPr>
        <w:t xml:space="preserve"> For example, one participant relayed that she had tried to set up her account to pay bills while she was on vacation; she returned to find that several checks had bounced. Although she was able to negotiate with the Bank to get the fees reduced, she is now ‘‘scared to go back and try it again.’’</w:t>
      </w:r>
    </w:p>
    <w:p>
      <w:pPr>
        <w:spacing w:after="0" w:line="215" w:lineRule="exact"/>
        <w:rPr>
          <w:sz w:val="20"/>
          <w:szCs w:val="20"/>
          <w:color w:val="auto"/>
        </w:rPr>
      </w:pPr>
    </w:p>
    <w:p>
      <w:pPr>
        <w:jc w:val="both"/>
        <w:ind w:firstLine="239"/>
        <w:spacing w:after="0" w:line="252" w:lineRule="auto"/>
        <w:rPr>
          <w:sz w:val="20"/>
          <w:szCs w:val="20"/>
          <w:color w:val="auto"/>
        </w:rPr>
      </w:pPr>
      <w:r>
        <w:rPr>
          <w:rFonts w:ascii="Times New Roman" w:cs="Times New Roman" w:eastAsia="Times New Roman" w:hAnsi="Times New Roman"/>
          <w:sz w:val="21"/>
          <w:szCs w:val="21"/>
          <w:color w:val="auto"/>
        </w:rPr>
        <w:t>One factor that most certainly affects the financial literacy outcomes of this intervention concerns the socioeconomic status of the participants. LMI individuals, by definition, have less ability to save, invest, and engage in other positive financial behaviors because their income and assets are min-imal. As Lyons et al. maintain, ‘‘no matter how much financial education they receive, financially insecure participants will likely find it more dif-ficult than financially secure participants to meet certain program goals (i.e., increasing savings, paying bills in full)’’ (2006, p. 232).</w:t>
      </w:r>
    </w:p>
    <w:p>
      <w:pPr>
        <w:spacing w:after="0" w:line="44" w:lineRule="exact"/>
        <w:rPr>
          <w:sz w:val="20"/>
          <w:szCs w:val="20"/>
          <w:color w:val="auto"/>
        </w:rPr>
      </w:pPr>
    </w:p>
    <w:p>
      <w:pPr>
        <w:jc w:val="both"/>
        <w:ind w:firstLine="239"/>
        <w:spacing w:after="0" w:line="235" w:lineRule="auto"/>
        <w:rPr>
          <w:sz w:val="20"/>
          <w:szCs w:val="20"/>
          <w:color w:val="auto"/>
        </w:rPr>
      </w:pPr>
      <w:r>
        <w:rPr>
          <w:rFonts w:ascii="Times New Roman" w:cs="Times New Roman" w:eastAsia="Times New Roman" w:hAnsi="Times New Roman"/>
          <w:sz w:val="22"/>
          <w:szCs w:val="22"/>
          <w:color w:val="auto"/>
        </w:rPr>
        <w:t>Reactions to the curriculum were mixed and indicate that the curric-ulum developed may not have worked particularly well with the target population. One participant felt that ‘‘the budgeting information was helpful but I don’t use it. The spreadsheets were more in depth and more complicated than I need.’’ When asked whether and how the financial</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-1270</wp:posOffset>
            </wp:positionH>
            <wp:positionV relativeFrom="paragraph">
              <wp:posOffset>348615</wp:posOffset>
            </wp:positionV>
            <wp:extent cx="1518285" cy="4763"/>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extLst>
                        <a:ext uri="{28A0092B-C50C-407E-A947-70E740481C1C}"/>
                      </a:extLst>
                    </a:blip>
                    <a:srcRect/>
                    <a:stretch>
                      <a:fillRect/>
                    </a:stretch>
                  </pic:blipFill>
                  <pic:spPr bwMode="auto">
                    <a:xfrm>
                      <a:off x="0" y="0"/>
                      <a:ext cx="1518285" cy="4763"/>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62" w:lineRule="exact"/>
        <w:rPr>
          <w:sz w:val="20"/>
          <w:szCs w:val="20"/>
          <w:color w:val="auto"/>
        </w:rPr>
      </w:pPr>
    </w:p>
    <w:p>
      <w:pPr>
        <w:ind w:firstLine="177"/>
        <w:spacing w:after="0" w:line="227" w:lineRule="auto"/>
        <w:tabs>
          <w:tab w:leader="none" w:pos="458" w:val="left"/>
        </w:tabs>
        <w:numPr>
          <w:ilvl w:val="0"/>
          <w:numId w:val="10"/>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Only two focus group participants expressed this kind of reticence. We did not ask questions about negative technological experiences on the survey.</w:t>
      </w:r>
    </w:p>
    <w:p>
      <w:pPr>
        <w:sectPr>
          <w:pgSz w:w="8640" w:h="13320" w:orient="portrait"/>
          <w:cols w:equalWidth="0" w:num="1">
            <w:col w:w="6460"/>
          </w:cols>
          <w:pgMar w:left="940" w:top="731" w:right="1240" w:bottom="692" w:gutter="0" w:footer="0" w:header="0"/>
        </w:sectPr>
      </w:pPr>
    </w:p>
    <w:bookmarkStart w:id="28" w:name="page29"/>
    <w:bookmarkEnd w:id="28"/>
    <w:p>
      <w:pPr>
        <w:spacing w:after="0"/>
        <w:tabs>
          <w:tab w:leader="none" w:pos="2320" w:val="left"/>
          <w:tab w:leader="none" w:pos="6140" w:val="left"/>
        </w:tabs>
        <w:rPr>
          <w:sz w:val="20"/>
          <w:szCs w:val="20"/>
          <w:color w:val="auto"/>
        </w:rPr>
      </w:pPr>
      <w:r>
        <w:rPr>
          <w:rFonts w:ascii="Times New Roman" w:cs="Times New Roman" w:eastAsia="Times New Roman" w:hAnsi="Times New Roman"/>
          <w:sz w:val="16"/>
          <w:szCs w:val="16"/>
          <w:color w:val="auto"/>
        </w:rPr>
        <w:t>SUMMER 2008</w:t>
      </w:r>
      <w:r>
        <w:rPr>
          <w:sz w:val="20"/>
          <w:szCs w:val="20"/>
          <w:color w:val="auto"/>
        </w:rPr>
        <w:tab/>
      </w:r>
      <w:r>
        <w:rPr>
          <w:rFonts w:ascii="Times New Roman" w:cs="Times New Roman" w:eastAsia="Times New Roman" w:hAnsi="Times New Roman"/>
          <w:sz w:val="16"/>
          <w:szCs w:val="16"/>
          <w:color w:val="auto"/>
        </w:rPr>
        <w:t>VOLUME 42, NUMBER 2</w:t>
      </w:r>
      <w:r>
        <w:rPr>
          <w:sz w:val="20"/>
          <w:szCs w:val="20"/>
          <w:color w:val="auto"/>
        </w:rPr>
        <w:tab/>
      </w:r>
      <w:r>
        <w:rPr>
          <w:rFonts w:ascii="Times New Roman" w:cs="Times New Roman" w:eastAsia="Times New Roman" w:hAnsi="Times New Roman"/>
          <w:sz w:val="20"/>
          <w:szCs w:val="20"/>
          <w:color w:val="auto"/>
        </w:rPr>
        <w:t>299</w:t>
      </w:r>
    </w:p>
    <w:p>
      <w:pPr>
        <w:spacing w:after="0" w:line="200" w:lineRule="exact"/>
        <w:rPr>
          <w:sz w:val="20"/>
          <w:szCs w:val="20"/>
          <w:color w:val="auto"/>
        </w:rPr>
      </w:pPr>
    </w:p>
    <w:p>
      <w:pPr>
        <w:spacing w:after="0" w:line="304" w:lineRule="exact"/>
        <w:rPr>
          <w:sz w:val="20"/>
          <w:szCs w:val="20"/>
          <w:color w:val="auto"/>
        </w:rPr>
      </w:pPr>
    </w:p>
    <w:p>
      <w:pPr>
        <w:jc w:val="both"/>
        <w:spacing w:after="0"/>
        <w:rPr>
          <w:sz w:val="20"/>
          <w:szCs w:val="20"/>
          <w:color w:val="auto"/>
        </w:rPr>
      </w:pPr>
      <w:r>
        <w:rPr>
          <w:rFonts w:ascii="Times New Roman" w:cs="Times New Roman" w:eastAsia="Times New Roman" w:hAnsi="Times New Roman"/>
          <w:sz w:val="22"/>
          <w:szCs w:val="22"/>
          <w:color w:val="auto"/>
        </w:rPr>
        <w:t>literacy information helped them to keep track of their expenses, one participant said, ‘‘The computer won’t help you if you don’t have the discipline yourself.’’ In general, CBO staffers felt that the materials provided by the Bank were good. One CBO executive director felt that the curriculum was geared toward more advanced students—at that CBO, they incorporated their own curriculum into what the Bank provided. This executive director believed that a more basic curriculum was needed and that the Bank should do a more precise screening to separate participants with no computer experience from those with very limited experience.</w:t>
      </w:r>
    </w:p>
    <w:p>
      <w:pPr>
        <w:spacing w:after="0" w:line="272"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2"/>
          <w:szCs w:val="22"/>
          <w:color w:val="auto"/>
        </w:rPr>
        <w:t>DISCUSSION AND POLICY IMPLICATIONS</w:t>
      </w:r>
    </w:p>
    <w:p>
      <w:pPr>
        <w:spacing w:after="0" w:line="313" w:lineRule="exact"/>
        <w:rPr>
          <w:sz w:val="20"/>
          <w:szCs w:val="20"/>
          <w:color w:val="auto"/>
        </w:rPr>
      </w:pPr>
    </w:p>
    <w:p>
      <w:pPr>
        <w:jc w:val="both"/>
        <w:ind w:firstLine="239"/>
        <w:spacing w:after="0" w:line="239" w:lineRule="auto"/>
        <w:rPr>
          <w:sz w:val="20"/>
          <w:szCs w:val="20"/>
          <w:color w:val="auto"/>
        </w:rPr>
      </w:pPr>
      <w:r>
        <w:rPr>
          <w:rFonts w:ascii="Times New Roman" w:cs="Times New Roman" w:eastAsia="Times New Roman" w:hAnsi="Times New Roman"/>
          <w:sz w:val="22"/>
          <w:szCs w:val="22"/>
          <w:color w:val="auto"/>
        </w:rPr>
        <w:t>Our quantitative analysis shows that the Program generated few effects. On the positive side, there were statistically significant increases for participants in the following areas: owning stocks and bonds, using a debit card, owning a credit card, and using the Internet. Findings from the qualitative component of the study showed substantial imple-mentation issues. It seems reasonable to hypothesize that Pro-gram effects may well have been larger if the Program had been better implemented.</w:t>
      </w:r>
    </w:p>
    <w:p>
      <w:pPr>
        <w:spacing w:after="0" w:line="57" w:lineRule="exact"/>
        <w:rPr>
          <w:sz w:val="20"/>
          <w:szCs w:val="20"/>
          <w:color w:val="auto"/>
        </w:rPr>
      </w:pPr>
    </w:p>
    <w:p>
      <w:pPr>
        <w:jc w:val="both"/>
        <w:ind w:firstLine="239"/>
        <w:spacing w:after="0" w:line="238" w:lineRule="auto"/>
        <w:rPr>
          <w:sz w:val="20"/>
          <w:szCs w:val="20"/>
          <w:color w:val="auto"/>
        </w:rPr>
      </w:pPr>
      <w:r>
        <w:rPr>
          <w:rFonts w:ascii="Times New Roman" w:cs="Times New Roman" w:eastAsia="Times New Roman" w:hAnsi="Times New Roman"/>
          <w:sz w:val="22"/>
          <w:szCs w:val="22"/>
          <w:color w:val="auto"/>
        </w:rPr>
        <w:t>All demonstration programs need the space to try out new ideas and incorporate the learning from initial tests into later models. Although the Program set out to address access, content, and training issues, it fell somewhat short on the content and training fronts. Participants clearly wanted more training and the Web site created to address content did not meet participants’ needs. We believe that the idea behind the Program is viable, but that appropriate implementation is key.</w:t>
      </w:r>
    </w:p>
    <w:p>
      <w:pPr>
        <w:spacing w:after="0" w:line="57" w:lineRule="exact"/>
        <w:rPr>
          <w:sz w:val="20"/>
          <w:szCs w:val="20"/>
          <w:color w:val="auto"/>
        </w:rPr>
      </w:pPr>
    </w:p>
    <w:p>
      <w:pPr>
        <w:jc w:val="both"/>
        <w:ind w:firstLine="239"/>
        <w:spacing w:after="0" w:line="241" w:lineRule="auto"/>
        <w:rPr>
          <w:sz w:val="20"/>
          <w:szCs w:val="20"/>
          <w:color w:val="auto"/>
        </w:rPr>
      </w:pPr>
      <w:r>
        <w:rPr>
          <w:rFonts w:ascii="Times New Roman" w:cs="Times New Roman" w:eastAsia="Times New Roman" w:hAnsi="Times New Roman"/>
          <w:sz w:val="22"/>
          <w:szCs w:val="22"/>
          <w:color w:val="auto"/>
        </w:rPr>
        <w:t>Indeed, any new initiative needs to ‘‘begin with the end in mind.’’ Despite its good intentions, the Bank encountered problems because it instituted the Program without thinking through at the beginning how to define and ultimately measure success. This finding leads to our first policy implication, which is that financial literacy interventions must be thought through from beginning to end to maximize the potential for suc-cess. In the case of this Program, the Bank clearly could have better used the CBOs it partnered with to foresee and prevent issues that participants ultimately faced, such as a need for more training, or the expense of main-taining their computers and paying for the Internet after the one-year intervention came to a close. The theoretical framework of the technology acceptance model also informs implications around program design. In the case of the Program, the intervention changed participants’</w:t>
      </w:r>
    </w:p>
    <w:p>
      <w:pPr>
        <w:sectPr>
          <w:pgSz w:w="8640" w:h="13320" w:orient="portrait"/>
          <w:cols w:equalWidth="0" w:num="1">
            <w:col w:w="6460"/>
          </w:cols>
          <w:pgMar w:left="1240" w:top="771" w:right="940" w:bottom="694" w:gutter="0" w:footer="0" w:header="0"/>
        </w:sectPr>
      </w:pPr>
    </w:p>
    <w:bookmarkStart w:id="29" w:name="page30"/>
    <w:bookmarkEnd w:id="29"/>
    <w:p>
      <w:pPr>
        <w:spacing w:after="0"/>
        <w:tabs>
          <w:tab w:leader="none" w:pos="3460" w:val="left"/>
        </w:tabs>
        <w:rPr>
          <w:sz w:val="20"/>
          <w:szCs w:val="20"/>
          <w:color w:val="auto"/>
        </w:rPr>
      </w:pPr>
      <w:r>
        <w:rPr>
          <w:rFonts w:ascii="Times New Roman" w:cs="Times New Roman" w:eastAsia="Times New Roman" w:hAnsi="Times New Roman"/>
          <w:sz w:val="20"/>
          <w:szCs w:val="20"/>
          <w:color w:val="auto"/>
        </w:rPr>
        <w:t>300</w:t>
      </w:r>
      <w:r>
        <w:rPr>
          <w:sz w:val="20"/>
          <w:szCs w:val="20"/>
          <w:color w:val="auto"/>
        </w:rPr>
        <w:tab/>
      </w:r>
      <w:r>
        <w:rPr>
          <w:rFonts w:ascii="Times New Roman" w:cs="Times New Roman" w:eastAsia="Times New Roman" w:hAnsi="Times New Roman"/>
          <w:sz w:val="16"/>
          <w:szCs w:val="16"/>
          <w:color w:val="auto"/>
        </w:rPr>
        <w:t>THE JOURNAL OF CONSUMER AFFAIRS</w:t>
      </w:r>
    </w:p>
    <w:p>
      <w:pPr>
        <w:spacing w:after="0" w:line="200" w:lineRule="exact"/>
        <w:rPr>
          <w:sz w:val="20"/>
          <w:szCs w:val="20"/>
          <w:color w:val="auto"/>
        </w:rPr>
      </w:pPr>
    </w:p>
    <w:p>
      <w:pPr>
        <w:spacing w:after="0" w:line="344" w:lineRule="exact"/>
        <w:rPr>
          <w:sz w:val="20"/>
          <w:szCs w:val="20"/>
          <w:color w:val="auto"/>
        </w:rPr>
      </w:pPr>
    </w:p>
    <w:p>
      <w:pPr>
        <w:jc w:val="both"/>
        <w:spacing w:after="0" w:line="233" w:lineRule="auto"/>
        <w:rPr>
          <w:sz w:val="20"/>
          <w:szCs w:val="20"/>
          <w:color w:val="auto"/>
        </w:rPr>
      </w:pPr>
      <w:r>
        <w:rPr>
          <w:rFonts w:ascii="Times New Roman" w:cs="Times New Roman" w:eastAsia="Times New Roman" w:hAnsi="Times New Roman"/>
          <w:sz w:val="22"/>
          <w:szCs w:val="22"/>
          <w:color w:val="auto"/>
        </w:rPr>
        <w:t>perceptions of the ease of technological literacy and of the usefulness of financial literacy. Given the difficulties associated with delivering finan-cial literacy education to adults, future financial literacy interventions could usefully employ this framework.</w:t>
      </w:r>
    </w:p>
    <w:p>
      <w:pPr>
        <w:spacing w:after="0" w:line="54" w:lineRule="exact"/>
        <w:rPr>
          <w:sz w:val="20"/>
          <w:szCs w:val="20"/>
          <w:color w:val="auto"/>
        </w:rPr>
      </w:pPr>
    </w:p>
    <w:p>
      <w:pPr>
        <w:jc w:val="both"/>
        <w:ind w:firstLine="239"/>
        <w:spacing w:after="0" w:line="255" w:lineRule="auto"/>
        <w:rPr>
          <w:sz w:val="20"/>
          <w:szCs w:val="20"/>
          <w:color w:val="auto"/>
        </w:rPr>
      </w:pPr>
      <w:r>
        <w:rPr>
          <w:rFonts w:ascii="Times New Roman" w:cs="Times New Roman" w:eastAsia="Times New Roman" w:hAnsi="Times New Roman"/>
          <w:sz w:val="21"/>
          <w:szCs w:val="21"/>
          <w:color w:val="auto"/>
        </w:rPr>
        <w:t>Another important lesson from this project is that creating these inter-ventions does not come cheaply. Making a program of this kind work requires significant investment and maintenance. For corporate actors to undertake this investment, there must be a compelling reason such as a boost to the bottom line. Coupling ICT training with financial literacy training may help banks expand into currently underserved markets in a manner that is cost effective. In this demonstration program, technology operated as a powerful hook to get LMI individuals to the table to learn about financial literacy. And the prospect of moving customers from ATM and teller services to e-banking acted as an incentive for the Bank to provide not only the financial literacy training but also the technology. However, if doing so requires providing the level and amount of equipment and training that this research implies it might, it is possible that the cost– benefit analysis of whether or not to provide such programs would not come out positive for banks. Motivating banks to participate more in financial literacy initiatives such as this one will require policy makers and advocates to make a better case for how banks benefit from these initiatives and why ‘‘double bottom line’’ thinking is important.</w:t>
      </w:r>
    </w:p>
    <w:p>
      <w:pPr>
        <w:spacing w:after="0" w:line="44" w:lineRule="exact"/>
        <w:rPr>
          <w:sz w:val="20"/>
          <w:szCs w:val="20"/>
          <w:color w:val="auto"/>
        </w:rPr>
      </w:pPr>
    </w:p>
    <w:p>
      <w:pPr>
        <w:jc w:val="both"/>
        <w:ind w:firstLine="239"/>
        <w:spacing w:after="0" w:line="253" w:lineRule="auto"/>
        <w:rPr>
          <w:sz w:val="20"/>
          <w:szCs w:val="20"/>
          <w:color w:val="auto"/>
        </w:rPr>
      </w:pPr>
      <w:r>
        <w:rPr>
          <w:rFonts w:ascii="Times New Roman" w:cs="Times New Roman" w:eastAsia="Times New Roman" w:hAnsi="Times New Roman"/>
          <w:sz w:val="21"/>
          <w:szCs w:val="21"/>
          <w:color w:val="auto"/>
        </w:rPr>
        <w:t>Our work also supports that of others who theorize that financial literacy education is most powerful when it connects to a person’s life in concrete ways. Financial literacy advocates have recommended teaching financial literacy skills on the job or at key moments, but LMI individuals are less likely than the average person to be employed or to be purchasing a major asset. A third policy intervention involves the need to think creatively about interventions that resonate with peoples’ lives. The Program got to partic-ipants through their bank accounts, using technology as a lure. A similar intervention that incentivized the unbanked to obtain a bank account might be appropriate for an even larger population.</w:t>
      </w:r>
    </w:p>
    <w:p>
      <w:pPr>
        <w:spacing w:after="0" w:line="45" w:lineRule="exact"/>
        <w:rPr>
          <w:sz w:val="20"/>
          <w:szCs w:val="20"/>
          <w:color w:val="auto"/>
        </w:rPr>
      </w:pPr>
    </w:p>
    <w:p>
      <w:pPr>
        <w:jc w:val="both"/>
        <w:ind w:firstLine="239"/>
        <w:spacing w:after="0" w:line="252" w:lineRule="auto"/>
        <w:rPr>
          <w:sz w:val="20"/>
          <w:szCs w:val="20"/>
          <w:color w:val="auto"/>
        </w:rPr>
      </w:pPr>
      <w:r>
        <w:rPr>
          <w:rFonts w:ascii="Times New Roman" w:cs="Times New Roman" w:eastAsia="Times New Roman" w:hAnsi="Times New Roman"/>
          <w:sz w:val="21"/>
          <w:szCs w:val="21"/>
          <w:color w:val="auto"/>
        </w:rPr>
        <w:t>Finally, although this research demonstrates a potentially powerful connection between technological literacy and financial literacy, it also illustrates the barriers LMI individuals face in achieving technological literacy. Given the difficulties in designing financial literacy interventions for adults (Parrish and Servon 2006), and the finding that manipulating their own money online may be a compelling gateway into financial lit-eracy, another policy implication arising from this work is that efforts to close the digital divide must be strengthened. Although the current administration has nearly eliminated support for digital divide initiatives,</w:t>
      </w:r>
    </w:p>
    <w:p>
      <w:pPr>
        <w:sectPr>
          <w:pgSz w:w="8640" w:h="13320" w:orient="portrait"/>
          <w:cols w:equalWidth="0" w:num="1">
            <w:col w:w="6460"/>
          </w:cols>
          <w:pgMar w:left="940" w:top="731" w:right="1240" w:bottom="678" w:gutter="0" w:footer="0" w:header="0"/>
        </w:sectPr>
      </w:pPr>
    </w:p>
    <w:bookmarkStart w:id="30" w:name="page31"/>
    <w:bookmarkEnd w:id="30"/>
    <w:p>
      <w:pPr>
        <w:spacing w:after="0"/>
        <w:tabs>
          <w:tab w:leader="none" w:pos="2320" w:val="left"/>
          <w:tab w:leader="none" w:pos="6140" w:val="left"/>
        </w:tabs>
        <w:rPr>
          <w:sz w:val="20"/>
          <w:szCs w:val="20"/>
          <w:color w:val="auto"/>
        </w:rPr>
      </w:pPr>
      <w:r>
        <w:rPr>
          <w:rFonts w:ascii="Times New Roman" w:cs="Times New Roman" w:eastAsia="Times New Roman" w:hAnsi="Times New Roman"/>
          <w:sz w:val="16"/>
          <w:szCs w:val="16"/>
          <w:color w:val="auto"/>
        </w:rPr>
        <w:t>SUMMER 2008</w:t>
      </w:r>
      <w:r>
        <w:rPr>
          <w:sz w:val="20"/>
          <w:szCs w:val="20"/>
          <w:color w:val="auto"/>
        </w:rPr>
        <w:tab/>
      </w:r>
      <w:r>
        <w:rPr>
          <w:rFonts w:ascii="Times New Roman" w:cs="Times New Roman" w:eastAsia="Times New Roman" w:hAnsi="Times New Roman"/>
          <w:sz w:val="16"/>
          <w:szCs w:val="16"/>
          <w:color w:val="auto"/>
        </w:rPr>
        <w:t>VOLUME 42, NUMBER 2</w:t>
      </w:r>
      <w:r>
        <w:rPr>
          <w:sz w:val="20"/>
          <w:szCs w:val="20"/>
          <w:color w:val="auto"/>
        </w:rPr>
        <w:tab/>
      </w:r>
      <w:r>
        <w:rPr>
          <w:rFonts w:ascii="Times New Roman" w:cs="Times New Roman" w:eastAsia="Times New Roman" w:hAnsi="Times New Roman"/>
          <w:sz w:val="20"/>
          <w:szCs w:val="20"/>
          <w:color w:val="auto"/>
        </w:rPr>
        <w:t>301</w:t>
      </w:r>
    </w:p>
    <w:p>
      <w:pPr>
        <w:spacing w:after="0" w:line="200" w:lineRule="exact"/>
        <w:rPr>
          <w:sz w:val="20"/>
          <w:szCs w:val="20"/>
          <w:color w:val="auto"/>
        </w:rPr>
      </w:pPr>
    </w:p>
    <w:p>
      <w:pPr>
        <w:spacing w:after="0" w:line="304" w:lineRule="exact"/>
        <w:rPr>
          <w:sz w:val="20"/>
          <w:szCs w:val="20"/>
          <w:color w:val="auto"/>
        </w:rPr>
      </w:pPr>
    </w:p>
    <w:p>
      <w:pPr>
        <w:jc w:val="both"/>
        <w:spacing w:after="0" w:line="238" w:lineRule="auto"/>
        <w:rPr>
          <w:sz w:val="20"/>
          <w:szCs w:val="20"/>
          <w:color w:val="auto"/>
        </w:rPr>
      </w:pPr>
      <w:r>
        <w:rPr>
          <w:rFonts w:ascii="Times New Roman" w:cs="Times New Roman" w:eastAsia="Times New Roman" w:hAnsi="Times New Roman"/>
          <w:sz w:val="22"/>
          <w:szCs w:val="22"/>
          <w:color w:val="auto"/>
        </w:rPr>
        <w:t>compelling research suggests that the digital divide persists and that LMI individuals are most likely to be on the wrong side of the divide. Broad-band is increasingly necessary to support online banking, and people who either do not have any Internet access or who have dial-up access tend to be low income (Horrigan 2007). Leveraging the connection between technological and financial literacy will require targeted initiatives to address this issue.</w:t>
      </w:r>
    </w:p>
    <w:p>
      <w:pPr>
        <w:spacing w:after="0" w:line="269"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2"/>
          <w:szCs w:val="22"/>
          <w:color w:val="auto"/>
        </w:rPr>
        <w:t>CONCLUSIONS</w:t>
      </w:r>
    </w:p>
    <w:p>
      <w:pPr>
        <w:spacing w:after="0" w:line="313" w:lineRule="exact"/>
        <w:rPr>
          <w:sz w:val="20"/>
          <w:szCs w:val="20"/>
          <w:color w:val="auto"/>
        </w:rPr>
      </w:pPr>
    </w:p>
    <w:p>
      <w:pPr>
        <w:jc w:val="both"/>
        <w:ind w:firstLine="239"/>
        <w:spacing w:after="0" w:line="254" w:lineRule="auto"/>
        <w:rPr>
          <w:sz w:val="20"/>
          <w:szCs w:val="20"/>
          <w:color w:val="auto"/>
        </w:rPr>
      </w:pPr>
      <w:r>
        <w:rPr>
          <w:rFonts w:ascii="Times New Roman" w:cs="Times New Roman" w:eastAsia="Times New Roman" w:hAnsi="Times New Roman"/>
          <w:sz w:val="21"/>
          <w:szCs w:val="21"/>
          <w:color w:val="auto"/>
        </w:rPr>
        <w:t>Financial literacy and technological literacy are important resources that low-income people need to exit poverty. Servon (2002) uses the term ‘‘second-order resources’’ to describe the tools people need to exit poverty rather than simply surviving from day to day. There is some evidence from our work that technological training and e-banking supports financial lit-eracy—the ability to see and work with their own money that the e-banking enables made the financial literacy training more compelling to partici-pants. However, without appropriate financial literacy and ICT training, e-banking will remain a sphere reserved only for financially literate, well-educated, high-income customers. Public policy research has not pro-duced any empirical data on how e-banking and Internet services have shaped LMI households’ economic fortunes. However, this work suggests that IT can expand access to greater financial freedom through increased financial literacy and less-expensive banking alternatives for LMI house-hold users and poor inner-city communities.</w:t>
      </w:r>
    </w:p>
    <w:p>
      <w:pPr>
        <w:sectPr>
          <w:pgSz w:w="8640" w:h="13320" w:orient="portrait"/>
          <w:cols w:equalWidth="0" w:num="1">
            <w:col w:w="6460"/>
          </w:cols>
          <w:pgMar w:left="1240" w:top="771" w:right="940" w:bottom="1440" w:gutter="0" w:footer="0" w:header="0"/>
        </w:sectPr>
      </w:pPr>
    </w:p>
    <w:bookmarkStart w:id="31" w:name="page32"/>
    <w:bookmarkEnd w:id="31"/>
    <w:p>
      <w:pPr>
        <w:spacing w:after="0" w:line="200" w:lineRule="exact"/>
        <w:rPr>
          <w:sz w:val="20"/>
          <w:szCs w:val="20"/>
          <w:color w:val="auto"/>
        </w:rPr>
      </w:pPr>
    </w:p>
    <w:p>
      <w:pPr>
        <w:spacing w:after="0" w:line="200" w:lineRule="exact"/>
        <w:rPr>
          <w:sz w:val="20"/>
          <w:szCs w:val="20"/>
          <w:color w:val="auto"/>
        </w:rPr>
      </w:pPr>
    </w:p>
    <w:p>
      <w:pPr>
        <w:spacing w:after="0" w:line="380" w:lineRule="exact"/>
        <w:rPr>
          <w:sz w:val="20"/>
          <w:szCs w:val="20"/>
          <w:color w:val="auto"/>
        </w:rPr>
      </w:pPr>
    </w:p>
    <w:p>
      <w:pPr>
        <w:spacing w:after="0"/>
        <w:rPr>
          <w:sz w:val="20"/>
          <w:szCs w:val="20"/>
          <w:color w:val="auto"/>
        </w:rPr>
      </w:pPr>
      <w:r>
        <w:rPr>
          <w:rFonts w:ascii="Times New Roman" w:cs="Times New Roman" w:eastAsia="Times New Roman" w:hAnsi="Times New Roman"/>
          <w:sz w:val="18"/>
          <w:szCs w:val="18"/>
          <w:color w:val="auto"/>
        </w:rPr>
        <w:t>APPENDIX 1</w:t>
      </w:r>
    </w:p>
    <w:p>
      <w:pPr>
        <w:spacing w:after="0" w:line="14" w:lineRule="exact"/>
        <w:rPr>
          <w:sz w:val="20"/>
          <w:szCs w:val="20"/>
          <w:color w:val="auto"/>
        </w:rPr>
      </w:pPr>
    </w:p>
    <w:p>
      <w:pPr>
        <w:spacing w:after="0"/>
        <w:rPr>
          <w:sz w:val="20"/>
          <w:szCs w:val="20"/>
          <w:color w:val="auto"/>
        </w:rPr>
      </w:pPr>
      <w:r>
        <w:rPr>
          <w:rFonts w:ascii="Arial" w:cs="Arial" w:eastAsia="Arial" w:hAnsi="Arial"/>
          <w:sz w:val="18"/>
          <w:szCs w:val="18"/>
          <w:color w:val="auto"/>
        </w:rPr>
        <w:t>Differences and DD Estimates of Program Effects Site 3 and Site 4 Combined (Paired Data Set)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5715</wp:posOffset>
                </wp:positionH>
                <wp:positionV relativeFrom="paragraph">
                  <wp:posOffset>72390</wp:posOffset>
                </wp:positionV>
                <wp:extent cx="6668135" cy="0"/>
                <wp:wrapNone/>
                <wp:docPr id="14" name="Shape 1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668135" cy="4763"/>
                        </a:xfrm>
                        <a:prstGeom prst="line">
                          <a:avLst/>
                        </a:prstGeom>
                        <a:solidFill>
                          <a:srgbClr val="FFFFFF"/>
                        </a:solidFill>
                        <a:ln w="6477">
                          <a:solidFill>
                            <a:srgbClr val="000000"/>
                          </a:solidFill>
                          <a:miter lim="800000"/>
                          <a:headEnd/>
                          <a:tailEnd/>
                        </a:ln>
                      </wps:spPr>
                      <wps:bodyPr/>
                    </wps:wsp>
                  </a:graphicData>
                </a:graphic>
              </wp:anchor>
            </w:drawing>
          </mc:Choice>
          <mc:Fallback>
            <w:pict>
              <v:line id="Shape 14" o:spid="_x0000_s103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45pt,5.7pt" to="525.5pt,5.7pt" o:allowincell="f" strokecolor="#000000" strokeweight="0.51pt"/>
            </w:pict>
          </mc:Fallback>
        </mc:AlternateContent>
      </w:r>
    </w:p>
    <w:p>
      <w:pPr>
        <w:spacing w:after="0" w:line="98" w:lineRule="exact"/>
        <w:rPr>
          <w:sz w:val="20"/>
          <w:szCs w:val="20"/>
          <w:color w:val="auto"/>
        </w:rPr>
      </w:pPr>
    </w:p>
    <w:tbl>
      <w:tblPr>
        <w:tblLayout w:type="fixed"/>
        <w:tblInd w:w="0" w:type="dxa"/>
        <w:tblCellMar>
          <w:top w:w="0" w:type="dxa"/>
          <w:left w:w="0" w:type="dxa"/>
          <w:bottom w:w="0" w:type="dxa"/>
          <w:right w:w="0" w:type="dxa"/>
        </w:tblCellMar>
      </w:tblPr>
      <w:tr>
        <w:trPr>
          <w:trHeight w:val="184"/>
        </w:trPr>
        <w:tc>
          <w:tcPr>
            <w:tcW w:w="2980" w:type="dxa"/>
            <w:vAlign w:val="bottom"/>
          </w:tcPr>
          <w:p>
            <w:pPr>
              <w:spacing w:after="0"/>
              <w:rPr>
                <w:sz w:val="16"/>
                <w:szCs w:val="16"/>
                <w:color w:val="auto"/>
              </w:rPr>
            </w:pPr>
          </w:p>
        </w:tc>
        <w:tc>
          <w:tcPr>
            <w:tcW w:w="560" w:type="dxa"/>
            <w:vAlign w:val="bottom"/>
          </w:tcPr>
          <w:p>
            <w:pPr>
              <w:spacing w:after="0"/>
              <w:rPr>
                <w:sz w:val="16"/>
                <w:szCs w:val="16"/>
                <w:color w:val="auto"/>
              </w:rPr>
            </w:pPr>
          </w:p>
        </w:tc>
        <w:tc>
          <w:tcPr>
            <w:tcW w:w="1980" w:type="dxa"/>
            <w:vAlign w:val="bottom"/>
            <w:gridSpan w:val="2"/>
          </w:tcPr>
          <w:p>
            <w:pPr>
              <w:jc w:val="right"/>
              <w:ind w:right="640"/>
              <w:spacing w:after="0"/>
              <w:rPr>
                <w:sz w:val="20"/>
                <w:szCs w:val="20"/>
                <w:color w:val="auto"/>
              </w:rPr>
            </w:pPr>
            <w:r>
              <w:rPr>
                <w:rFonts w:ascii="Times New Roman" w:cs="Times New Roman" w:eastAsia="Times New Roman" w:hAnsi="Times New Roman"/>
                <w:sz w:val="16"/>
                <w:szCs w:val="16"/>
                <w:color w:val="auto"/>
              </w:rPr>
              <w:t>Treatment Group</w:t>
            </w:r>
          </w:p>
        </w:tc>
        <w:tc>
          <w:tcPr>
            <w:tcW w:w="140" w:type="dxa"/>
            <w:vAlign w:val="bottom"/>
          </w:tcPr>
          <w:p>
            <w:pPr>
              <w:spacing w:after="0"/>
              <w:rPr>
                <w:sz w:val="16"/>
                <w:szCs w:val="16"/>
                <w:color w:val="auto"/>
              </w:rPr>
            </w:pPr>
          </w:p>
        </w:tc>
        <w:tc>
          <w:tcPr>
            <w:tcW w:w="540" w:type="dxa"/>
            <w:vAlign w:val="bottom"/>
          </w:tcPr>
          <w:p>
            <w:pPr>
              <w:spacing w:after="0"/>
              <w:rPr>
                <w:sz w:val="16"/>
                <w:szCs w:val="16"/>
                <w:color w:val="auto"/>
              </w:rPr>
            </w:pPr>
          </w:p>
        </w:tc>
        <w:tc>
          <w:tcPr>
            <w:tcW w:w="2140" w:type="dxa"/>
            <w:vAlign w:val="bottom"/>
            <w:gridSpan w:val="3"/>
          </w:tcPr>
          <w:p>
            <w:pPr>
              <w:ind w:left="260"/>
              <w:spacing w:after="0"/>
              <w:rPr>
                <w:sz w:val="20"/>
                <w:szCs w:val="20"/>
                <w:color w:val="auto"/>
              </w:rPr>
            </w:pPr>
            <w:r>
              <w:rPr>
                <w:rFonts w:ascii="Times New Roman" w:cs="Times New Roman" w:eastAsia="Times New Roman" w:hAnsi="Times New Roman"/>
                <w:sz w:val="16"/>
                <w:szCs w:val="16"/>
                <w:color w:val="auto"/>
              </w:rPr>
              <w:t>Control Group</w:t>
            </w:r>
          </w:p>
        </w:tc>
        <w:tc>
          <w:tcPr>
            <w:tcW w:w="2180" w:type="dxa"/>
            <w:vAlign w:val="bottom"/>
            <w:gridSpan w:val="2"/>
          </w:tcPr>
          <w:p>
            <w:pPr>
              <w:jc w:val="right"/>
              <w:ind w:right="240"/>
              <w:spacing w:after="0"/>
              <w:rPr>
                <w:sz w:val="20"/>
                <w:szCs w:val="20"/>
                <w:color w:val="auto"/>
              </w:rPr>
            </w:pPr>
            <w:r>
              <w:rPr>
                <w:rFonts w:ascii="Times New Roman" w:cs="Times New Roman" w:eastAsia="Times New Roman" w:hAnsi="Times New Roman"/>
                <w:sz w:val="16"/>
                <w:szCs w:val="16"/>
                <w:color w:val="auto"/>
              </w:rPr>
              <w:t>DD Treatment—Control</w:t>
            </w:r>
          </w:p>
        </w:tc>
      </w:tr>
      <w:tr>
        <w:trPr>
          <w:trHeight w:val="72"/>
        </w:trPr>
        <w:tc>
          <w:tcPr>
            <w:tcW w:w="2980" w:type="dxa"/>
            <w:vAlign w:val="bottom"/>
          </w:tcPr>
          <w:p>
            <w:pPr>
              <w:spacing w:after="0"/>
              <w:rPr>
                <w:sz w:val="6"/>
                <w:szCs w:val="6"/>
                <w:color w:val="auto"/>
              </w:rPr>
            </w:pPr>
          </w:p>
        </w:tc>
        <w:tc>
          <w:tcPr>
            <w:tcW w:w="560" w:type="dxa"/>
            <w:vAlign w:val="bottom"/>
            <w:tcBorders>
              <w:bottom w:val="single" w:sz="8" w:color="auto"/>
            </w:tcBorders>
          </w:tcPr>
          <w:p>
            <w:pPr>
              <w:spacing w:after="0"/>
              <w:rPr>
                <w:sz w:val="6"/>
                <w:szCs w:val="6"/>
                <w:color w:val="auto"/>
              </w:rPr>
            </w:pPr>
          </w:p>
        </w:tc>
        <w:tc>
          <w:tcPr>
            <w:tcW w:w="660" w:type="dxa"/>
            <w:vAlign w:val="bottom"/>
            <w:tcBorders>
              <w:bottom w:val="single" w:sz="8" w:color="auto"/>
            </w:tcBorders>
          </w:tcPr>
          <w:p>
            <w:pPr>
              <w:spacing w:after="0"/>
              <w:rPr>
                <w:sz w:val="6"/>
                <w:szCs w:val="6"/>
                <w:color w:val="auto"/>
              </w:rPr>
            </w:pPr>
          </w:p>
        </w:tc>
        <w:tc>
          <w:tcPr>
            <w:tcW w:w="1320" w:type="dxa"/>
            <w:vAlign w:val="bottom"/>
            <w:tcBorders>
              <w:bottom w:val="single" w:sz="8" w:color="auto"/>
            </w:tcBorders>
          </w:tcPr>
          <w:p>
            <w:pPr>
              <w:spacing w:after="0"/>
              <w:rPr>
                <w:sz w:val="6"/>
                <w:szCs w:val="6"/>
                <w:color w:val="auto"/>
              </w:rPr>
            </w:pPr>
          </w:p>
        </w:tc>
        <w:tc>
          <w:tcPr>
            <w:tcW w:w="140" w:type="dxa"/>
            <w:vAlign w:val="bottom"/>
          </w:tcPr>
          <w:p>
            <w:pPr>
              <w:spacing w:after="0"/>
              <w:rPr>
                <w:sz w:val="6"/>
                <w:szCs w:val="6"/>
                <w:color w:val="auto"/>
              </w:rPr>
            </w:pPr>
          </w:p>
        </w:tc>
        <w:tc>
          <w:tcPr>
            <w:tcW w:w="540" w:type="dxa"/>
            <w:vAlign w:val="bottom"/>
            <w:tcBorders>
              <w:bottom w:val="single" w:sz="8" w:color="auto"/>
            </w:tcBorders>
          </w:tcPr>
          <w:p>
            <w:pPr>
              <w:spacing w:after="0"/>
              <w:rPr>
                <w:sz w:val="6"/>
                <w:szCs w:val="6"/>
                <w:color w:val="auto"/>
              </w:rPr>
            </w:pPr>
          </w:p>
        </w:tc>
        <w:tc>
          <w:tcPr>
            <w:tcW w:w="680" w:type="dxa"/>
            <w:vAlign w:val="bottom"/>
            <w:tcBorders>
              <w:bottom w:val="single" w:sz="8" w:color="auto"/>
            </w:tcBorders>
          </w:tcPr>
          <w:p>
            <w:pPr>
              <w:spacing w:after="0"/>
              <w:rPr>
                <w:sz w:val="6"/>
                <w:szCs w:val="6"/>
                <w:color w:val="auto"/>
              </w:rPr>
            </w:pPr>
          </w:p>
        </w:tc>
        <w:tc>
          <w:tcPr>
            <w:tcW w:w="1300" w:type="dxa"/>
            <w:vAlign w:val="bottom"/>
            <w:tcBorders>
              <w:bottom w:val="single" w:sz="8" w:color="auto"/>
            </w:tcBorders>
          </w:tcPr>
          <w:p>
            <w:pPr>
              <w:spacing w:after="0"/>
              <w:rPr>
                <w:sz w:val="6"/>
                <w:szCs w:val="6"/>
                <w:color w:val="auto"/>
              </w:rPr>
            </w:pPr>
          </w:p>
        </w:tc>
        <w:tc>
          <w:tcPr>
            <w:tcW w:w="160" w:type="dxa"/>
            <w:vAlign w:val="bottom"/>
          </w:tcPr>
          <w:p>
            <w:pPr>
              <w:spacing w:after="0"/>
              <w:rPr>
                <w:sz w:val="6"/>
                <w:szCs w:val="6"/>
                <w:color w:val="auto"/>
              </w:rPr>
            </w:pPr>
          </w:p>
        </w:tc>
        <w:tc>
          <w:tcPr>
            <w:tcW w:w="1080" w:type="dxa"/>
            <w:vAlign w:val="bottom"/>
            <w:tcBorders>
              <w:bottom w:val="single" w:sz="8" w:color="auto"/>
            </w:tcBorders>
          </w:tcPr>
          <w:p>
            <w:pPr>
              <w:spacing w:after="0"/>
              <w:rPr>
                <w:sz w:val="6"/>
                <w:szCs w:val="6"/>
                <w:color w:val="auto"/>
              </w:rPr>
            </w:pPr>
          </w:p>
        </w:tc>
        <w:tc>
          <w:tcPr>
            <w:tcW w:w="1100" w:type="dxa"/>
            <w:vAlign w:val="bottom"/>
            <w:tcBorders>
              <w:bottom w:val="single" w:sz="8" w:color="auto"/>
            </w:tcBorders>
          </w:tcPr>
          <w:p>
            <w:pPr>
              <w:spacing w:after="0"/>
              <w:rPr>
                <w:sz w:val="6"/>
                <w:szCs w:val="6"/>
                <w:color w:val="auto"/>
              </w:rPr>
            </w:pPr>
          </w:p>
        </w:tc>
      </w:tr>
      <w:tr>
        <w:trPr>
          <w:trHeight w:val="181"/>
        </w:trPr>
        <w:tc>
          <w:tcPr>
            <w:tcW w:w="2980" w:type="dxa"/>
            <w:vAlign w:val="bottom"/>
          </w:tcPr>
          <w:p>
            <w:pPr>
              <w:spacing w:after="0"/>
              <w:rPr>
                <w:sz w:val="15"/>
                <w:szCs w:val="15"/>
                <w:color w:val="auto"/>
              </w:rPr>
            </w:pPr>
          </w:p>
        </w:tc>
        <w:tc>
          <w:tcPr>
            <w:tcW w:w="560" w:type="dxa"/>
            <w:vAlign w:val="bottom"/>
          </w:tcPr>
          <w:p>
            <w:pPr>
              <w:spacing w:after="0"/>
              <w:rPr>
                <w:sz w:val="15"/>
                <w:szCs w:val="15"/>
                <w:color w:val="auto"/>
              </w:rPr>
            </w:pPr>
          </w:p>
        </w:tc>
        <w:tc>
          <w:tcPr>
            <w:tcW w:w="660" w:type="dxa"/>
            <w:vAlign w:val="bottom"/>
          </w:tcPr>
          <w:p>
            <w:pPr>
              <w:spacing w:after="0"/>
              <w:rPr>
                <w:sz w:val="15"/>
                <w:szCs w:val="15"/>
                <w:color w:val="auto"/>
              </w:rPr>
            </w:pPr>
          </w:p>
        </w:tc>
        <w:tc>
          <w:tcPr>
            <w:tcW w:w="1320" w:type="dxa"/>
            <w:vAlign w:val="bottom"/>
          </w:tcPr>
          <w:p>
            <w:pPr>
              <w:jc w:val="right"/>
              <w:ind w:right="180"/>
              <w:spacing w:after="0" w:line="181" w:lineRule="exact"/>
              <w:rPr>
                <w:sz w:val="20"/>
                <w:szCs w:val="20"/>
                <w:color w:val="auto"/>
              </w:rPr>
            </w:pPr>
            <w:r>
              <w:rPr>
                <w:rFonts w:ascii="Times New Roman" w:cs="Times New Roman" w:eastAsia="Times New Roman" w:hAnsi="Times New Roman"/>
                <w:sz w:val="16"/>
                <w:szCs w:val="16"/>
                <w:color w:val="auto"/>
              </w:rPr>
              <w:t>Difference:</w:t>
            </w:r>
          </w:p>
        </w:tc>
        <w:tc>
          <w:tcPr>
            <w:tcW w:w="140" w:type="dxa"/>
            <w:vAlign w:val="bottom"/>
          </w:tcPr>
          <w:p>
            <w:pPr>
              <w:spacing w:after="0"/>
              <w:rPr>
                <w:sz w:val="15"/>
                <w:szCs w:val="15"/>
                <w:color w:val="auto"/>
              </w:rPr>
            </w:pPr>
          </w:p>
        </w:tc>
        <w:tc>
          <w:tcPr>
            <w:tcW w:w="540" w:type="dxa"/>
            <w:vAlign w:val="bottom"/>
          </w:tcPr>
          <w:p>
            <w:pPr>
              <w:spacing w:after="0"/>
              <w:rPr>
                <w:sz w:val="15"/>
                <w:szCs w:val="15"/>
                <w:color w:val="auto"/>
              </w:rPr>
            </w:pPr>
          </w:p>
        </w:tc>
        <w:tc>
          <w:tcPr>
            <w:tcW w:w="680" w:type="dxa"/>
            <w:vAlign w:val="bottom"/>
          </w:tcPr>
          <w:p>
            <w:pPr>
              <w:spacing w:after="0"/>
              <w:rPr>
                <w:sz w:val="15"/>
                <w:szCs w:val="15"/>
                <w:color w:val="auto"/>
              </w:rPr>
            </w:pPr>
          </w:p>
        </w:tc>
        <w:tc>
          <w:tcPr>
            <w:tcW w:w="1460" w:type="dxa"/>
            <w:vAlign w:val="bottom"/>
            <w:gridSpan w:val="2"/>
          </w:tcPr>
          <w:p>
            <w:pPr>
              <w:ind w:left="340"/>
              <w:spacing w:after="0" w:line="181" w:lineRule="exact"/>
              <w:rPr>
                <w:sz w:val="20"/>
                <w:szCs w:val="20"/>
                <w:color w:val="auto"/>
              </w:rPr>
            </w:pPr>
            <w:r>
              <w:rPr>
                <w:rFonts w:ascii="Times New Roman" w:cs="Times New Roman" w:eastAsia="Times New Roman" w:hAnsi="Times New Roman"/>
                <w:sz w:val="16"/>
                <w:szCs w:val="16"/>
                <w:color w:val="auto"/>
              </w:rPr>
              <w:t>Difference:</w:t>
            </w:r>
          </w:p>
        </w:tc>
        <w:tc>
          <w:tcPr>
            <w:tcW w:w="1080" w:type="dxa"/>
            <w:vAlign w:val="bottom"/>
          </w:tcPr>
          <w:p>
            <w:pPr>
              <w:jc w:val="center"/>
              <w:spacing w:after="0" w:line="181" w:lineRule="exact"/>
              <w:rPr>
                <w:sz w:val="20"/>
                <w:szCs w:val="20"/>
                <w:color w:val="auto"/>
              </w:rPr>
            </w:pPr>
            <w:r>
              <w:rPr>
                <w:rFonts w:ascii="Times New Roman" w:cs="Times New Roman" w:eastAsia="Times New Roman" w:hAnsi="Times New Roman"/>
                <w:sz w:val="16"/>
                <w:szCs w:val="16"/>
                <w:color w:val="auto"/>
              </w:rPr>
              <w:t>No Covariate</w:t>
            </w:r>
          </w:p>
        </w:tc>
        <w:tc>
          <w:tcPr>
            <w:tcW w:w="1100" w:type="dxa"/>
            <w:vAlign w:val="bottom"/>
          </w:tcPr>
          <w:p>
            <w:pPr>
              <w:ind w:left="80"/>
              <w:spacing w:after="0" w:line="181" w:lineRule="exact"/>
              <w:rPr>
                <w:sz w:val="20"/>
                <w:szCs w:val="20"/>
                <w:color w:val="auto"/>
              </w:rPr>
            </w:pPr>
            <w:r>
              <w:rPr>
                <w:rFonts w:ascii="Times New Roman" w:cs="Times New Roman" w:eastAsia="Times New Roman" w:hAnsi="Times New Roman"/>
                <w:sz w:val="16"/>
                <w:szCs w:val="16"/>
                <w:color w:val="auto"/>
              </w:rPr>
              <w:t>Covariate</w:t>
            </w:r>
          </w:p>
        </w:tc>
      </w:tr>
      <w:tr>
        <w:trPr>
          <w:trHeight w:val="194"/>
        </w:trPr>
        <w:tc>
          <w:tcPr>
            <w:tcW w:w="2980" w:type="dxa"/>
            <w:vAlign w:val="bottom"/>
          </w:tcPr>
          <w:p>
            <w:pPr>
              <w:spacing w:after="0"/>
              <w:rPr>
                <w:sz w:val="16"/>
                <w:szCs w:val="16"/>
                <w:color w:val="auto"/>
              </w:rPr>
            </w:pPr>
          </w:p>
        </w:tc>
        <w:tc>
          <w:tcPr>
            <w:tcW w:w="560" w:type="dxa"/>
            <w:vAlign w:val="bottom"/>
          </w:tcPr>
          <w:p>
            <w:pPr>
              <w:spacing w:after="0"/>
              <w:rPr>
                <w:sz w:val="20"/>
                <w:szCs w:val="20"/>
                <w:color w:val="auto"/>
              </w:rPr>
            </w:pPr>
            <w:r>
              <w:rPr>
                <w:rFonts w:ascii="Times New Roman" w:cs="Times New Roman" w:eastAsia="Times New Roman" w:hAnsi="Times New Roman"/>
                <w:sz w:val="16"/>
                <w:szCs w:val="16"/>
                <w:color w:val="auto"/>
              </w:rPr>
              <w:t>Wave I</w:t>
            </w:r>
          </w:p>
        </w:tc>
        <w:tc>
          <w:tcPr>
            <w:tcW w:w="1980" w:type="dxa"/>
            <w:vAlign w:val="bottom"/>
            <w:gridSpan w:val="2"/>
          </w:tcPr>
          <w:p>
            <w:pPr>
              <w:jc w:val="right"/>
              <w:spacing w:after="0"/>
              <w:rPr>
                <w:sz w:val="20"/>
                <w:szCs w:val="20"/>
                <w:color w:val="auto"/>
              </w:rPr>
            </w:pPr>
            <w:r>
              <w:rPr>
                <w:rFonts w:ascii="Times New Roman" w:cs="Times New Roman" w:eastAsia="Times New Roman" w:hAnsi="Times New Roman"/>
                <w:sz w:val="16"/>
                <w:szCs w:val="16"/>
                <w:color w:val="auto"/>
              </w:rPr>
              <w:t xml:space="preserve">Wave II  Wave II </w:t>
            </w:r>
            <w:r>
              <w:rPr>
                <w:rFonts w:ascii="Arial" w:cs="Arial" w:eastAsia="Arial" w:hAnsi="Arial"/>
                <w:sz w:val="16"/>
                <w:szCs w:val="16"/>
                <w:color w:val="auto"/>
              </w:rPr>
              <w:t>2</w:t>
            </w:r>
            <w:r>
              <w:rPr>
                <w:rFonts w:ascii="Times New Roman" w:cs="Times New Roman" w:eastAsia="Times New Roman" w:hAnsi="Times New Roman"/>
                <w:sz w:val="16"/>
                <w:szCs w:val="16"/>
                <w:color w:val="auto"/>
              </w:rPr>
              <w:t xml:space="preserve"> Wave I</w:t>
            </w:r>
          </w:p>
        </w:tc>
        <w:tc>
          <w:tcPr>
            <w:tcW w:w="140" w:type="dxa"/>
            <w:vAlign w:val="bottom"/>
          </w:tcPr>
          <w:p>
            <w:pPr>
              <w:spacing w:after="0"/>
              <w:rPr>
                <w:sz w:val="16"/>
                <w:szCs w:val="16"/>
                <w:color w:val="auto"/>
              </w:rPr>
            </w:pPr>
          </w:p>
        </w:tc>
        <w:tc>
          <w:tcPr>
            <w:tcW w:w="540" w:type="dxa"/>
            <w:vAlign w:val="bottom"/>
          </w:tcPr>
          <w:p>
            <w:pPr>
              <w:spacing w:after="0"/>
              <w:rPr>
                <w:sz w:val="20"/>
                <w:szCs w:val="20"/>
                <w:color w:val="auto"/>
              </w:rPr>
            </w:pPr>
            <w:r>
              <w:rPr>
                <w:rFonts w:ascii="Times New Roman" w:cs="Times New Roman" w:eastAsia="Times New Roman" w:hAnsi="Times New Roman"/>
                <w:sz w:val="16"/>
                <w:szCs w:val="16"/>
                <w:color w:val="auto"/>
              </w:rPr>
              <w:t>Wave I</w:t>
            </w:r>
          </w:p>
        </w:tc>
        <w:tc>
          <w:tcPr>
            <w:tcW w:w="2140" w:type="dxa"/>
            <w:vAlign w:val="bottom"/>
            <w:gridSpan w:val="3"/>
          </w:tcPr>
          <w:p>
            <w:pPr>
              <w:ind w:left="80"/>
              <w:spacing w:after="0"/>
              <w:rPr>
                <w:sz w:val="20"/>
                <w:szCs w:val="20"/>
                <w:color w:val="auto"/>
              </w:rPr>
            </w:pPr>
            <w:r>
              <w:rPr>
                <w:rFonts w:ascii="Times New Roman" w:cs="Times New Roman" w:eastAsia="Times New Roman" w:hAnsi="Times New Roman"/>
                <w:sz w:val="16"/>
                <w:szCs w:val="16"/>
                <w:color w:val="auto"/>
              </w:rPr>
              <w:t xml:space="preserve">Wave II  Wave II </w:t>
            </w:r>
            <w:r>
              <w:rPr>
                <w:rFonts w:ascii="Arial" w:cs="Arial" w:eastAsia="Arial" w:hAnsi="Arial"/>
                <w:sz w:val="16"/>
                <w:szCs w:val="16"/>
                <w:color w:val="auto"/>
              </w:rPr>
              <w:t>2</w:t>
            </w:r>
            <w:r>
              <w:rPr>
                <w:rFonts w:ascii="Times New Roman" w:cs="Times New Roman" w:eastAsia="Times New Roman" w:hAnsi="Times New Roman"/>
                <w:sz w:val="16"/>
                <w:szCs w:val="16"/>
                <w:color w:val="auto"/>
              </w:rPr>
              <w:t xml:space="preserve"> Wave I</w:t>
            </w:r>
          </w:p>
        </w:tc>
        <w:tc>
          <w:tcPr>
            <w:tcW w:w="1080" w:type="dxa"/>
            <w:vAlign w:val="bottom"/>
          </w:tcPr>
          <w:p>
            <w:pPr>
              <w:jc w:val="center"/>
              <w:spacing w:after="0"/>
              <w:rPr>
                <w:sz w:val="20"/>
                <w:szCs w:val="20"/>
                <w:color w:val="auto"/>
              </w:rPr>
            </w:pPr>
            <w:r>
              <w:rPr>
                <w:rFonts w:ascii="Times New Roman" w:cs="Times New Roman" w:eastAsia="Times New Roman" w:hAnsi="Times New Roman"/>
                <w:sz w:val="16"/>
                <w:szCs w:val="16"/>
                <w:color w:val="auto"/>
                <w:w w:val="96"/>
              </w:rPr>
              <w:t>Adjustment</w:t>
            </w:r>
          </w:p>
        </w:tc>
        <w:tc>
          <w:tcPr>
            <w:tcW w:w="1100" w:type="dxa"/>
            <w:vAlign w:val="bottom"/>
          </w:tcPr>
          <w:p>
            <w:pPr>
              <w:ind w:left="80"/>
              <w:spacing w:after="0"/>
              <w:rPr>
                <w:sz w:val="20"/>
                <w:szCs w:val="20"/>
                <w:color w:val="auto"/>
              </w:rPr>
            </w:pPr>
            <w:r>
              <w:rPr>
                <w:rFonts w:ascii="Times New Roman" w:cs="Times New Roman" w:eastAsia="Times New Roman" w:hAnsi="Times New Roman"/>
                <w:sz w:val="16"/>
                <w:szCs w:val="16"/>
                <w:color w:val="auto"/>
              </w:rPr>
              <w:t>Adjustment</w:t>
            </w:r>
          </w:p>
        </w:tc>
      </w:tr>
      <w:tr>
        <w:trPr>
          <w:trHeight w:val="278"/>
        </w:trPr>
        <w:tc>
          <w:tcPr>
            <w:tcW w:w="2980" w:type="dxa"/>
            <w:vAlign w:val="bottom"/>
            <w:tcBorders>
              <w:bottom w:val="single" w:sz="8" w:color="auto"/>
            </w:tcBorders>
          </w:tcPr>
          <w:p>
            <w:pPr>
              <w:spacing w:after="0"/>
              <w:rPr>
                <w:sz w:val="20"/>
                <w:szCs w:val="20"/>
                <w:color w:val="auto"/>
              </w:rPr>
            </w:pPr>
            <w:r>
              <w:rPr>
                <w:rFonts w:ascii="Times New Roman" w:cs="Times New Roman" w:eastAsia="Times New Roman" w:hAnsi="Times New Roman"/>
                <w:sz w:val="16"/>
                <w:szCs w:val="16"/>
                <w:color w:val="auto"/>
              </w:rPr>
              <w:t>Variable</w:t>
            </w:r>
          </w:p>
        </w:tc>
        <w:tc>
          <w:tcPr>
            <w:tcW w:w="560" w:type="dxa"/>
            <w:vAlign w:val="bottom"/>
            <w:tcBorders>
              <w:bottom w:val="single" w:sz="8" w:color="auto"/>
            </w:tcBorders>
          </w:tcPr>
          <w:p>
            <w:pPr>
              <w:jc w:val="center"/>
              <w:spacing w:after="0"/>
              <w:rPr>
                <w:sz w:val="20"/>
                <w:szCs w:val="20"/>
                <w:color w:val="auto"/>
              </w:rPr>
            </w:pPr>
            <w:r>
              <w:rPr>
                <w:rFonts w:ascii="Times New Roman" w:cs="Times New Roman" w:eastAsia="Times New Roman" w:hAnsi="Times New Roman"/>
                <w:sz w:val="16"/>
                <w:szCs w:val="16"/>
                <w:color w:val="auto"/>
                <w:w w:val="96"/>
              </w:rPr>
              <w:t>(1)</w:t>
            </w:r>
          </w:p>
        </w:tc>
        <w:tc>
          <w:tcPr>
            <w:tcW w:w="660" w:type="dxa"/>
            <w:vAlign w:val="bottom"/>
            <w:tcBorders>
              <w:bottom w:val="single" w:sz="8" w:color="auto"/>
            </w:tcBorders>
          </w:tcPr>
          <w:p>
            <w:pPr>
              <w:jc w:val="center"/>
              <w:spacing w:after="0"/>
              <w:rPr>
                <w:sz w:val="20"/>
                <w:szCs w:val="20"/>
                <w:color w:val="auto"/>
              </w:rPr>
            </w:pPr>
            <w:r>
              <w:rPr>
                <w:rFonts w:ascii="Times New Roman" w:cs="Times New Roman" w:eastAsia="Times New Roman" w:hAnsi="Times New Roman"/>
                <w:sz w:val="16"/>
                <w:szCs w:val="16"/>
                <w:color w:val="auto"/>
                <w:w w:val="96"/>
              </w:rPr>
              <w:t>(2)</w:t>
            </w:r>
          </w:p>
        </w:tc>
        <w:tc>
          <w:tcPr>
            <w:tcW w:w="1320" w:type="dxa"/>
            <w:vAlign w:val="bottom"/>
            <w:tcBorders>
              <w:bottom w:val="single" w:sz="8" w:color="auto"/>
            </w:tcBorders>
          </w:tcPr>
          <w:p>
            <w:pPr>
              <w:jc w:val="right"/>
              <w:ind w:right="40"/>
              <w:spacing w:after="0"/>
              <w:rPr>
                <w:sz w:val="20"/>
                <w:szCs w:val="20"/>
                <w:color w:val="auto"/>
              </w:rPr>
            </w:pPr>
            <w:r>
              <w:rPr>
                <w:rFonts w:ascii="Times New Roman" w:cs="Times New Roman" w:eastAsia="Times New Roman" w:hAnsi="Times New Roman"/>
                <w:sz w:val="16"/>
                <w:szCs w:val="16"/>
                <w:color w:val="auto"/>
              </w:rPr>
              <w:t xml:space="preserve">(3) </w:t>
            </w:r>
            <w:r>
              <w:rPr>
                <w:rFonts w:ascii="Arial" w:cs="Arial" w:eastAsia="Arial" w:hAnsi="Arial"/>
                <w:sz w:val="16"/>
                <w:szCs w:val="16"/>
                <w:color w:val="auto"/>
              </w:rPr>
              <w:t>¼</w:t>
            </w:r>
            <w:r>
              <w:rPr>
                <w:rFonts w:ascii="Times New Roman" w:cs="Times New Roman" w:eastAsia="Times New Roman" w:hAnsi="Times New Roman"/>
                <w:sz w:val="16"/>
                <w:szCs w:val="16"/>
                <w:color w:val="auto"/>
              </w:rPr>
              <w:t xml:space="preserve"> (2) </w:t>
            </w:r>
            <w:r>
              <w:rPr>
                <w:rFonts w:ascii="Arial" w:cs="Arial" w:eastAsia="Arial" w:hAnsi="Arial"/>
                <w:sz w:val="16"/>
                <w:szCs w:val="16"/>
                <w:color w:val="auto"/>
              </w:rPr>
              <w:t>2</w:t>
            </w:r>
            <w:r>
              <w:rPr>
                <w:rFonts w:ascii="Times New Roman" w:cs="Times New Roman" w:eastAsia="Times New Roman" w:hAnsi="Times New Roman"/>
                <w:sz w:val="16"/>
                <w:szCs w:val="16"/>
                <w:color w:val="auto"/>
              </w:rPr>
              <w:t xml:space="preserve"> (1)</w:t>
            </w:r>
          </w:p>
        </w:tc>
        <w:tc>
          <w:tcPr>
            <w:tcW w:w="680" w:type="dxa"/>
            <w:vAlign w:val="bottom"/>
            <w:tcBorders>
              <w:bottom w:val="single" w:sz="8" w:color="auto"/>
            </w:tcBorders>
            <w:gridSpan w:val="2"/>
          </w:tcPr>
          <w:p>
            <w:pPr>
              <w:jc w:val="center"/>
              <w:spacing w:after="0"/>
              <w:rPr>
                <w:sz w:val="20"/>
                <w:szCs w:val="20"/>
                <w:color w:val="auto"/>
              </w:rPr>
            </w:pPr>
            <w:r>
              <w:rPr>
                <w:rFonts w:ascii="Times New Roman" w:cs="Times New Roman" w:eastAsia="Times New Roman" w:hAnsi="Times New Roman"/>
                <w:sz w:val="16"/>
                <w:szCs w:val="16"/>
                <w:color w:val="auto"/>
                <w:w w:val="96"/>
              </w:rPr>
              <w:t>(4)</w:t>
            </w:r>
          </w:p>
        </w:tc>
        <w:tc>
          <w:tcPr>
            <w:tcW w:w="680" w:type="dxa"/>
            <w:vAlign w:val="bottom"/>
            <w:tcBorders>
              <w:bottom w:val="single" w:sz="8" w:color="auto"/>
            </w:tcBorders>
          </w:tcPr>
          <w:p>
            <w:pPr>
              <w:jc w:val="center"/>
              <w:spacing w:after="0"/>
              <w:rPr>
                <w:sz w:val="20"/>
                <w:szCs w:val="20"/>
                <w:color w:val="auto"/>
              </w:rPr>
            </w:pPr>
            <w:r>
              <w:rPr>
                <w:rFonts w:ascii="Times New Roman" w:cs="Times New Roman" w:eastAsia="Times New Roman" w:hAnsi="Times New Roman"/>
                <w:sz w:val="16"/>
                <w:szCs w:val="16"/>
                <w:color w:val="auto"/>
                <w:w w:val="96"/>
              </w:rPr>
              <w:t>(5)</w:t>
            </w:r>
          </w:p>
        </w:tc>
        <w:tc>
          <w:tcPr>
            <w:tcW w:w="1300" w:type="dxa"/>
            <w:vAlign w:val="bottom"/>
            <w:tcBorders>
              <w:bottom w:val="single" w:sz="8" w:color="auto"/>
            </w:tcBorders>
          </w:tcPr>
          <w:p>
            <w:pPr>
              <w:jc w:val="right"/>
              <w:ind w:right="20"/>
              <w:spacing w:after="0"/>
              <w:rPr>
                <w:sz w:val="20"/>
                <w:szCs w:val="20"/>
                <w:color w:val="auto"/>
              </w:rPr>
            </w:pPr>
            <w:r>
              <w:rPr>
                <w:rFonts w:ascii="Times New Roman" w:cs="Times New Roman" w:eastAsia="Times New Roman" w:hAnsi="Times New Roman"/>
                <w:sz w:val="16"/>
                <w:szCs w:val="16"/>
                <w:color w:val="auto"/>
              </w:rPr>
              <w:t xml:space="preserve">(6) </w:t>
            </w:r>
            <w:r>
              <w:rPr>
                <w:rFonts w:ascii="Arial" w:cs="Arial" w:eastAsia="Arial" w:hAnsi="Arial"/>
                <w:sz w:val="16"/>
                <w:szCs w:val="16"/>
                <w:color w:val="auto"/>
              </w:rPr>
              <w:t>¼</w:t>
            </w:r>
            <w:r>
              <w:rPr>
                <w:rFonts w:ascii="Times New Roman" w:cs="Times New Roman" w:eastAsia="Times New Roman" w:hAnsi="Times New Roman"/>
                <w:sz w:val="16"/>
                <w:szCs w:val="16"/>
                <w:color w:val="auto"/>
              </w:rPr>
              <w:t xml:space="preserve"> (5) </w:t>
            </w:r>
            <w:r>
              <w:rPr>
                <w:rFonts w:ascii="Arial" w:cs="Arial" w:eastAsia="Arial" w:hAnsi="Arial"/>
                <w:sz w:val="16"/>
                <w:szCs w:val="16"/>
                <w:color w:val="auto"/>
              </w:rPr>
              <w:t>2</w:t>
            </w:r>
            <w:r>
              <w:rPr>
                <w:rFonts w:ascii="Times New Roman" w:cs="Times New Roman" w:eastAsia="Times New Roman" w:hAnsi="Times New Roman"/>
                <w:sz w:val="16"/>
                <w:szCs w:val="16"/>
                <w:color w:val="auto"/>
              </w:rPr>
              <w:t xml:space="preserve"> (4)</w:t>
            </w:r>
          </w:p>
        </w:tc>
        <w:tc>
          <w:tcPr>
            <w:tcW w:w="160" w:type="dxa"/>
            <w:vAlign w:val="bottom"/>
            <w:tcBorders>
              <w:bottom w:val="single" w:sz="8" w:color="auto"/>
            </w:tcBorders>
          </w:tcPr>
          <w:p>
            <w:pPr>
              <w:spacing w:after="0"/>
              <w:rPr>
                <w:sz w:val="24"/>
                <w:szCs w:val="24"/>
                <w:color w:val="auto"/>
              </w:rPr>
            </w:pPr>
          </w:p>
        </w:tc>
        <w:tc>
          <w:tcPr>
            <w:tcW w:w="1080" w:type="dxa"/>
            <w:vAlign w:val="bottom"/>
            <w:tcBorders>
              <w:bottom w:val="single" w:sz="8" w:color="auto"/>
            </w:tcBorders>
          </w:tcPr>
          <w:p>
            <w:pPr>
              <w:jc w:val="center"/>
              <w:spacing w:after="0"/>
              <w:rPr>
                <w:sz w:val="20"/>
                <w:szCs w:val="20"/>
                <w:color w:val="auto"/>
              </w:rPr>
            </w:pPr>
            <w:r>
              <w:rPr>
                <w:rFonts w:ascii="Times New Roman" w:cs="Times New Roman" w:eastAsia="Times New Roman" w:hAnsi="Times New Roman"/>
                <w:sz w:val="16"/>
                <w:szCs w:val="16"/>
                <w:color w:val="auto"/>
              </w:rPr>
              <w:t xml:space="preserve">(7) </w:t>
            </w:r>
            <w:r>
              <w:rPr>
                <w:rFonts w:ascii="Arial" w:cs="Arial" w:eastAsia="Arial" w:hAnsi="Arial"/>
                <w:sz w:val="16"/>
                <w:szCs w:val="16"/>
                <w:color w:val="auto"/>
              </w:rPr>
              <w:t>¼</w:t>
            </w:r>
            <w:r>
              <w:rPr>
                <w:rFonts w:ascii="Times New Roman" w:cs="Times New Roman" w:eastAsia="Times New Roman" w:hAnsi="Times New Roman"/>
                <w:sz w:val="16"/>
                <w:szCs w:val="16"/>
                <w:color w:val="auto"/>
              </w:rPr>
              <w:t xml:space="preserve"> (3) </w:t>
            </w:r>
            <w:r>
              <w:rPr>
                <w:rFonts w:ascii="Arial" w:cs="Arial" w:eastAsia="Arial" w:hAnsi="Arial"/>
                <w:sz w:val="16"/>
                <w:szCs w:val="16"/>
                <w:color w:val="auto"/>
              </w:rPr>
              <w:t>2</w:t>
            </w:r>
            <w:r>
              <w:rPr>
                <w:rFonts w:ascii="Times New Roman" w:cs="Times New Roman" w:eastAsia="Times New Roman" w:hAnsi="Times New Roman"/>
                <w:sz w:val="16"/>
                <w:szCs w:val="16"/>
                <w:color w:val="auto"/>
              </w:rPr>
              <w:t xml:space="preserve"> (6)</w:t>
            </w:r>
          </w:p>
        </w:tc>
        <w:tc>
          <w:tcPr>
            <w:tcW w:w="1100" w:type="dxa"/>
            <w:vAlign w:val="bottom"/>
            <w:tcBorders>
              <w:bottom w:val="single" w:sz="8" w:color="auto"/>
            </w:tcBorders>
          </w:tcPr>
          <w:p>
            <w:pPr>
              <w:ind w:left="80"/>
              <w:spacing w:after="0"/>
              <w:rPr>
                <w:sz w:val="20"/>
                <w:szCs w:val="20"/>
                <w:color w:val="auto"/>
              </w:rPr>
            </w:pPr>
            <w:r>
              <w:rPr>
                <w:rFonts w:ascii="Times New Roman" w:cs="Times New Roman" w:eastAsia="Times New Roman" w:hAnsi="Times New Roman"/>
                <w:sz w:val="16"/>
                <w:szCs w:val="16"/>
                <w:color w:val="auto"/>
              </w:rPr>
              <w:t xml:space="preserve">(8) </w:t>
            </w:r>
            <w:r>
              <w:rPr>
                <w:rFonts w:ascii="Arial" w:cs="Arial" w:eastAsia="Arial" w:hAnsi="Arial"/>
                <w:sz w:val="16"/>
                <w:szCs w:val="16"/>
                <w:color w:val="auto"/>
              </w:rPr>
              <w:t>¼</w:t>
            </w:r>
            <w:r>
              <w:rPr>
                <w:rFonts w:ascii="Times New Roman" w:cs="Times New Roman" w:eastAsia="Times New Roman" w:hAnsi="Times New Roman"/>
                <w:sz w:val="16"/>
                <w:szCs w:val="16"/>
                <w:color w:val="auto"/>
              </w:rPr>
              <w:t xml:space="preserve"> (3) </w:t>
            </w:r>
            <w:r>
              <w:rPr>
                <w:rFonts w:ascii="Arial" w:cs="Arial" w:eastAsia="Arial" w:hAnsi="Arial"/>
                <w:sz w:val="16"/>
                <w:szCs w:val="16"/>
                <w:color w:val="auto"/>
              </w:rPr>
              <w:t>2</w:t>
            </w:r>
            <w:r>
              <w:rPr>
                <w:rFonts w:ascii="Times New Roman" w:cs="Times New Roman" w:eastAsia="Times New Roman" w:hAnsi="Times New Roman"/>
                <w:sz w:val="16"/>
                <w:szCs w:val="16"/>
                <w:color w:val="auto"/>
              </w:rPr>
              <w:t xml:space="preserve"> (6)</w:t>
            </w:r>
          </w:p>
        </w:tc>
      </w:tr>
      <w:tr>
        <w:trPr>
          <w:trHeight w:val="190"/>
        </w:trPr>
        <w:tc>
          <w:tcPr>
            <w:tcW w:w="2980" w:type="dxa"/>
            <w:vAlign w:val="bottom"/>
          </w:tcPr>
          <w:p>
            <w:pPr>
              <w:spacing w:after="0"/>
              <w:rPr>
                <w:sz w:val="20"/>
                <w:szCs w:val="20"/>
                <w:color w:val="auto"/>
              </w:rPr>
            </w:pPr>
            <w:r>
              <w:rPr>
                <w:rFonts w:ascii="Times New Roman" w:cs="Times New Roman" w:eastAsia="Times New Roman" w:hAnsi="Times New Roman"/>
                <w:sz w:val="16"/>
                <w:szCs w:val="16"/>
                <w:color w:val="auto"/>
              </w:rPr>
              <w:t>Has stocks, bonds, mutual funds</w:t>
            </w:r>
          </w:p>
        </w:tc>
        <w:tc>
          <w:tcPr>
            <w:tcW w:w="560" w:type="dxa"/>
            <w:vAlign w:val="bottom"/>
          </w:tcPr>
          <w:p>
            <w:pPr>
              <w:jc w:val="center"/>
              <w:spacing w:after="0"/>
              <w:rPr>
                <w:sz w:val="20"/>
                <w:szCs w:val="20"/>
                <w:color w:val="auto"/>
              </w:rPr>
            </w:pPr>
            <w:r>
              <w:rPr>
                <w:rFonts w:ascii="Times New Roman" w:cs="Times New Roman" w:eastAsia="Times New Roman" w:hAnsi="Times New Roman"/>
                <w:sz w:val="16"/>
                <w:szCs w:val="16"/>
                <w:color w:val="auto"/>
                <w:w w:val="99"/>
              </w:rPr>
              <w:t>0.14</w:t>
            </w:r>
          </w:p>
        </w:tc>
        <w:tc>
          <w:tcPr>
            <w:tcW w:w="660" w:type="dxa"/>
            <w:vAlign w:val="bottom"/>
          </w:tcPr>
          <w:p>
            <w:pPr>
              <w:jc w:val="center"/>
              <w:spacing w:after="0"/>
              <w:rPr>
                <w:sz w:val="20"/>
                <w:szCs w:val="20"/>
                <w:color w:val="auto"/>
              </w:rPr>
            </w:pPr>
            <w:r>
              <w:rPr>
                <w:rFonts w:ascii="Times New Roman" w:cs="Times New Roman" w:eastAsia="Times New Roman" w:hAnsi="Times New Roman"/>
                <w:sz w:val="16"/>
                <w:szCs w:val="16"/>
                <w:color w:val="auto"/>
                <w:w w:val="99"/>
              </w:rPr>
              <w:t>0.20</w:t>
            </w:r>
          </w:p>
        </w:tc>
        <w:tc>
          <w:tcPr>
            <w:tcW w:w="1320" w:type="dxa"/>
            <w:vAlign w:val="bottom"/>
          </w:tcPr>
          <w:p>
            <w:pPr>
              <w:jc w:val="right"/>
              <w:ind w:right="340"/>
              <w:spacing w:after="0"/>
              <w:rPr>
                <w:sz w:val="20"/>
                <w:szCs w:val="20"/>
                <w:color w:val="auto"/>
              </w:rPr>
            </w:pPr>
            <w:r>
              <w:rPr>
                <w:rFonts w:ascii="Times New Roman" w:cs="Times New Roman" w:eastAsia="Times New Roman" w:hAnsi="Times New Roman"/>
                <w:sz w:val="16"/>
                <w:szCs w:val="16"/>
                <w:color w:val="auto"/>
              </w:rPr>
              <w:t>0.06</w:t>
            </w:r>
          </w:p>
        </w:tc>
        <w:tc>
          <w:tcPr>
            <w:tcW w:w="680" w:type="dxa"/>
            <w:vAlign w:val="bottom"/>
            <w:gridSpan w:val="2"/>
          </w:tcPr>
          <w:p>
            <w:pPr>
              <w:jc w:val="center"/>
              <w:spacing w:after="0"/>
              <w:rPr>
                <w:sz w:val="20"/>
                <w:szCs w:val="20"/>
                <w:color w:val="auto"/>
              </w:rPr>
            </w:pPr>
            <w:r>
              <w:rPr>
                <w:rFonts w:ascii="Times New Roman" w:cs="Times New Roman" w:eastAsia="Times New Roman" w:hAnsi="Times New Roman"/>
                <w:sz w:val="16"/>
                <w:szCs w:val="16"/>
                <w:color w:val="auto"/>
                <w:w w:val="99"/>
              </w:rPr>
              <w:t>0.10</w:t>
            </w:r>
          </w:p>
        </w:tc>
        <w:tc>
          <w:tcPr>
            <w:tcW w:w="680" w:type="dxa"/>
            <w:vAlign w:val="bottom"/>
          </w:tcPr>
          <w:p>
            <w:pPr>
              <w:jc w:val="center"/>
              <w:spacing w:after="0"/>
              <w:rPr>
                <w:sz w:val="20"/>
                <w:szCs w:val="20"/>
                <w:color w:val="auto"/>
              </w:rPr>
            </w:pPr>
            <w:r>
              <w:rPr>
                <w:rFonts w:ascii="Times New Roman" w:cs="Times New Roman" w:eastAsia="Times New Roman" w:hAnsi="Times New Roman"/>
                <w:sz w:val="16"/>
                <w:szCs w:val="16"/>
                <w:color w:val="auto"/>
                <w:w w:val="99"/>
              </w:rPr>
              <w:t>0.10</w:t>
            </w:r>
          </w:p>
        </w:tc>
        <w:tc>
          <w:tcPr>
            <w:tcW w:w="1300" w:type="dxa"/>
            <w:vAlign w:val="bottom"/>
          </w:tcPr>
          <w:p>
            <w:pPr>
              <w:jc w:val="right"/>
              <w:ind w:right="400"/>
              <w:spacing w:after="0"/>
              <w:rPr>
                <w:sz w:val="20"/>
                <w:szCs w:val="20"/>
                <w:color w:val="auto"/>
              </w:rPr>
            </w:pPr>
            <w:r>
              <w:rPr>
                <w:rFonts w:ascii="Times New Roman" w:cs="Times New Roman" w:eastAsia="Times New Roman" w:hAnsi="Times New Roman"/>
                <w:sz w:val="16"/>
                <w:szCs w:val="16"/>
                <w:color w:val="auto"/>
              </w:rPr>
              <w:t>0.00</w:t>
            </w:r>
          </w:p>
        </w:tc>
        <w:tc>
          <w:tcPr>
            <w:tcW w:w="160" w:type="dxa"/>
            <w:vAlign w:val="bottom"/>
          </w:tcPr>
          <w:p>
            <w:pPr>
              <w:spacing w:after="0"/>
              <w:rPr>
                <w:sz w:val="16"/>
                <w:szCs w:val="16"/>
                <w:color w:val="auto"/>
              </w:rPr>
            </w:pPr>
          </w:p>
        </w:tc>
        <w:tc>
          <w:tcPr>
            <w:tcW w:w="1080" w:type="dxa"/>
            <w:vAlign w:val="bottom"/>
          </w:tcPr>
          <w:p>
            <w:pPr>
              <w:jc w:val="right"/>
              <w:ind w:right="300"/>
              <w:spacing w:after="0"/>
              <w:rPr>
                <w:sz w:val="20"/>
                <w:szCs w:val="20"/>
                <w:color w:val="auto"/>
              </w:rPr>
            </w:pPr>
            <w:r>
              <w:rPr>
                <w:rFonts w:ascii="Times New Roman" w:cs="Times New Roman" w:eastAsia="Times New Roman" w:hAnsi="Times New Roman"/>
                <w:sz w:val="16"/>
                <w:szCs w:val="16"/>
                <w:color w:val="auto"/>
              </w:rPr>
              <w:t>0.06</w:t>
            </w:r>
          </w:p>
        </w:tc>
        <w:tc>
          <w:tcPr>
            <w:tcW w:w="1100" w:type="dxa"/>
            <w:vAlign w:val="bottom"/>
          </w:tcPr>
          <w:p>
            <w:pPr>
              <w:jc w:val="right"/>
              <w:ind w:right="240"/>
              <w:spacing w:after="0"/>
              <w:rPr>
                <w:sz w:val="20"/>
                <w:szCs w:val="20"/>
                <w:color w:val="auto"/>
              </w:rPr>
            </w:pPr>
            <w:r>
              <w:rPr>
                <w:rFonts w:ascii="Times New Roman" w:cs="Times New Roman" w:eastAsia="Times New Roman" w:hAnsi="Times New Roman"/>
                <w:sz w:val="16"/>
                <w:szCs w:val="16"/>
                <w:color w:val="auto"/>
              </w:rPr>
              <w:t>0.02</w:t>
            </w:r>
          </w:p>
        </w:tc>
      </w:tr>
      <w:tr>
        <w:trPr>
          <w:trHeight w:val="200"/>
        </w:trPr>
        <w:tc>
          <w:tcPr>
            <w:tcW w:w="2980" w:type="dxa"/>
            <w:vAlign w:val="bottom"/>
          </w:tcPr>
          <w:p>
            <w:pPr>
              <w:spacing w:after="0"/>
              <w:rPr>
                <w:sz w:val="20"/>
                <w:szCs w:val="20"/>
                <w:color w:val="auto"/>
              </w:rPr>
            </w:pPr>
            <w:r>
              <w:rPr>
                <w:rFonts w:ascii="Times New Roman" w:cs="Times New Roman" w:eastAsia="Times New Roman" w:hAnsi="Times New Roman"/>
                <w:sz w:val="16"/>
                <w:szCs w:val="16"/>
                <w:color w:val="auto"/>
              </w:rPr>
              <w:t>Has credit card</w:t>
            </w:r>
          </w:p>
        </w:tc>
        <w:tc>
          <w:tcPr>
            <w:tcW w:w="560" w:type="dxa"/>
            <w:vAlign w:val="bottom"/>
          </w:tcPr>
          <w:p>
            <w:pPr>
              <w:jc w:val="center"/>
              <w:spacing w:after="0"/>
              <w:rPr>
                <w:sz w:val="20"/>
                <w:szCs w:val="20"/>
                <w:color w:val="auto"/>
              </w:rPr>
            </w:pPr>
            <w:r>
              <w:rPr>
                <w:rFonts w:ascii="Times New Roman" w:cs="Times New Roman" w:eastAsia="Times New Roman" w:hAnsi="Times New Roman"/>
                <w:sz w:val="16"/>
                <w:szCs w:val="16"/>
                <w:color w:val="auto"/>
                <w:w w:val="99"/>
              </w:rPr>
              <w:t>0.47</w:t>
            </w:r>
          </w:p>
        </w:tc>
        <w:tc>
          <w:tcPr>
            <w:tcW w:w="660" w:type="dxa"/>
            <w:vAlign w:val="bottom"/>
          </w:tcPr>
          <w:p>
            <w:pPr>
              <w:jc w:val="center"/>
              <w:spacing w:after="0"/>
              <w:rPr>
                <w:sz w:val="20"/>
                <w:szCs w:val="20"/>
                <w:color w:val="auto"/>
              </w:rPr>
            </w:pPr>
            <w:r>
              <w:rPr>
                <w:rFonts w:ascii="Times New Roman" w:cs="Times New Roman" w:eastAsia="Times New Roman" w:hAnsi="Times New Roman"/>
                <w:sz w:val="16"/>
                <w:szCs w:val="16"/>
                <w:color w:val="auto"/>
                <w:w w:val="99"/>
              </w:rPr>
              <w:t>0.56</w:t>
            </w:r>
          </w:p>
        </w:tc>
        <w:tc>
          <w:tcPr>
            <w:tcW w:w="1320" w:type="dxa"/>
            <w:vAlign w:val="bottom"/>
          </w:tcPr>
          <w:p>
            <w:pPr>
              <w:jc w:val="right"/>
              <w:ind w:right="340"/>
              <w:spacing w:after="0"/>
              <w:rPr>
                <w:sz w:val="20"/>
                <w:szCs w:val="20"/>
                <w:color w:val="auto"/>
              </w:rPr>
            </w:pPr>
            <w:r>
              <w:rPr>
                <w:rFonts w:ascii="Times New Roman" w:cs="Times New Roman" w:eastAsia="Times New Roman" w:hAnsi="Times New Roman"/>
                <w:sz w:val="16"/>
                <w:szCs w:val="16"/>
                <w:color w:val="auto"/>
              </w:rPr>
              <w:t>0.09</w:t>
            </w:r>
          </w:p>
        </w:tc>
        <w:tc>
          <w:tcPr>
            <w:tcW w:w="680" w:type="dxa"/>
            <w:vAlign w:val="bottom"/>
            <w:gridSpan w:val="2"/>
          </w:tcPr>
          <w:p>
            <w:pPr>
              <w:jc w:val="center"/>
              <w:spacing w:after="0"/>
              <w:rPr>
                <w:sz w:val="20"/>
                <w:szCs w:val="20"/>
                <w:color w:val="auto"/>
              </w:rPr>
            </w:pPr>
            <w:r>
              <w:rPr>
                <w:rFonts w:ascii="Times New Roman" w:cs="Times New Roman" w:eastAsia="Times New Roman" w:hAnsi="Times New Roman"/>
                <w:sz w:val="16"/>
                <w:szCs w:val="16"/>
                <w:color w:val="auto"/>
                <w:w w:val="99"/>
              </w:rPr>
              <w:t>0.61</w:t>
            </w:r>
          </w:p>
        </w:tc>
        <w:tc>
          <w:tcPr>
            <w:tcW w:w="680" w:type="dxa"/>
            <w:vAlign w:val="bottom"/>
          </w:tcPr>
          <w:p>
            <w:pPr>
              <w:jc w:val="center"/>
              <w:spacing w:after="0"/>
              <w:rPr>
                <w:sz w:val="20"/>
                <w:szCs w:val="20"/>
                <w:color w:val="auto"/>
              </w:rPr>
            </w:pPr>
            <w:r>
              <w:rPr>
                <w:rFonts w:ascii="Times New Roman" w:cs="Times New Roman" w:eastAsia="Times New Roman" w:hAnsi="Times New Roman"/>
                <w:sz w:val="16"/>
                <w:szCs w:val="16"/>
                <w:color w:val="auto"/>
                <w:w w:val="99"/>
              </w:rPr>
              <w:t>0.64</w:t>
            </w:r>
          </w:p>
        </w:tc>
        <w:tc>
          <w:tcPr>
            <w:tcW w:w="1300" w:type="dxa"/>
            <w:vAlign w:val="bottom"/>
          </w:tcPr>
          <w:p>
            <w:pPr>
              <w:jc w:val="right"/>
              <w:ind w:right="400"/>
              <w:spacing w:after="0"/>
              <w:rPr>
                <w:sz w:val="20"/>
                <w:szCs w:val="20"/>
                <w:color w:val="auto"/>
              </w:rPr>
            </w:pPr>
            <w:r>
              <w:rPr>
                <w:rFonts w:ascii="Times New Roman" w:cs="Times New Roman" w:eastAsia="Times New Roman" w:hAnsi="Times New Roman"/>
                <w:sz w:val="16"/>
                <w:szCs w:val="16"/>
                <w:color w:val="auto"/>
              </w:rPr>
              <w:t>0.03</w:t>
            </w:r>
          </w:p>
        </w:tc>
        <w:tc>
          <w:tcPr>
            <w:tcW w:w="160" w:type="dxa"/>
            <w:vAlign w:val="bottom"/>
          </w:tcPr>
          <w:p>
            <w:pPr>
              <w:spacing w:after="0"/>
              <w:rPr>
                <w:sz w:val="17"/>
                <w:szCs w:val="17"/>
                <w:color w:val="auto"/>
              </w:rPr>
            </w:pPr>
          </w:p>
        </w:tc>
        <w:tc>
          <w:tcPr>
            <w:tcW w:w="1080" w:type="dxa"/>
            <w:vAlign w:val="bottom"/>
          </w:tcPr>
          <w:p>
            <w:pPr>
              <w:jc w:val="right"/>
              <w:ind w:right="300"/>
              <w:spacing w:after="0"/>
              <w:rPr>
                <w:sz w:val="20"/>
                <w:szCs w:val="20"/>
                <w:color w:val="auto"/>
              </w:rPr>
            </w:pPr>
            <w:r>
              <w:rPr>
                <w:rFonts w:ascii="Times New Roman" w:cs="Times New Roman" w:eastAsia="Times New Roman" w:hAnsi="Times New Roman"/>
                <w:sz w:val="16"/>
                <w:szCs w:val="16"/>
                <w:color w:val="auto"/>
              </w:rPr>
              <w:t>0.06</w:t>
            </w:r>
          </w:p>
        </w:tc>
        <w:tc>
          <w:tcPr>
            <w:tcW w:w="1100" w:type="dxa"/>
            <w:vAlign w:val="bottom"/>
          </w:tcPr>
          <w:p>
            <w:pPr>
              <w:jc w:val="right"/>
              <w:ind w:right="240"/>
              <w:spacing w:after="0"/>
              <w:rPr>
                <w:sz w:val="20"/>
                <w:szCs w:val="20"/>
                <w:color w:val="auto"/>
              </w:rPr>
            </w:pPr>
            <w:r>
              <w:rPr>
                <w:rFonts w:ascii="Times New Roman" w:cs="Times New Roman" w:eastAsia="Times New Roman" w:hAnsi="Times New Roman"/>
                <w:sz w:val="16"/>
                <w:szCs w:val="16"/>
                <w:color w:val="auto"/>
              </w:rPr>
              <w:t>0.10</w:t>
            </w:r>
          </w:p>
        </w:tc>
      </w:tr>
      <w:tr>
        <w:trPr>
          <w:trHeight w:val="206"/>
        </w:trPr>
        <w:tc>
          <w:tcPr>
            <w:tcW w:w="2980" w:type="dxa"/>
            <w:vAlign w:val="bottom"/>
          </w:tcPr>
          <w:p>
            <w:pPr>
              <w:spacing w:after="0"/>
              <w:rPr>
                <w:sz w:val="20"/>
                <w:szCs w:val="20"/>
                <w:color w:val="auto"/>
              </w:rPr>
            </w:pPr>
            <w:r>
              <w:rPr>
                <w:rFonts w:ascii="Times New Roman" w:cs="Times New Roman" w:eastAsia="Times New Roman" w:hAnsi="Times New Roman"/>
                <w:sz w:val="16"/>
                <w:szCs w:val="16"/>
                <w:color w:val="auto"/>
              </w:rPr>
              <w:t>Owns a mortgage</w:t>
            </w:r>
          </w:p>
        </w:tc>
        <w:tc>
          <w:tcPr>
            <w:tcW w:w="560" w:type="dxa"/>
            <w:vAlign w:val="bottom"/>
          </w:tcPr>
          <w:p>
            <w:pPr>
              <w:jc w:val="center"/>
              <w:spacing w:after="0"/>
              <w:rPr>
                <w:sz w:val="20"/>
                <w:szCs w:val="20"/>
                <w:color w:val="auto"/>
              </w:rPr>
            </w:pPr>
            <w:r>
              <w:rPr>
                <w:rFonts w:ascii="Times New Roman" w:cs="Times New Roman" w:eastAsia="Times New Roman" w:hAnsi="Times New Roman"/>
                <w:sz w:val="16"/>
                <w:szCs w:val="16"/>
                <w:color w:val="auto"/>
                <w:w w:val="99"/>
              </w:rPr>
              <w:t>0.13</w:t>
            </w:r>
          </w:p>
        </w:tc>
        <w:tc>
          <w:tcPr>
            <w:tcW w:w="660" w:type="dxa"/>
            <w:vAlign w:val="bottom"/>
          </w:tcPr>
          <w:p>
            <w:pPr>
              <w:jc w:val="center"/>
              <w:spacing w:after="0"/>
              <w:rPr>
                <w:sz w:val="20"/>
                <w:szCs w:val="20"/>
                <w:color w:val="auto"/>
              </w:rPr>
            </w:pPr>
            <w:r>
              <w:rPr>
                <w:rFonts w:ascii="Times New Roman" w:cs="Times New Roman" w:eastAsia="Times New Roman" w:hAnsi="Times New Roman"/>
                <w:sz w:val="16"/>
                <w:szCs w:val="16"/>
                <w:color w:val="auto"/>
                <w:w w:val="99"/>
              </w:rPr>
              <w:t>0.16</w:t>
            </w:r>
          </w:p>
        </w:tc>
        <w:tc>
          <w:tcPr>
            <w:tcW w:w="1320" w:type="dxa"/>
            <w:vAlign w:val="bottom"/>
          </w:tcPr>
          <w:p>
            <w:pPr>
              <w:jc w:val="right"/>
              <w:ind w:right="340"/>
              <w:spacing w:after="0"/>
              <w:rPr>
                <w:sz w:val="20"/>
                <w:szCs w:val="20"/>
                <w:color w:val="auto"/>
              </w:rPr>
            </w:pPr>
            <w:r>
              <w:rPr>
                <w:rFonts w:ascii="Times New Roman" w:cs="Times New Roman" w:eastAsia="Times New Roman" w:hAnsi="Times New Roman"/>
                <w:sz w:val="16"/>
                <w:szCs w:val="16"/>
                <w:color w:val="auto"/>
              </w:rPr>
              <w:t>0.03</w:t>
            </w:r>
          </w:p>
        </w:tc>
        <w:tc>
          <w:tcPr>
            <w:tcW w:w="680" w:type="dxa"/>
            <w:vAlign w:val="bottom"/>
            <w:gridSpan w:val="2"/>
          </w:tcPr>
          <w:p>
            <w:pPr>
              <w:jc w:val="center"/>
              <w:spacing w:after="0"/>
              <w:rPr>
                <w:sz w:val="20"/>
                <w:szCs w:val="20"/>
                <w:color w:val="auto"/>
              </w:rPr>
            </w:pPr>
            <w:r>
              <w:rPr>
                <w:rFonts w:ascii="Times New Roman" w:cs="Times New Roman" w:eastAsia="Times New Roman" w:hAnsi="Times New Roman"/>
                <w:sz w:val="16"/>
                <w:szCs w:val="16"/>
                <w:color w:val="auto"/>
                <w:w w:val="99"/>
              </w:rPr>
              <w:t>0.12</w:t>
            </w:r>
          </w:p>
        </w:tc>
        <w:tc>
          <w:tcPr>
            <w:tcW w:w="680" w:type="dxa"/>
            <w:vAlign w:val="bottom"/>
          </w:tcPr>
          <w:p>
            <w:pPr>
              <w:jc w:val="center"/>
              <w:spacing w:after="0"/>
              <w:rPr>
                <w:sz w:val="20"/>
                <w:szCs w:val="20"/>
                <w:color w:val="auto"/>
              </w:rPr>
            </w:pPr>
            <w:r>
              <w:rPr>
                <w:rFonts w:ascii="Times New Roman" w:cs="Times New Roman" w:eastAsia="Times New Roman" w:hAnsi="Times New Roman"/>
                <w:sz w:val="16"/>
                <w:szCs w:val="16"/>
                <w:color w:val="auto"/>
                <w:w w:val="99"/>
              </w:rPr>
              <w:t>0.22</w:t>
            </w:r>
          </w:p>
        </w:tc>
        <w:tc>
          <w:tcPr>
            <w:tcW w:w="1300" w:type="dxa"/>
            <w:vAlign w:val="bottom"/>
          </w:tcPr>
          <w:p>
            <w:pPr>
              <w:jc w:val="right"/>
              <w:ind w:right="320"/>
              <w:spacing w:after="0"/>
              <w:rPr>
                <w:sz w:val="20"/>
                <w:szCs w:val="20"/>
                <w:color w:val="auto"/>
              </w:rPr>
            </w:pPr>
            <w:r>
              <w:rPr>
                <w:rFonts w:ascii="Times New Roman" w:cs="Times New Roman" w:eastAsia="Times New Roman" w:hAnsi="Times New Roman"/>
                <w:sz w:val="16"/>
                <w:szCs w:val="16"/>
                <w:color w:val="auto"/>
              </w:rPr>
              <w:t>0.10*</w:t>
            </w:r>
          </w:p>
        </w:tc>
        <w:tc>
          <w:tcPr>
            <w:tcW w:w="160" w:type="dxa"/>
            <w:vAlign w:val="bottom"/>
          </w:tcPr>
          <w:p>
            <w:pPr>
              <w:spacing w:after="0"/>
              <w:rPr>
                <w:sz w:val="17"/>
                <w:szCs w:val="17"/>
                <w:color w:val="auto"/>
              </w:rPr>
            </w:pPr>
          </w:p>
        </w:tc>
        <w:tc>
          <w:tcPr>
            <w:tcW w:w="1080" w:type="dxa"/>
            <w:vAlign w:val="bottom"/>
          </w:tcPr>
          <w:p>
            <w:pPr>
              <w:jc w:val="right"/>
              <w:ind w:right="300"/>
              <w:spacing w:after="0"/>
              <w:rPr>
                <w:sz w:val="20"/>
                <w:szCs w:val="20"/>
                <w:color w:val="auto"/>
              </w:rPr>
            </w:pPr>
            <w:r>
              <w:rPr>
                <w:rFonts w:ascii="Arial" w:cs="Arial" w:eastAsia="Arial" w:hAnsi="Arial"/>
                <w:sz w:val="16"/>
                <w:szCs w:val="16"/>
                <w:color w:val="auto"/>
              </w:rPr>
              <w:t>2</w:t>
            </w:r>
            <w:r>
              <w:rPr>
                <w:rFonts w:ascii="Times New Roman" w:cs="Times New Roman" w:eastAsia="Times New Roman" w:hAnsi="Times New Roman"/>
                <w:sz w:val="16"/>
                <w:szCs w:val="16"/>
                <w:color w:val="auto"/>
              </w:rPr>
              <w:t>0.07</w:t>
            </w:r>
          </w:p>
        </w:tc>
        <w:tc>
          <w:tcPr>
            <w:tcW w:w="1100" w:type="dxa"/>
            <w:vAlign w:val="bottom"/>
          </w:tcPr>
          <w:p>
            <w:pPr>
              <w:jc w:val="right"/>
              <w:ind w:right="240"/>
              <w:spacing w:after="0"/>
              <w:rPr>
                <w:sz w:val="20"/>
                <w:szCs w:val="20"/>
                <w:color w:val="auto"/>
              </w:rPr>
            </w:pPr>
            <w:r>
              <w:rPr>
                <w:rFonts w:ascii="Arial" w:cs="Arial" w:eastAsia="Arial" w:hAnsi="Arial"/>
                <w:sz w:val="16"/>
                <w:szCs w:val="16"/>
                <w:color w:val="auto"/>
              </w:rPr>
              <w:t>2</w:t>
            </w:r>
            <w:r>
              <w:rPr>
                <w:rFonts w:ascii="Times New Roman" w:cs="Times New Roman" w:eastAsia="Times New Roman" w:hAnsi="Times New Roman"/>
                <w:sz w:val="16"/>
                <w:szCs w:val="16"/>
                <w:color w:val="auto"/>
              </w:rPr>
              <w:t>0.07</w:t>
            </w:r>
          </w:p>
        </w:tc>
      </w:tr>
      <w:tr>
        <w:trPr>
          <w:trHeight w:val="192"/>
        </w:trPr>
        <w:tc>
          <w:tcPr>
            <w:tcW w:w="2980" w:type="dxa"/>
            <w:vAlign w:val="bottom"/>
          </w:tcPr>
          <w:p>
            <w:pPr>
              <w:spacing w:after="0"/>
              <w:rPr>
                <w:sz w:val="20"/>
                <w:szCs w:val="20"/>
                <w:color w:val="auto"/>
              </w:rPr>
            </w:pPr>
            <w:r>
              <w:rPr>
                <w:rFonts w:ascii="Times New Roman" w:cs="Times New Roman" w:eastAsia="Times New Roman" w:hAnsi="Times New Roman"/>
                <w:sz w:val="16"/>
                <w:szCs w:val="16"/>
                <w:color w:val="auto"/>
              </w:rPr>
              <w:t>Banks online</w:t>
            </w:r>
          </w:p>
        </w:tc>
        <w:tc>
          <w:tcPr>
            <w:tcW w:w="560" w:type="dxa"/>
            <w:vAlign w:val="bottom"/>
          </w:tcPr>
          <w:p>
            <w:pPr>
              <w:jc w:val="center"/>
              <w:spacing w:after="0"/>
              <w:rPr>
                <w:sz w:val="20"/>
                <w:szCs w:val="20"/>
                <w:color w:val="auto"/>
              </w:rPr>
            </w:pPr>
            <w:r>
              <w:rPr>
                <w:rFonts w:ascii="Times New Roman" w:cs="Times New Roman" w:eastAsia="Times New Roman" w:hAnsi="Times New Roman"/>
                <w:sz w:val="16"/>
                <w:szCs w:val="16"/>
                <w:color w:val="auto"/>
                <w:w w:val="99"/>
              </w:rPr>
              <w:t>0.25</w:t>
            </w:r>
          </w:p>
        </w:tc>
        <w:tc>
          <w:tcPr>
            <w:tcW w:w="660" w:type="dxa"/>
            <w:vAlign w:val="bottom"/>
          </w:tcPr>
          <w:p>
            <w:pPr>
              <w:jc w:val="center"/>
              <w:spacing w:after="0"/>
              <w:rPr>
                <w:sz w:val="20"/>
                <w:szCs w:val="20"/>
                <w:color w:val="auto"/>
              </w:rPr>
            </w:pPr>
            <w:r>
              <w:rPr>
                <w:rFonts w:ascii="Times New Roman" w:cs="Times New Roman" w:eastAsia="Times New Roman" w:hAnsi="Times New Roman"/>
                <w:sz w:val="16"/>
                <w:szCs w:val="16"/>
                <w:color w:val="auto"/>
                <w:w w:val="99"/>
              </w:rPr>
              <w:t>0.34</w:t>
            </w:r>
          </w:p>
        </w:tc>
        <w:tc>
          <w:tcPr>
            <w:tcW w:w="1320" w:type="dxa"/>
            <w:vAlign w:val="bottom"/>
          </w:tcPr>
          <w:p>
            <w:pPr>
              <w:jc w:val="right"/>
              <w:ind w:right="340"/>
              <w:spacing w:after="0"/>
              <w:rPr>
                <w:sz w:val="20"/>
                <w:szCs w:val="20"/>
                <w:color w:val="auto"/>
              </w:rPr>
            </w:pPr>
            <w:r>
              <w:rPr>
                <w:rFonts w:ascii="Times New Roman" w:cs="Times New Roman" w:eastAsia="Times New Roman" w:hAnsi="Times New Roman"/>
                <w:sz w:val="16"/>
                <w:szCs w:val="16"/>
                <w:color w:val="auto"/>
              </w:rPr>
              <w:t>0.09</w:t>
            </w:r>
          </w:p>
        </w:tc>
        <w:tc>
          <w:tcPr>
            <w:tcW w:w="680" w:type="dxa"/>
            <w:vAlign w:val="bottom"/>
            <w:gridSpan w:val="2"/>
          </w:tcPr>
          <w:p>
            <w:pPr>
              <w:jc w:val="center"/>
              <w:spacing w:after="0"/>
              <w:rPr>
                <w:sz w:val="20"/>
                <w:szCs w:val="20"/>
                <w:color w:val="auto"/>
              </w:rPr>
            </w:pPr>
            <w:r>
              <w:rPr>
                <w:rFonts w:ascii="Times New Roman" w:cs="Times New Roman" w:eastAsia="Times New Roman" w:hAnsi="Times New Roman"/>
                <w:sz w:val="16"/>
                <w:szCs w:val="16"/>
                <w:color w:val="auto"/>
                <w:w w:val="99"/>
              </w:rPr>
              <w:t>0.10</w:t>
            </w:r>
          </w:p>
        </w:tc>
        <w:tc>
          <w:tcPr>
            <w:tcW w:w="680" w:type="dxa"/>
            <w:vAlign w:val="bottom"/>
          </w:tcPr>
          <w:p>
            <w:pPr>
              <w:jc w:val="center"/>
              <w:spacing w:after="0"/>
              <w:rPr>
                <w:sz w:val="20"/>
                <w:szCs w:val="20"/>
                <w:color w:val="auto"/>
              </w:rPr>
            </w:pPr>
            <w:r>
              <w:rPr>
                <w:rFonts w:ascii="Times New Roman" w:cs="Times New Roman" w:eastAsia="Times New Roman" w:hAnsi="Times New Roman"/>
                <w:sz w:val="16"/>
                <w:szCs w:val="16"/>
                <w:color w:val="auto"/>
                <w:w w:val="99"/>
              </w:rPr>
              <w:t>0.14</w:t>
            </w:r>
          </w:p>
        </w:tc>
        <w:tc>
          <w:tcPr>
            <w:tcW w:w="1300" w:type="dxa"/>
            <w:vAlign w:val="bottom"/>
          </w:tcPr>
          <w:p>
            <w:pPr>
              <w:jc w:val="right"/>
              <w:ind w:right="400"/>
              <w:spacing w:after="0"/>
              <w:rPr>
                <w:sz w:val="20"/>
                <w:szCs w:val="20"/>
                <w:color w:val="auto"/>
              </w:rPr>
            </w:pPr>
            <w:r>
              <w:rPr>
                <w:rFonts w:ascii="Times New Roman" w:cs="Times New Roman" w:eastAsia="Times New Roman" w:hAnsi="Times New Roman"/>
                <w:sz w:val="16"/>
                <w:szCs w:val="16"/>
                <w:color w:val="auto"/>
              </w:rPr>
              <w:t>0.04</w:t>
            </w:r>
          </w:p>
        </w:tc>
        <w:tc>
          <w:tcPr>
            <w:tcW w:w="160" w:type="dxa"/>
            <w:vAlign w:val="bottom"/>
          </w:tcPr>
          <w:p>
            <w:pPr>
              <w:spacing w:after="0"/>
              <w:rPr>
                <w:sz w:val="16"/>
                <w:szCs w:val="16"/>
                <w:color w:val="auto"/>
              </w:rPr>
            </w:pPr>
          </w:p>
        </w:tc>
        <w:tc>
          <w:tcPr>
            <w:tcW w:w="1080" w:type="dxa"/>
            <w:vAlign w:val="bottom"/>
          </w:tcPr>
          <w:p>
            <w:pPr>
              <w:jc w:val="right"/>
              <w:ind w:right="300"/>
              <w:spacing w:after="0"/>
              <w:rPr>
                <w:sz w:val="20"/>
                <w:szCs w:val="20"/>
                <w:color w:val="auto"/>
              </w:rPr>
            </w:pPr>
            <w:r>
              <w:rPr>
                <w:rFonts w:ascii="Times New Roman" w:cs="Times New Roman" w:eastAsia="Times New Roman" w:hAnsi="Times New Roman"/>
                <w:sz w:val="16"/>
                <w:szCs w:val="16"/>
                <w:color w:val="auto"/>
              </w:rPr>
              <w:t>0.05</w:t>
            </w:r>
          </w:p>
        </w:tc>
        <w:tc>
          <w:tcPr>
            <w:tcW w:w="1100" w:type="dxa"/>
            <w:vAlign w:val="bottom"/>
          </w:tcPr>
          <w:p>
            <w:pPr>
              <w:jc w:val="right"/>
              <w:ind w:right="240"/>
              <w:spacing w:after="0"/>
              <w:rPr>
                <w:sz w:val="20"/>
                <w:szCs w:val="20"/>
                <w:color w:val="auto"/>
              </w:rPr>
            </w:pPr>
            <w:r>
              <w:rPr>
                <w:rFonts w:ascii="Times New Roman" w:cs="Times New Roman" w:eastAsia="Times New Roman" w:hAnsi="Times New Roman"/>
                <w:sz w:val="16"/>
                <w:szCs w:val="16"/>
                <w:color w:val="auto"/>
              </w:rPr>
              <w:t>0.14</w:t>
            </w:r>
          </w:p>
        </w:tc>
      </w:tr>
      <w:tr>
        <w:trPr>
          <w:trHeight w:val="208"/>
        </w:trPr>
        <w:tc>
          <w:tcPr>
            <w:tcW w:w="2980" w:type="dxa"/>
            <w:vAlign w:val="bottom"/>
          </w:tcPr>
          <w:p>
            <w:pPr>
              <w:spacing w:after="0"/>
              <w:rPr>
                <w:sz w:val="20"/>
                <w:szCs w:val="20"/>
                <w:color w:val="auto"/>
              </w:rPr>
            </w:pPr>
            <w:r>
              <w:rPr>
                <w:rFonts w:ascii="Times New Roman" w:cs="Times New Roman" w:eastAsia="Times New Roman" w:hAnsi="Times New Roman"/>
                <w:sz w:val="16"/>
                <w:szCs w:val="16"/>
                <w:color w:val="auto"/>
              </w:rPr>
              <w:t>Banks by phone</w:t>
            </w:r>
          </w:p>
        </w:tc>
        <w:tc>
          <w:tcPr>
            <w:tcW w:w="560" w:type="dxa"/>
            <w:vAlign w:val="bottom"/>
          </w:tcPr>
          <w:p>
            <w:pPr>
              <w:jc w:val="center"/>
              <w:spacing w:after="0"/>
              <w:rPr>
                <w:sz w:val="20"/>
                <w:szCs w:val="20"/>
                <w:color w:val="auto"/>
              </w:rPr>
            </w:pPr>
            <w:r>
              <w:rPr>
                <w:rFonts w:ascii="Times New Roman" w:cs="Times New Roman" w:eastAsia="Times New Roman" w:hAnsi="Times New Roman"/>
                <w:sz w:val="16"/>
                <w:szCs w:val="16"/>
                <w:color w:val="auto"/>
                <w:w w:val="99"/>
              </w:rPr>
              <w:t>0.51</w:t>
            </w:r>
          </w:p>
        </w:tc>
        <w:tc>
          <w:tcPr>
            <w:tcW w:w="660" w:type="dxa"/>
            <w:vAlign w:val="bottom"/>
          </w:tcPr>
          <w:p>
            <w:pPr>
              <w:jc w:val="center"/>
              <w:spacing w:after="0"/>
              <w:rPr>
                <w:sz w:val="20"/>
                <w:szCs w:val="20"/>
                <w:color w:val="auto"/>
              </w:rPr>
            </w:pPr>
            <w:r>
              <w:rPr>
                <w:rFonts w:ascii="Times New Roman" w:cs="Times New Roman" w:eastAsia="Times New Roman" w:hAnsi="Times New Roman"/>
                <w:sz w:val="16"/>
                <w:szCs w:val="16"/>
                <w:color w:val="auto"/>
                <w:w w:val="99"/>
              </w:rPr>
              <w:t>0.41</w:t>
            </w:r>
          </w:p>
        </w:tc>
        <w:tc>
          <w:tcPr>
            <w:tcW w:w="1320" w:type="dxa"/>
            <w:vAlign w:val="bottom"/>
          </w:tcPr>
          <w:p>
            <w:pPr>
              <w:jc w:val="right"/>
              <w:ind w:right="340"/>
              <w:spacing w:after="0"/>
              <w:rPr>
                <w:sz w:val="20"/>
                <w:szCs w:val="20"/>
                <w:color w:val="auto"/>
              </w:rPr>
            </w:pPr>
            <w:r>
              <w:rPr>
                <w:rFonts w:ascii="Arial" w:cs="Arial" w:eastAsia="Arial" w:hAnsi="Arial"/>
                <w:sz w:val="16"/>
                <w:szCs w:val="16"/>
                <w:color w:val="auto"/>
              </w:rPr>
              <w:t>2</w:t>
            </w:r>
            <w:r>
              <w:rPr>
                <w:rFonts w:ascii="Times New Roman" w:cs="Times New Roman" w:eastAsia="Times New Roman" w:hAnsi="Times New Roman"/>
                <w:sz w:val="16"/>
                <w:szCs w:val="16"/>
                <w:color w:val="auto"/>
              </w:rPr>
              <w:t>0.10</w:t>
            </w:r>
          </w:p>
        </w:tc>
        <w:tc>
          <w:tcPr>
            <w:tcW w:w="680" w:type="dxa"/>
            <w:vAlign w:val="bottom"/>
            <w:gridSpan w:val="2"/>
          </w:tcPr>
          <w:p>
            <w:pPr>
              <w:jc w:val="center"/>
              <w:spacing w:after="0"/>
              <w:rPr>
                <w:sz w:val="20"/>
                <w:szCs w:val="20"/>
                <w:color w:val="auto"/>
              </w:rPr>
            </w:pPr>
            <w:r>
              <w:rPr>
                <w:rFonts w:ascii="Times New Roman" w:cs="Times New Roman" w:eastAsia="Times New Roman" w:hAnsi="Times New Roman"/>
                <w:sz w:val="16"/>
                <w:szCs w:val="16"/>
                <w:color w:val="auto"/>
                <w:w w:val="99"/>
              </w:rPr>
              <w:t>0.45</w:t>
            </w:r>
          </w:p>
        </w:tc>
        <w:tc>
          <w:tcPr>
            <w:tcW w:w="680" w:type="dxa"/>
            <w:vAlign w:val="bottom"/>
          </w:tcPr>
          <w:p>
            <w:pPr>
              <w:jc w:val="center"/>
              <w:spacing w:after="0"/>
              <w:rPr>
                <w:sz w:val="20"/>
                <w:szCs w:val="20"/>
                <w:color w:val="auto"/>
              </w:rPr>
            </w:pPr>
            <w:r>
              <w:rPr>
                <w:rFonts w:ascii="Times New Roman" w:cs="Times New Roman" w:eastAsia="Times New Roman" w:hAnsi="Times New Roman"/>
                <w:sz w:val="16"/>
                <w:szCs w:val="16"/>
                <w:color w:val="auto"/>
                <w:w w:val="99"/>
              </w:rPr>
              <w:t>0.40</w:t>
            </w:r>
          </w:p>
        </w:tc>
        <w:tc>
          <w:tcPr>
            <w:tcW w:w="1300" w:type="dxa"/>
            <w:vAlign w:val="bottom"/>
          </w:tcPr>
          <w:p>
            <w:pPr>
              <w:jc w:val="right"/>
              <w:ind w:right="400"/>
              <w:spacing w:after="0"/>
              <w:rPr>
                <w:sz w:val="20"/>
                <w:szCs w:val="20"/>
                <w:color w:val="auto"/>
              </w:rPr>
            </w:pPr>
            <w:r>
              <w:rPr>
                <w:rFonts w:ascii="Arial" w:cs="Arial" w:eastAsia="Arial" w:hAnsi="Arial"/>
                <w:sz w:val="16"/>
                <w:szCs w:val="16"/>
                <w:color w:val="auto"/>
              </w:rPr>
              <w:t>2</w:t>
            </w:r>
            <w:r>
              <w:rPr>
                <w:rFonts w:ascii="Times New Roman" w:cs="Times New Roman" w:eastAsia="Times New Roman" w:hAnsi="Times New Roman"/>
                <w:sz w:val="16"/>
                <w:szCs w:val="16"/>
                <w:color w:val="auto"/>
              </w:rPr>
              <w:t>0.05</w:t>
            </w:r>
          </w:p>
        </w:tc>
        <w:tc>
          <w:tcPr>
            <w:tcW w:w="160" w:type="dxa"/>
            <w:vAlign w:val="bottom"/>
          </w:tcPr>
          <w:p>
            <w:pPr>
              <w:spacing w:after="0"/>
              <w:rPr>
                <w:sz w:val="18"/>
                <w:szCs w:val="18"/>
                <w:color w:val="auto"/>
              </w:rPr>
            </w:pPr>
          </w:p>
        </w:tc>
        <w:tc>
          <w:tcPr>
            <w:tcW w:w="1080" w:type="dxa"/>
            <w:vAlign w:val="bottom"/>
          </w:tcPr>
          <w:p>
            <w:pPr>
              <w:jc w:val="right"/>
              <w:ind w:right="300"/>
              <w:spacing w:after="0"/>
              <w:rPr>
                <w:sz w:val="20"/>
                <w:szCs w:val="20"/>
                <w:color w:val="auto"/>
              </w:rPr>
            </w:pPr>
            <w:r>
              <w:rPr>
                <w:rFonts w:ascii="Arial" w:cs="Arial" w:eastAsia="Arial" w:hAnsi="Arial"/>
                <w:sz w:val="16"/>
                <w:szCs w:val="16"/>
                <w:color w:val="auto"/>
              </w:rPr>
              <w:t>2</w:t>
            </w:r>
            <w:r>
              <w:rPr>
                <w:rFonts w:ascii="Times New Roman" w:cs="Times New Roman" w:eastAsia="Times New Roman" w:hAnsi="Times New Roman"/>
                <w:sz w:val="16"/>
                <w:szCs w:val="16"/>
                <w:color w:val="auto"/>
              </w:rPr>
              <w:t>0.05</w:t>
            </w:r>
          </w:p>
        </w:tc>
        <w:tc>
          <w:tcPr>
            <w:tcW w:w="1100" w:type="dxa"/>
            <w:vAlign w:val="bottom"/>
          </w:tcPr>
          <w:p>
            <w:pPr>
              <w:jc w:val="right"/>
              <w:ind w:right="240"/>
              <w:spacing w:after="0"/>
              <w:rPr>
                <w:sz w:val="20"/>
                <w:szCs w:val="20"/>
                <w:color w:val="auto"/>
              </w:rPr>
            </w:pPr>
            <w:r>
              <w:rPr>
                <w:rFonts w:ascii="Arial" w:cs="Arial" w:eastAsia="Arial" w:hAnsi="Arial"/>
                <w:sz w:val="16"/>
                <w:szCs w:val="16"/>
                <w:color w:val="auto"/>
              </w:rPr>
              <w:t>2</w:t>
            </w:r>
            <w:r>
              <w:rPr>
                <w:rFonts w:ascii="Times New Roman" w:cs="Times New Roman" w:eastAsia="Times New Roman" w:hAnsi="Times New Roman"/>
                <w:sz w:val="16"/>
                <w:szCs w:val="16"/>
                <w:color w:val="auto"/>
              </w:rPr>
              <w:t>0.04</w:t>
            </w:r>
          </w:p>
        </w:tc>
      </w:tr>
      <w:tr>
        <w:trPr>
          <w:trHeight w:val="198"/>
        </w:trPr>
        <w:tc>
          <w:tcPr>
            <w:tcW w:w="2980" w:type="dxa"/>
            <w:vAlign w:val="bottom"/>
          </w:tcPr>
          <w:p>
            <w:pPr>
              <w:spacing w:after="0"/>
              <w:rPr>
                <w:sz w:val="20"/>
                <w:szCs w:val="20"/>
                <w:color w:val="auto"/>
              </w:rPr>
            </w:pPr>
            <w:r>
              <w:rPr>
                <w:rFonts w:ascii="Times New Roman" w:cs="Times New Roman" w:eastAsia="Times New Roman" w:hAnsi="Times New Roman"/>
                <w:sz w:val="16"/>
                <w:szCs w:val="16"/>
                <w:color w:val="auto"/>
              </w:rPr>
              <w:t>Uses debit card</w:t>
            </w:r>
          </w:p>
        </w:tc>
        <w:tc>
          <w:tcPr>
            <w:tcW w:w="560" w:type="dxa"/>
            <w:vAlign w:val="bottom"/>
          </w:tcPr>
          <w:p>
            <w:pPr>
              <w:jc w:val="center"/>
              <w:spacing w:after="0"/>
              <w:rPr>
                <w:sz w:val="20"/>
                <w:szCs w:val="20"/>
                <w:color w:val="auto"/>
              </w:rPr>
            </w:pPr>
            <w:r>
              <w:rPr>
                <w:rFonts w:ascii="Times New Roman" w:cs="Times New Roman" w:eastAsia="Times New Roman" w:hAnsi="Times New Roman"/>
                <w:sz w:val="16"/>
                <w:szCs w:val="16"/>
                <w:color w:val="auto"/>
                <w:w w:val="99"/>
              </w:rPr>
              <w:t>0.65</w:t>
            </w:r>
          </w:p>
        </w:tc>
        <w:tc>
          <w:tcPr>
            <w:tcW w:w="660" w:type="dxa"/>
            <w:vAlign w:val="bottom"/>
          </w:tcPr>
          <w:p>
            <w:pPr>
              <w:jc w:val="center"/>
              <w:spacing w:after="0"/>
              <w:rPr>
                <w:sz w:val="20"/>
                <w:szCs w:val="20"/>
                <w:color w:val="auto"/>
              </w:rPr>
            </w:pPr>
            <w:r>
              <w:rPr>
                <w:rFonts w:ascii="Times New Roman" w:cs="Times New Roman" w:eastAsia="Times New Roman" w:hAnsi="Times New Roman"/>
                <w:sz w:val="16"/>
                <w:szCs w:val="16"/>
                <w:color w:val="auto"/>
                <w:w w:val="99"/>
              </w:rPr>
              <w:t>0.75</w:t>
            </w:r>
          </w:p>
        </w:tc>
        <w:tc>
          <w:tcPr>
            <w:tcW w:w="1320" w:type="dxa"/>
            <w:vAlign w:val="bottom"/>
          </w:tcPr>
          <w:p>
            <w:pPr>
              <w:jc w:val="right"/>
              <w:ind w:right="340"/>
              <w:spacing w:after="0"/>
              <w:rPr>
                <w:sz w:val="20"/>
                <w:szCs w:val="20"/>
                <w:color w:val="auto"/>
              </w:rPr>
            </w:pPr>
            <w:r>
              <w:rPr>
                <w:rFonts w:ascii="Times New Roman" w:cs="Times New Roman" w:eastAsia="Times New Roman" w:hAnsi="Times New Roman"/>
                <w:sz w:val="16"/>
                <w:szCs w:val="16"/>
                <w:color w:val="auto"/>
              </w:rPr>
              <w:t>0.10</w:t>
            </w:r>
          </w:p>
        </w:tc>
        <w:tc>
          <w:tcPr>
            <w:tcW w:w="680" w:type="dxa"/>
            <w:vAlign w:val="bottom"/>
            <w:gridSpan w:val="2"/>
          </w:tcPr>
          <w:p>
            <w:pPr>
              <w:jc w:val="center"/>
              <w:spacing w:after="0"/>
              <w:rPr>
                <w:sz w:val="20"/>
                <w:szCs w:val="20"/>
                <w:color w:val="auto"/>
              </w:rPr>
            </w:pPr>
            <w:r>
              <w:rPr>
                <w:rFonts w:ascii="Times New Roman" w:cs="Times New Roman" w:eastAsia="Times New Roman" w:hAnsi="Times New Roman"/>
                <w:sz w:val="16"/>
                <w:szCs w:val="16"/>
                <w:color w:val="auto"/>
                <w:w w:val="99"/>
              </w:rPr>
              <w:t>0.49</w:t>
            </w:r>
          </w:p>
        </w:tc>
        <w:tc>
          <w:tcPr>
            <w:tcW w:w="680" w:type="dxa"/>
            <w:vAlign w:val="bottom"/>
          </w:tcPr>
          <w:p>
            <w:pPr>
              <w:jc w:val="center"/>
              <w:spacing w:after="0"/>
              <w:rPr>
                <w:sz w:val="20"/>
                <w:szCs w:val="20"/>
                <w:color w:val="auto"/>
              </w:rPr>
            </w:pPr>
            <w:r>
              <w:rPr>
                <w:rFonts w:ascii="Times New Roman" w:cs="Times New Roman" w:eastAsia="Times New Roman" w:hAnsi="Times New Roman"/>
                <w:sz w:val="16"/>
                <w:szCs w:val="16"/>
                <w:color w:val="auto"/>
                <w:w w:val="99"/>
              </w:rPr>
              <w:t>0.64</w:t>
            </w:r>
          </w:p>
        </w:tc>
        <w:tc>
          <w:tcPr>
            <w:tcW w:w="1300" w:type="dxa"/>
            <w:vAlign w:val="bottom"/>
          </w:tcPr>
          <w:p>
            <w:pPr>
              <w:jc w:val="right"/>
              <w:ind w:right="320"/>
              <w:spacing w:after="0"/>
              <w:rPr>
                <w:sz w:val="20"/>
                <w:szCs w:val="20"/>
                <w:color w:val="auto"/>
              </w:rPr>
            </w:pPr>
            <w:r>
              <w:rPr>
                <w:rFonts w:ascii="Times New Roman" w:cs="Times New Roman" w:eastAsia="Times New Roman" w:hAnsi="Times New Roman"/>
                <w:sz w:val="16"/>
                <w:szCs w:val="16"/>
                <w:color w:val="auto"/>
              </w:rPr>
              <w:t>0.15*</w:t>
            </w:r>
          </w:p>
        </w:tc>
        <w:tc>
          <w:tcPr>
            <w:tcW w:w="160" w:type="dxa"/>
            <w:vAlign w:val="bottom"/>
          </w:tcPr>
          <w:p>
            <w:pPr>
              <w:spacing w:after="0"/>
              <w:rPr>
                <w:sz w:val="17"/>
                <w:szCs w:val="17"/>
                <w:color w:val="auto"/>
              </w:rPr>
            </w:pPr>
          </w:p>
        </w:tc>
        <w:tc>
          <w:tcPr>
            <w:tcW w:w="1080" w:type="dxa"/>
            <w:vAlign w:val="bottom"/>
          </w:tcPr>
          <w:p>
            <w:pPr>
              <w:jc w:val="right"/>
              <w:ind w:right="300"/>
              <w:spacing w:after="0"/>
              <w:rPr>
                <w:sz w:val="20"/>
                <w:szCs w:val="20"/>
                <w:color w:val="auto"/>
              </w:rPr>
            </w:pPr>
            <w:r>
              <w:rPr>
                <w:rFonts w:ascii="Arial" w:cs="Arial" w:eastAsia="Arial" w:hAnsi="Arial"/>
                <w:sz w:val="16"/>
                <w:szCs w:val="16"/>
                <w:color w:val="auto"/>
              </w:rPr>
              <w:t>2</w:t>
            </w:r>
            <w:r>
              <w:rPr>
                <w:rFonts w:ascii="Times New Roman" w:cs="Times New Roman" w:eastAsia="Times New Roman" w:hAnsi="Times New Roman"/>
                <w:sz w:val="16"/>
                <w:szCs w:val="16"/>
                <w:color w:val="auto"/>
              </w:rPr>
              <w:t>0.05</w:t>
            </w:r>
          </w:p>
        </w:tc>
        <w:tc>
          <w:tcPr>
            <w:tcW w:w="1100" w:type="dxa"/>
            <w:vAlign w:val="bottom"/>
          </w:tcPr>
          <w:p>
            <w:pPr>
              <w:jc w:val="right"/>
              <w:ind w:right="240"/>
              <w:spacing w:after="0"/>
              <w:rPr>
                <w:sz w:val="20"/>
                <w:szCs w:val="20"/>
                <w:color w:val="auto"/>
              </w:rPr>
            </w:pPr>
            <w:r>
              <w:rPr>
                <w:rFonts w:ascii="Arial" w:cs="Arial" w:eastAsia="Arial" w:hAnsi="Arial"/>
                <w:sz w:val="16"/>
                <w:szCs w:val="16"/>
                <w:color w:val="auto"/>
              </w:rPr>
              <w:t>2</w:t>
            </w:r>
            <w:r>
              <w:rPr>
                <w:rFonts w:ascii="Times New Roman" w:cs="Times New Roman" w:eastAsia="Times New Roman" w:hAnsi="Times New Roman"/>
                <w:sz w:val="16"/>
                <w:szCs w:val="16"/>
                <w:color w:val="auto"/>
              </w:rPr>
              <w:t>0.04</w:t>
            </w:r>
          </w:p>
        </w:tc>
      </w:tr>
      <w:tr>
        <w:trPr>
          <w:trHeight w:val="200"/>
        </w:trPr>
        <w:tc>
          <w:tcPr>
            <w:tcW w:w="2980" w:type="dxa"/>
            <w:vAlign w:val="bottom"/>
          </w:tcPr>
          <w:p>
            <w:pPr>
              <w:spacing w:after="0"/>
              <w:rPr>
                <w:sz w:val="20"/>
                <w:szCs w:val="20"/>
                <w:color w:val="auto"/>
              </w:rPr>
            </w:pPr>
            <w:r>
              <w:rPr>
                <w:rFonts w:ascii="Times New Roman" w:cs="Times New Roman" w:eastAsia="Times New Roman" w:hAnsi="Times New Roman"/>
                <w:sz w:val="16"/>
                <w:szCs w:val="16"/>
                <w:color w:val="auto"/>
              </w:rPr>
              <w:t>Saves money each month</w:t>
            </w:r>
          </w:p>
        </w:tc>
        <w:tc>
          <w:tcPr>
            <w:tcW w:w="560" w:type="dxa"/>
            <w:vAlign w:val="bottom"/>
          </w:tcPr>
          <w:p>
            <w:pPr>
              <w:jc w:val="center"/>
              <w:spacing w:after="0"/>
              <w:rPr>
                <w:sz w:val="20"/>
                <w:szCs w:val="20"/>
                <w:color w:val="auto"/>
              </w:rPr>
            </w:pPr>
            <w:r>
              <w:rPr>
                <w:rFonts w:ascii="Times New Roman" w:cs="Times New Roman" w:eastAsia="Times New Roman" w:hAnsi="Times New Roman"/>
                <w:sz w:val="16"/>
                <w:szCs w:val="16"/>
                <w:color w:val="auto"/>
                <w:w w:val="99"/>
              </w:rPr>
              <w:t>0.68</w:t>
            </w:r>
          </w:p>
        </w:tc>
        <w:tc>
          <w:tcPr>
            <w:tcW w:w="660" w:type="dxa"/>
            <w:vAlign w:val="bottom"/>
          </w:tcPr>
          <w:p>
            <w:pPr>
              <w:jc w:val="center"/>
              <w:spacing w:after="0"/>
              <w:rPr>
                <w:sz w:val="20"/>
                <w:szCs w:val="20"/>
                <w:color w:val="auto"/>
              </w:rPr>
            </w:pPr>
            <w:r>
              <w:rPr>
                <w:rFonts w:ascii="Times New Roman" w:cs="Times New Roman" w:eastAsia="Times New Roman" w:hAnsi="Times New Roman"/>
                <w:sz w:val="16"/>
                <w:szCs w:val="16"/>
                <w:color w:val="auto"/>
                <w:w w:val="99"/>
              </w:rPr>
              <w:t>0.60</w:t>
            </w:r>
          </w:p>
        </w:tc>
        <w:tc>
          <w:tcPr>
            <w:tcW w:w="1320" w:type="dxa"/>
            <w:vAlign w:val="bottom"/>
          </w:tcPr>
          <w:p>
            <w:pPr>
              <w:jc w:val="right"/>
              <w:ind w:right="340"/>
              <w:spacing w:after="0"/>
              <w:rPr>
                <w:sz w:val="20"/>
                <w:szCs w:val="20"/>
                <w:color w:val="auto"/>
              </w:rPr>
            </w:pPr>
            <w:r>
              <w:rPr>
                <w:rFonts w:ascii="Arial" w:cs="Arial" w:eastAsia="Arial" w:hAnsi="Arial"/>
                <w:sz w:val="16"/>
                <w:szCs w:val="16"/>
                <w:color w:val="auto"/>
              </w:rPr>
              <w:t>2</w:t>
            </w:r>
            <w:r>
              <w:rPr>
                <w:rFonts w:ascii="Times New Roman" w:cs="Times New Roman" w:eastAsia="Times New Roman" w:hAnsi="Times New Roman"/>
                <w:sz w:val="16"/>
                <w:szCs w:val="16"/>
                <w:color w:val="auto"/>
              </w:rPr>
              <w:t>0.08</w:t>
            </w:r>
          </w:p>
        </w:tc>
        <w:tc>
          <w:tcPr>
            <w:tcW w:w="680" w:type="dxa"/>
            <w:vAlign w:val="bottom"/>
            <w:gridSpan w:val="2"/>
          </w:tcPr>
          <w:p>
            <w:pPr>
              <w:jc w:val="center"/>
              <w:spacing w:after="0"/>
              <w:rPr>
                <w:sz w:val="20"/>
                <w:szCs w:val="20"/>
                <w:color w:val="auto"/>
              </w:rPr>
            </w:pPr>
            <w:r>
              <w:rPr>
                <w:rFonts w:ascii="Times New Roman" w:cs="Times New Roman" w:eastAsia="Times New Roman" w:hAnsi="Times New Roman"/>
                <w:sz w:val="16"/>
                <w:szCs w:val="16"/>
                <w:color w:val="auto"/>
                <w:w w:val="99"/>
              </w:rPr>
              <w:t>0.64</w:t>
            </w:r>
          </w:p>
        </w:tc>
        <w:tc>
          <w:tcPr>
            <w:tcW w:w="680" w:type="dxa"/>
            <w:vAlign w:val="bottom"/>
          </w:tcPr>
          <w:p>
            <w:pPr>
              <w:jc w:val="center"/>
              <w:spacing w:after="0"/>
              <w:rPr>
                <w:sz w:val="20"/>
                <w:szCs w:val="20"/>
                <w:color w:val="auto"/>
              </w:rPr>
            </w:pPr>
            <w:r>
              <w:rPr>
                <w:rFonts w:ascii="Times New Roman" w:cs="Times New Roman" w:eastAsia="Times New Roman" w:hAnsi="Times New Roman"/>
                <w:sz w:val="16"/>
                <w:szCs w:val="16"/>
                <w:color w:val="auto"/>
                <w:w w:val="99"/>
              </w:rPr>
              <w:t>0.57</w:t>
            </w:r>
          </w:p>
        </w:tc>
        <w:tc>
          <w:tcPr>
            <w:tcW w:w="1300" w:type="dxa"/>
            <w:vAlign w:val="bottom"/>
          </w:tcPr>
          <w:p>
            <w:pPr>
              <w:jc w:val="right"/>
              <w:ind w:right="400"/>
              <w:spacing w:after="0"/>
              <w:rPr>
                <w:sz w:val="20"/>
                <w:szCs w:val="20"/>
                <w:color w:val="auto"/>
              </w:rPr>
            </w:pPr>
            <w:r>
              <w:rPr>
                <w:rFonts w:ascii="Arial" w:cs="Arial" w:eastAsia="Arial" w:hAnsi="Arial"/>
                <w:sz w:val="16"/>
                <w:szCs w:val="16"/>
                <w:color w:val="auto"/>
              </w:rPr>
              <w:t>2</w:t>
            </w:r>
            <w:r>
              <w:rPr>
                <w:rFonts w:ascii="Times New Roman" w:cs="Times New Roman" w:eastAsia="Times New Roman" w:hAnsi="Times New Roman"/>
                <w:sz w:val="16"/>
                <w:szCs w:val="16"/>
                <w:color w:val="auto"/>
              </w:rPr>
              <w:t>0.07</w:t>
            </w:r>
          </w:p>
        </w:tc>
        <w:tc>
          <w:tcPr>
            <w:tcW w:w="160" w:type="dxa"/>
            <w:vAlign w:val="bottom"/>
          </w:tcPr>
          <w:p>
            <w:pPr>
              <w:spacing w:after="0"/>
              <w:rPr>
                <w:sz w:val="17"/>
                <w:szCs w:val="17"/>
                <w:color w:val="auto"/>
              </w:rPr>
            </w:pPr>
          </w:p>
        </w:tc>
        <w:tc>
          <w:tcPr>
            <w:tcW w:w="1080" w:type="dxa"/>
            <w:vAlign w:val="bottom"/>
          </w:tcPr>
          <w:p>
            <w:pPr>
              <w:jc w:val="right"/>
              <w:ind w:right="300"/>
              <w:spacing w:after="0"/>
              <w:rPr>
                <w:sz w:val="20"/>
                <w:szCs w:val="20"/>
                <w:color w:val="auto"/>
              </w:rPr>
            </w:pPr>
            <w:r>
              <w:rPr>
                <w:rFonts w:ascii="Arial" w:cs="Arial" w:eastAsia="Arial" w:hAnsi="Arial"/>
                <w:sz w:val="16"/>
                <w:szCs w:val="16"/>
                <w:color w:val="auto"/>
              </w:rPr>
              <w:t>2</w:t>
            </w:r>
            <w:r>
              <w:rPr>
                <w:rFonts w:ascii="Times New Roman" w:cs="Times New Roman" w:eastAsia="Times New Roman" w:hAnsi="Times New Roman"/>
                <w:sz w:val="16"/>
                <w:szCs w:val="16"/>
                <w:color w:val="auto"/>
              </w:rPr>
              <w:t>0.01</w:t>
            </w:r>
          </w:p>
        </w:tc>
        <w:tc>
          <w:tcPr>
            <w:tcW w:w="1100" w:type="dxa"/>
            <w:vAlign w:val="bottom"/>
          </w:tcPr>
          <w:p>
            <w:pPr>
              <w:jc w:val="right"/>
              <w:ind w:right="240"/>
              <w:spacing w:after="0"/>
              <w:rPr>
                <w:sz w:val="20"/>
                <w:szCs w:val="20"/>
                <w:color w:val="auto"/>
              </w:rPr>
            </w:pPr>
            <w:r>
              <w:rPr>
                <w:rFonts w:ascii="Times New Roman" w:cs="Times New Roman" w:eastAsia="Times New Roman" w:hAnsi="Times New Roman"/>
                <w:sz w:val="16"/>
                <w:szCs w:val="16"/>
                <w:color w:val="auto"/>
              </w:rPr>
              <w:t>0.02</w:t>
            </w:r>
          </w:p>
        </w:tc>
      </w:tr>
      <w:tr>
        <w:trPr>
          <w:trHeight w:val="200"/>
        </w:trPr>
        <w:tc>
          <w:tcPr>
            <w:tcW w:w="2980" w:type="dxa"/>
            <w:vAlign w:val="bottom"/>
          </w:tcPr>
          <w:p>
            <w:pPr>
              <w:spacing w:after="0"/>
              <w:rPr>
                <w:sz w:val="20"/>
                <w:szCs w:val="20"/>
                <w:color w:val="auto"/>
              </w:rPr>
            </w:pPr>
            <w:r>
              <w:rPr>
                <w:rFonts w:ascii="Times New Roman" w:cs="Times New Roman" w:eastAsia="Times New Roman" w:hAnsi="Times New Roman"/>
                <w:sz w:val="16"/>
                <w:szCs w:val="16"/>
                <w:color w:val="auto"/>
              </w:rPr>
              <w:t>Always uses monthly budget</w:t>
            </w:r>
          </w:p>
        </w:tc>
        <w:tc>
          <w:tcPr>
            <w:tcW w:w="560" w:type="dxa"/>
            <w:vAlign w:val="bottom"/>
          </w:tcPr>
          <w:p>
            <w:pPr>
              <w:jc w:val="center"/>
              <w:spacing w:after="0"/>
              <w:rPr>
                <w:sz w:val="20"/>
                <w:szCs w:val="20"/>
                <w:color w:val="auto"/>
              </w:rPr>
            </w:pPr>
            <w:r>
              <w:rPr>
                <w:rFonts w:ascii="Times New Roman" w:cs="Times New Roman" w:eastAsia="Times New Roman" w:hAnsi="Times New Roman"/>
                <w:sz w:val="16"/>
                <w:szCs w:val="16"/>
                <w:color w:val="auto"/>
                <w:w w:val="99"/>
              </w:rPr>
              <w:t>0.36</w:t>
            </w:r>
          </w:p>
        </w:tc>
        <w:tc>
          <w:tcPr>
            <w:tcW w:w="660" w:type="dxa"/>
            <w:vAlign w:val="bottom"/>
          </w:tcPr>
          <w:p>
            <w:pPr>
              <w:jc w:val="center"/>
              <w:spacing w:after="0"/>
              <w:rPr>
                <w:sz w:val="20"/>
                <w:szCs w:val="20"/>
                <w:color w:val="auto"/>
              </w:rPr>
            </w:pPr>
            <w:r>
              <w:rPr>
                <w:rFonts w:ascii="Times New Roman" w:cs="Times New Roman" w:eastAsia="Times New Roman" w:hAnsi="Times New Roman"/>
                <w:sz w:val="16"/>
                <w:szCs w:val="16"/>
                <w:color w:val="auto"/>
                <w:w w:val="99"/>
              </w:rPr>
              <w:t>0.39</w:t>
            </w:r>
          </w:p>
        </w:tc>
        <w:tc>
          <w:tcPr>
            <w:tcW w:w="1320" w:type="dxa"/>
            <w:vAlign w:val="bottom"/>
          </w:tcPr>
          <w:p>
            <w:pPr>
              <w:jc w:val="right"/>
              <w:ind w:right="340"/>
              <w:spacing w:after="0"/>
              <w:rPr>
                <w:sz w:val="20"/>
                <w:szCs w:val="20"/>
                <w:color w:val="auto"/>
              </w:rPr>
            </w:pPr>
            <w:r>
              <w:rPr>
                <w:rFonts w:ascii="Times New Roman" w:cs="Times New Roman" w:eastAsia="Times New Roman" w:hAnsi="Times New Roman"/>
                <w:sz w:val="16"/>
                <w:szCs w:val="16"/>
                <w:color w:val="auto"/>
              </w:rPr>
              <w:t>0.03</w:t>
            </w:r>
          </w:p>
        </w:tc>
        <w:tc>
          <w:tcPr>
            <w:tcW w:w="680" w:type="dxa"/>
            <w:vAlign w:val="bottom"/>
            <w:gridSpan w:val="2"/>
          </w:tcPr>
          <w:p>
            <w:pPr>
              <w:jc w:val="center"/>
              <w:spacing w:after="0"/>
              <w:rPr>
                <w:sz w:val="20"/>
                <w:szCs w:val="20"/>
                <w:color w:val="auto"/>
              </w:rPr>
            </w:pPr>
            <w:r>
              <w:rPr>
                <w:rFonts w:ascii="Times New Roman" w:cs="Times New Roman" w:eastAsia="Times New Roman" w:hAnsi="Times New Roman"/>
                <w:sz w:val="16"/>
                <w:szCs w:val="16"/>
                <w:color w:val="auto"/>
                <w:w w:val="99"/>
              </w:rPr>
              <w:t>0.47</w:t>
            </w:r>
          </w:p>
        </w:tc>
        <w:tc>
          <w:tcPr>
            <w:tcW w:w="680" w:type="dxa"/>
            <w:vAlign w:val="bottom"/>
          </w:tcPr>
          <w:p>
            <w:pPr>
              <w:jc w:val="center"/>
              <w:spacing w:after="0"/>
              <w:rPr>
                <w:sz w:val="20"/>
                <w:szCs w:val="20"/>
                <w:color w:val="auto"/>
              </w:rPr>
            </w:pPr>
            <w:r>
              <w:rPr>
                <w:rFonts w:ascii="Times New Roman" w:cs="Times New Roman" w:eastAsia="Times New Roman" w:hAnsi="Times New Roman"/>
                <w:sz w:val="16"/>
                <w:szCs w:val="16"/>
                <w:color w:val="auto"/>
                <w:w w:val="99"/>
              </w:rPr>
              <w:t>0.37</w:t>
            </w:r>
          </w:p>
        </w:tc>
        <w:tc>
          <w:tcPr>
            <w:tcW w:w="1300" w:type="dxa"/>
            <w:vAlign w:val="bottom"/>
          </w:tcPr>
          <w:p>
            <w:pPr>
              <w:jc w:val="right"/>
              <w:ind w:right="400"/>
              <w:spacing w:after="0"/>
              <w:rPr>
                <w:sz w:val="20"/>
                <w:szCs w:val="20"/>
                <w:color w:val="auto"/>
              </w:rPr>
            </w:pPr>
            <w:r>
              <w:rPr>
                <w:rFonts w:ascii="Arial" w:cs="Arial" w:eastAsia="Arial" w:hAnsi="Arial"/>
                <w:sz w:val="16"/>
                <w:szCs w:val="16"/>
                <w:color w:val="auto"/>
              </w:rPr>
              <w:t>2</w:t>
            </w:r>
            <w:r>
              <w:rPr>
                <w:rFonts w:ascii="Times New Roman" w:cs="Times New Roman" w:eastAsia="Times New Roman" w:hAnsi="Times New Roman"/>
                <w:sz w:val="16"/>
                <w:szCs w:val="16"/>
                <w:color w:val="auto"/>
              </w:rPr>
              <w:t>0.10</w:t>
            </w:r>
          </w:p>
        </w:tc>
        <w:tc>
          <w:tcPr>
            <w:tcW w:w="160" w:type="dxa"/>
            <w:vAlign w:val="bottom"/>
          </w:tcPr>
          <w:p>
            <w:pPr>
              <w:spacing w:after="0"/>
              <w:rPr>
                <w:sz w:val="17"/>
                <w:szCs w:val="17"/>
                <w:color w:val="auto"/>
              </w:rPr>
            </w:pPr>
          </w:p>
        </w:tc>
        <w:tc>
          <w:tcPr>
            <w:tcW w:w="1080" w:type="dxa"/>
            <w:vAlign w:val="bottom"/>
          </w:tcPr>
          <w:p>
            <w:pPr>
              <w:jc w:val="right"/>
              <w:ind w:right="300"/>
              <w:spacing w:after="0"/>
              <w:rPr>
                <w:sz w:val="20"/>
                <w:szCs w:val="20"/>
                <w:color w:val="auto"/>
              </w:rPr>
            </w:pPr>
            <w:r>
              <w:rPr>
                <w:rFonts w:ascii="Times New Roman" w:cs="Times New Roman" w:eastAsia="Times New Roman" w:hAnsi="Times New Roman"/>
                <w:sz w:val="16"/>
                <w:szCs w:val="16"/>
                <w:color w:val="auto"/>
              </w:rPr>
              <w:t>0.13</w:t>
            </w:r>
          </w:p>
        </w:tc>
        <w:tc>
          <w:tcPr>
            <w:tcW w:w="1100" w:type="dxa"/>
            <w:vAlign w:val="bottom"/>
          </w:tcPr>
          <w:p>
            <w:pPr>
              <w:jc w:val="right"/>
              <w:ind w:right="240"/>
              <w:spacing w:after="0"/>
              <w:rPr>
                <w:sz w:val="20"/>
                <w:szCs w:val="20"/>
                <w:color w:val="auto"/>
              </w:rPr>
            </w:pPr>
            <w:r>
              <w:rPr>
                <w:rFonts w:ascii="Times New Roman" w:cs="Times New Roman" w:eastAsia="Times New Roman" w:hAnsi="Times New Roman"/>
                <w:sz w:val="16"/>
                <w:szCs w:val="16"/>
                <w:color w:val="auto"/>
              </w:rPr>
              <w:t>0.15</w:t>
            </w:r>
          </w:p>
        </w:tc>
      </w:tr>
      <w:tr>
        <w:trPr>
          <w:trHeight w:val="200"/>
        </w:trPr>
        <w:tc>
          <w:tcPr>
            <w:tcW w:w="2980" w:type="dxa"/>
            <w:vAlign w:val="bottom"/>
          </w:tcPr>
          <w:p>
            <w:pPr>
              <w:spacing w:after="0"/>
              <w:rPr>
                <w:sz w:val="20"/>
                <w:szCs w:val="20"/>
                <w:color w:val="auto"/>
              </w:rPr>
            </w:pPr>
            <w:r>
              <w:rPr>
                <w:rFonts w:ascii="Times New Roman" w:cs="Times New Roman" w:eastAsia="Times New Roman" w:hAnsi="Times New Roman"/>
                <w:sz w:val="16"/>
                <w:szCs w:val="16"/>
                <w:color w:val="auto"/>
              </w:rPr>
              <w:t>Always plans–sets financial goals for future</w:t>
            </w:r>
          </w:p>
        </w:tc>
        <w:tc>
          <w:tcPr>
            <w:tcW w:w="560" w:type="dxa"/>
            <w:vAlign w:val="bottom"/>
          </w:tcPr>
          <w:p>
            <w:pPr>
              <w:jc w:val="center"/>
              <w:spacing w:after="0"/>
              <w:rPr>
                <w:sz w:val="20"/>
                <w:szCs w:val="20"/>
                <w:color w:val="auto"/>
              </w:rPr>
            </w:pPr>
            <w:r>
              <w:rPr>
                <w:rFonts w:ascii="Times New Roman" w:cs="Times New Roman" w:eastAsia="Times New Roman" w:hAnsi="Times New Roman"/>
                <w:sz w:val="16"/>
                <w:szCs w:val="16"/>
                <w:color w:val="auto"/>
                <w:w w:val="99"/>
              </w:rPr>
              <w:t>0.29</w:t>
            </w:r>
          </w:p>
        </w:tc>
        <w:tc>
          <w:tcPr>
            <w:tcW w:w="660" w:type="dxa"/>
            <w:vAlign w:val="bottom"/>
          </w:tcPr>
          <w:p>
            <w:pPr>
              <w:jc w:val="center"/>
              <w:spacing w:after="0"/>
              <w:rPr>
                <w:sz w:val="20"/>
                <w:szCs w:val="20"/>
                <w:color w:val="auto"/>
              </w:rPr>
            </w:pPr>
            <w:r>
              <w:rPr>
                <w:rFonts w:ascii="Times New Roman" w:cs="Times New Roman" w:eastAsia="Times New Roman" w:hAnsi="Times New Roman"/>
                <w:sz w:val="16"/>
                <w:szCs w:val="16"/>
                <w:color w:val="auto"/>
                <w:w w:val="99"/>
              </w:rPr>
              <w:t>0.22</w:t>
            </w:r>
          </w:p>
        </w:tc>
        <w:tc>
          <w:tcPr>
            <w:tcW w:w="1320" w:type="dxa"/>
            <w:vAlign w:val="bottom"/>
          </w:tcPr>
          <w:p>
            <w:pPr>
              <w:jc w:val="right"/>
              <w:ind w:right="340"/>
              <w:spacing w:after="0"/>
              <w:rPr>
                <w:sz w:val="20"/>
                <w:szCs w:val="20"/>
                <w:color w:val="auto"/>
              </w:rPr>
            </w:pPr>
            <w:r>
              <w:rPr>
                <w:rFonts w:ascii="Arial" w:cs="Arial" w:eastAsia="Arial" w:hAnsi="Arial"/>
                <w:sz w:val="16"/>
                <w:szCs w:val="16"/>
                <w:color w:val="auto"/>
              </w:rPr>
              <w:t>2</w:t>
            </w:r>
            <w:r>
              <w:rPr>
                <w:rFonts w:ascii="Times New Roman" w:cs="Times New Roman" w:eastAsia="Times New Roman" w:hAnsi="Times New Roman"/>
                <w:sz w:val="16"/>
                <w:szCs w:val="16"/>
                <w:color w:val="auto"/>
              </w:rPr>
              <w:t>0.07</w:t>
            </w:r>
          </w:p>
        </w:tc>
        <w:tc>
          <w:tcPr>
            <w:tcW w:w="680" w:type="dxa"/>
            <w:vAlign w:val="bottom"/>
            <w:gridSpan w:val="2"/>
          </w:tcPr>
          <w:p>
            <w:pPr>
              <w:jc w:val="center"/>
              <w:spacing w:after="0"/>
              <w:rPr>
                <w:sz w:val="20"/>
                <w:szCs w:val="20"/>
                <w:color w:val="auto"/>
              </w:rPr>
            </w:pPr>
            <w:r>
              <w:rPr>
                <w:rFonts w:ascii="Times New Roman" w:cs="Times New Roman" w:eastAsia="Times New Roman" w:hAnsi="Times New Roman"/>
                <w:sz w:val="16"/>
                <w:szCs w:val="16"/>
                <w:color w:val="auto"/>
                <w:w w:val="99"/>
              </w:rPr>
              <w:t>0.27</w:t>
            </w:r>
          </w:p>
        </w:tc>
        <w:tc>
          <w:tcPr>
            <w:tcW w:w="680" w:type="dxa"/>
            <w:vAlign w:val="bottom"/>
          </w:tcPr>
          <w:p>
            <w:pPr>
              <w:jc w:val="center"/>
              <w:spacing w:after="0"/>
              <w:rPr>
                <w:sz w:val="20"/>
                <w:szCs w:val="20"/>
                <w:color w:val="auto"/>
              </w:rPr>
            </w:pPr>
            <w:r>
              <w:rPr>
                <w:rFonts w:ascii="Times New Roman" w:cs="Times New Roman" w:eastAsia="Times New Roman" w:hAnsi="Times New Roman"/>
                <w:sz w:val="16"/>
                <w:szCs w:val="16"/>
                <w:color w:val="auto"/>
                <w:w w:val="99"/>
              </w:rPr>
              <w:t>0.35</w:t>
            </w:r>
          </w:p>
        </w:tc>
        <w:tc>
          <w:tcPr>
            <w:tcW w:w="1300" w:type="dxa"/>
            <w:vAlign w:val="bottom"/>
          </w:tcPr>
          <w:p>
            <w:pPr>
              <w:jc w:val="right"/>
              <w:ind w:right="400"/>
              <w:spacing w:after="0"/>
              <w:rPr>
                <w:sz w:val="20"/>
                <w:szCs w:val="20"/>
                <w:color w:val="auto"/>
              </w:rPr>
            </w:pPr>
            <w:r>
              <w:rPr>
                <w:rFonts w:ascii="Times New Roman" w:cs="Times New Roman" w:eastAsia="Times New Roman" w:hAnsi="Times New Roman"/>
                <w:sz w:val="16"/>
                <w:szCs w:val="16"/>
                <w:color w:val="auto"/>
              </w:rPr>
              <w:t>0.08</w:t>
            </w:r>
          </w:p>
        </w:tc>
        <w:tc>
          <w:tcPr>
            <w:tcW w:w="160" w:type="dxa"/>
            <w:vAlign w:val="bottom"/>
          </w:tcPr>
          <w:p>
            <w:pPr>
              <w:spacing w:after="0"/>
              <w:rPr>
                <w:sz w:val="17"/>
                <w:szCs w:val="17"/>
                <w:color w:val="auto"/>
              </w:rPr>
            </w:pPr>
          </w:p>
        </w:tc>
        <w:tc>
          <w:tcPr>
            <w:tcW w:w="1080" w:type="dxa"/>
            <w:vAlign w:val="bottom"/>
          </w:tcPr>
          <w:p>
            <w:pPr>
              <w:jc w:val="right"/>
              <w:ind w:right="300"/>
              <w:spacing w:after="0"/>
              <w:rPr>
                <w:sz w:val="20"/>
                <w:szCs w:val="20"/>
                <w:color w:val="auto"/>
              </w:rPr>
            </w:pPr>
            <w:r>
              <w:rPr>
                <w:rFonts w:ascii="Arial" w:cs="Arial" w:eastAsia="Arial" w:hAnsi="Arial"/>
                <w:sz w:val="16"/>
                <w:szCs w:val="16"/>
                <w:color w:val="auto"/>
              </w:rPr>
              <w:t>2</w:t>
            </w:r>
            <w:r>
              <w:rPr>
                <w:rFonts w:ascii="Times New Roman" w:cs="Times New Roman" w:eastAsia="Times New Roman" w:hAnsi="Times New Roman"/>
                <w:sz w:val="16"/>
                <w:szCs w:val="16"/>
                <w:color w:val="auto"/>
              </w:rPr>
              <w:t>0.15</w:t>
            </w:r>
          </w:p>
        </w:tc>
        <w:tc>
          <w:tcPr>
            <w:tcW w:w="1100" w:type="dxa"/>
            <w:vAlign w:val="bottom"/>
          </w:tcPr>
          <w:p>
            <w:pPr>
              <w:jc w:val="right"/>
              <w:ind w:right="240"/>
              <w:spacing w:after="0"/>
              <w:rPr>
                <w:sz w:val="20"/>
                <w:szCs w:val="20"/>
                <w:color w:val="auto"/>
              </w:rPr>
            </w:pPr>
            <w:r>
              <w:rPr>
                <w:rFonts w:ascii="Arial" w:cs="Arial" w:eastAsia="Arial" w:hAnsi="Arial"/>
                <w:sz w:val="16"/>
                <w:szCs w:val="16"/>
                <w:color w:val="auto"/>
              </w:rPr>
              <w:t>2</w:t>
            </w:r>
            <w:r>
              <w:rPr>
                <w:rFonts w:ascii="Times New Roman" w:cs="Times New Roman" w:eastAsia="Times New Roman" w:hAnsi="Times New Roman"/>
                <w:sz w:val="16"/>
                <w:szCs w:val="16"/>
                <w:color w:val="auto"/>
              </w:rPr>
              <w:t>0.12</w:t>
            </w:r>
          </w:p>
        </w:tc>
      </w:tr>
      <w:tr>
        <w:trPr>
          <w:trHeight w:val="190"/>
        </w:trPr>
        <w:tc>
          <w:tcPr>
            <w:tcW w:w="2980" w:type="dxa"/>
            <w:vAlign w:val="bottom"/>
          </w:tcPr>
          <w:p>
            <w:pPr>
              <w:spacing w:after="0"/>
              <w:rPr>
                <w:sz w:val="20"/>
                <w:szCs w:val="20"/>
                <w:color w:val="auto"/>
              </w:rPr>
            </w:pPr>
            <w:r>
              <w:rPr>
                <w:rFonts w:ascii="Times New Roman" w:cs="Times New Roman" w:eastAsia="Times New Roman" w:hAnsi="Times New Roman"/>
                <w:sz w:val="16"/>
                <w:szCs w:val="16"/>
                <w:color w:val="auto"/>
              </w:rPr>
              <w:t>Always pays bills on time</w:t>
            </w:r>
          </w:p>
        </w:tc>
        <w:tc>
          <w:tcPr>
            <w:tcW w:w="560" w:type="dxa"/>
            <w:vAlign w:val="bottom"/>
          </w:tcPr>
          <w:p>
            <w:pPr>
              <w:jc w:val="center"/>
              <w:spacing w:after="0"/>
              <w:rPr>
                <w:sz w:val="20"/>
                <w:szCs w:val="20"/>
                <w:color w:val="auto"/>
              </w:rPr>
            </w:pPr>
            <w:r>
              <w:rPr>
                <w:rFonts w:ascii="Times New Roman" w:cs="Times New Roman" w:eastAsia="Times New Roman" w:hAnsi="Times New Roman"/>
                <w:sz w:val="16"/>
                <w:szCs w:val="16"/>
                <w:color w:val="auto"/>
                <w:w w:val="99"/>
              </w:rPr>
              <w:t>0.59</w:t>
            </w:r>
          </w:p>
        </w:tc>
        <w:tc>
          <w:tcPr>
            <w:tcW w:w="660" w:type="dxa"/>
            <w:vAlign w:val="bottom"/>
          </w:tcPr>
          <w:p>
            <w:pPr>
              <w:jc w:val="center"/>
              <w:spacing w:after="0"/>
              <w:rPr>
                <w:sz w:val="20"/>
                <w:szCs w:val="20"/>
                <w:color w:val="auto"/>
              </w:rPr>
            </w:pPr>
            <w:r>
              <w:rPr>
                <w:rFonts w:ascii="Times New Roman" w:cs="Times New Roman" w:eastAsia="Times New Roman" w:hAnsi="Times New Roman"/>
                <w:sz w:val="16"/>
                <w:szCs w:val="16"/>
                <w:color w:val="auto"/>
                <w:w w:val="99"/>
              </w:rPr>
              <w:t>0.65</w:t>
            </w:r>
          </w:p>
        </w:tc>
        <w:tc>
          <w:tcPr>
            <w:tcW w:w="1320" w:type="dxa"/>
            <w:vAlign w:val="bottom"/>
          </w:tcPr>
          <w:p>
            <w:pPr>
              <w:jc w:val="right"/>
              <w:ind w:right="340"/>
              <w:spacing w:after="0"/>
              <w:rPr>
                <w:sz w:val="20"/>
                <w:szCs w:val="20"/>
                <w:color w:val="auto"/>
              </w:rPr>
            </w:pPr>
            <w:r>
              <w:rPr>
                <w:rFonts w:ascii="Times New Roman" w:cs="Times New Roman" w:eastAsia="Times New Roman" w:hAnsi="Times New Roman"/>
                <w:sz w:val="16"/>
                <w:szCs w:val="16"/>
                <w:color w:val="auto"/>
              </w:rPr>
              <w:t>0.06</w:t>
            </w:r>
          </w:p>
        </w:tc>
        <w:tc>
          <w:tcPr>
            <w:tcW w:w="680" w:type="dxa"/>
            <w:vAlign w:val="bottom"/>
            <w:gridSpan w:val="2"/>
          </w:tcPr>
          <w:p>
            <w:pPr>
              <w:jc w:val="center"/>
              <w:spacing w:after="0"/>
              <w:rPr>
                <w:sz w:val="20"/>
                <w:szCs w:val="20"/>
                <w:color w:val="auto"/>
              </w:rPr>
            </w:pPr>
            <w:r>
              <w:rPr>
                <w:rFonts w:ascii="Times New Roman" w:cs="Times New Roman" w:eastAsia="Times New Roman" w:hAnsi="Times New Roman"/>
                <w:sz w:val="16"/>
                <w:szCs w:val="16"/>
                <w:color w:val="auto"/>
                <w:w w:val="99"/>
              </w:rPr>
              <w:t>0.54</w:t>
            </w:r>
          </w:p>
        </w:tc>
        <w:tc>
          <w:tcPr>
            <w:tcW w:w="680" w:type="dxa"/>
            <w:vAlign w:val="bottom"/>
          </w:tcPr>
          <w:p>
            <w:pPr>
              <w:jc w:val="center"/>
              <w:spacing w:after="0"/>
              <w:rPr>
                <w:sz w:val="20"/>
                <w:szCs w:val="20"/>
                <w:color w:val="auto"/>
              </w:rPr>
            </w:pPr>
            <w:r>
              <w:rPr>
                <w:rFonts w:ascii="Times New Roman" w:cs="Times New Roman" w:eastAsia="Times New Roman" w:hAnsi="Times New Roman"/>
                <w:sz w:val="16"/>
                <w:szCs w:val="16"/>
                <w:color w:val="auto"/>
                <w:w w:val="99"/>
              </w:rPr>
              <w:t>0.57</w:t>
            </w:r>
          </w:p>
        </w:tc>
        <w:tc>
          <w:tcPr>
            <w:tcW w:w="1300" w:type="dxa"/>
            <w:vAlign w:val="bottom"/>
          </w:tcPr>
          <w:p>
            <w:pPr>
              <w:jc w:val="right"/>
              <w:ind w:right="400"/>
              <w:spacing w:after="0"/>
              <w:rPr>
                <w:sz w:val="20"/>
                <w:szCs w:val="20"/>
                <w:color w:val="auto"/>
              </w:rPr>
            </w:pPr>
            <w:r>
              <w:rPr>
                <w:rFonts w:ascii="Times New Roman" w:cs="Times New Roman" w:eastAsia="Times New Roman" w:hAnsi="Times New Roman"/>
                <w:sz w:val="16"/>
                <w:szCs w:val="16"/>
                <w:color w:val="auto"/>
              </w:rPr>
              <w:t>0.03</w:t>
            </w:r>
          </w:p>
        </w:tc>
        <w:tc>
          <w:tcPr>
            <w:tcW w:w="160" w:type="dxa"/>
            <w:vAlign w:val="bottom"/>
          </w:tcPr>
          <w:p>
            <w:pPr>
              <w:spacing w:after="0"/>
              <w:rPr>
                <w:sz w:val="16"/>
                <w:szCs w:val="16"/>
                <w:color w:val="auto"/>
              </w:rPr>
            </w:pPr>
          </w:p>
        </w:tc>
        <w:tc>
          <w:tcPr>
            <w:tcW w:w="1080" w:type="dxa"/>
            <w:vAlign w:val="bottom"/>
          </w:tcPr>
          <w:p>
            <w:pPr>
              <w:jc w:val="right"/>
              <w:ind w:right="300"/>
              <w:spacing w:after="0"/>
              <w:rPr>
                <w:sz w:val="20"/>
                <w:szCs w:val="20"/>
                <w:color w:val="auto"/>
              </w:rPr>
            </w:pPr>
            <w:r>
              <w:rPr>
                <w:rFonts w:ascii="Times New Roman" w:cs="Times New Roman" w:eastAsia="Times New Roman" w:hAnsi="Times New Roman"/>
                <w:sz w:val="16"/>
                <w:szCs w:val="16"/>
                <w:color w:val="auto"/>
              </w:rPr>
              <w:t>0.03</w:t>
            </w:r>
          </w:p>
        </w:tc>
        <w:tc>
          <w:tcPr>
            <w:tcW w:w="1100" w:type="dxa"/>
            <w:vAlign w:val="bottom"/>
          </w:tcPr>
          <w:p>
            <w:pPr>
              <w:jc w:val="right"/>
              <w:ind w:right="240"/>
              <w:spacing w:after="0"/>
              <w:rPr>
                <w:sz w:val="20"/>
                <w:szCs w:val="20"/>
                <w:color w:val="auto"/>
              </w:rPr>
            </w:pPr>
            <w:r>
              <w:rPr>
                <w:rFonts w:ascii="Times New Roman" w:cs="Times New Roman" w:eastAsia="Times New Roman" w:hAnsi="Times New Roman"/>
                <w:sz w:val="16"/>
                <w:szCs w:val="16"/>
                <w:color w:val="auto"/>
              </w:rPr>
              <w:t>0.08</w:t>
            </w:r>
          </w:p>
        </w:tc>
      </w:tr>
      <w:tr>
        <w:trPr>
          <w:trHeight w:val="236"/>
        </w:trPr>
        <w:tc>
          <w:tcPr>
            <w:tcW w:w="2980" w:type="dxa"/>
            <w:vAlign w:val="bottom"/>
          </w:tcPr>
          <w:p>
            <w:pPr>
              <w:spacing w:after="0" w:line="236" w:lineRule="exact"/>
              <w:rPr>
                <w:sz w:val="20"/>
                <w:szCs w:val="20"/>
                <w:color w:val="auto"/>
              </w:rPr>
            </w:pPr>
            <w:r>
              <w:rPr>
                <w:rFonts w:ascii="Times New Roman" w:cs="Times New Roman" w:eastAsia="Times New Roman" w:hAnsi="Times New Roman"/>
                <w:sz w:val="16"/>
                <w:szCs w:val="16"/>
                <w:color w:val="auto"/>
              </w:rPr>
              <w:t>Pays credit card balance each month</w:t>
            </w:r>
            <w:r>
              <w:rPr>
                <w:rFonts w:ascii="Times New Roman" w:cs="Times New Roman" w:eastAsia="Times New Roman" w:hAnsi="Times New Roman"/>
                <w:sz w:val="23"/>
                <w:szCs w:val="23"/>
                <w:color w:val="auto"/>
                <w:vertAlign w:val="superscript"/>
              </w:rPr>
              <w:t>a</w:t>
            </w:r>
          </w:p>
        </w:tc>
        <w:tc>
          <w:tcPr>
            <w:tcW w:w="560" w:type="dxa"/>
            <w:vAlign w:val="bottom"/>
          </w:tcPr>
          <w:p>
            <w:pPr>
              <w:jc w:val="center"/>
              <w:spacing w:after="0"/>
              <w:rPr>
                <w:sz w:val="20"/>
                <w:szCs w:val="20"/>
                <w:color w:val="auto"/>
              </w:rPr>
            </w:pPr>
            <w:r>
              <w:rPr>
                <w:rFonts w:ascii="Times New Roman" w:cs="Times New Roman" w:eastAsia="Times New Roman" w:hAnsi="Times New Roman"/>
                <w:sz w:val="16"/>
                <w:szCs w:val="16"/>
                <w:color w:val="auto"/>
                <w:w w:val="99"/>
              </w:rPr>
              <w:t>0.12</w:t>
            </w:r>
          </w:p>
        </w:tc>
        <w:tc>
          <w:tcPr>
            <w:tcW w:w="660" w:type="dxa"/>
            <w:vAlign w:val="bottom"/>
          </w:tcPr>
          <w:p>
            <w:pPr>
              <w:jc w:val="center"/>
              <w:spacing w:after="0"/>
              <w:rPr>
                <w:sz w:val="20"/>
                <w:szCs w:val="20"/>
                <w:color w:val="auto"/>
              </w:rPr>
            </w:pPr>
            <w:r>
              <w:rPr>
                <w:rFonts w:ascii="Times New Roman" w:cs="Times New Roman" w:eastAsia="Times New Roman" w:hAnsi="Times New Roman"/>
                <w:sz w:val="16"/>
                <w:szCs w:val="16"/>
                <w:color w:val="auto"/>
                <w:w w:val="99"/>
              </w:rPr>
              <w:t>0.15</w:t>
            </w:r>
          </w:p>
        </w:tc>
        <w:tc>
          <w:tcPr>
            <w:tcW w:w="1320" w:type="dxa"/>
            <w:vAlign w:val="bottom"/>
          </w:tcPr>
          <w:p>
            <w:pPr>
              <w:jc w:val="right"/>
              <w:ind w:right="340"/>
              <w:spacing w:after="0"/>
              <w:rPr>
                <w:sz w:val="20"/>
                <w:szCs w:val="20"/>
                <w:color w:val="auto"/>
              </w:rPr>
            </w:pPr>
            <w:r>
              <w:rPr>
                <w:rFonts w:ascii="Times New Roman" w:cs="Times New Roman" w:eastAsia="Times New Roman" w:hAnsi="Times New Roman"/>
                <w:sz w:val="16"/>
                <w:szCs w:val="16"/>
                <w:color w:val="auto"/>
              </w:rPr>
              <w:t>0.03</w:t>
            </w:r>
          </w:p>
        </w:tc>
        <w:tc>
          <w:tcPr>
            <w:tcW w:w="680" w:type="dxa"/>
            <w:vAlign w:val="bottom"/>
            <w:gridSpan w:val="2"/>
          </w:tcPr>
          <w:p>
            <w:pPr>
              <w:jc w:val="center"/>
              <w:spacing w:after="0"/>
              <w:rPr>
                <w:sz w:val="20"/>
                <w:szCs w:val="20"/>
                <w:color w:val="auto"/>
              </w:rPr>
            </w:pPr>
            <w:r>
              <w:rPr>
                <w:rFonts w:ascii="Times New Roman" w:cs="Times New Roman" w:eastAsia="Times New Roman" w:hAnsi="Times New Roman"/>
                <w:sz w:val="16"/>
                <w:szCs w:val="16"/>
                <w:color w:val="auto"/>
                <w:w w:val="99"/>
              </w:rPr>
              <w:t>0.14</w:t>
            </w:r>
          </w:p>
        </w:tc>
        <w:tc>
          <w:tcPr>
            <w:tcW w:w="680" w:type="dxa"/>
            <w:vAlign w:val="bottom"/>
          </w:tcPr>
          <w:p>
            <w:pPr>
              <w:jc w:val="center"/>
              <w:spacing w:after="0"/>
              <w:rPr>
                <w:sz w:val="20"/>
                <w:szCs w:val="20"/>
                <w:color w:val="auto"/>
              </w:rPr>
            </w:pPr>
            <w:r>
              <w:rPr>
                <w:rFonts w:ascii="Times New Roman" w:cs="Times New Roman" w:eastAsia="Times New Roman" w:hAnsi="Times New Roman"/>
                <w:sz w:val="16"/>
                <w:szCs w:val="16"/>
                <w:color w:val="auto"/>
                <w:w w:val="99"/>
              </w:rPr>
              <w:t>0.11</w:t>
            </w:r>
          </w:p>
        </w:tc>
        <w:tc>
          <w:tcPr>
            <w:tcW w:w="1300" w:type="dxa"/>
            <w:vAlign w:val="bottom"/>
          </w:tcPr>
          <w:p>
            <w:pPr>
              <w:jc w:val="right"/>
              <w:ind w:right="400"/>
              <w:spacing w:after="0"/>
              <w:rPr>
                <w:sz w:val="20"/>
                <w:szCs w:val="20"/>
                <w:color w:val="auto"/>
              </w:rPr>
            </w:pPr>
            <w:r>
              <w:rPr>
                <w:rFonts w:ascii="Arial" w:cs="Arial" w:eastAsia="Arial" w:hAnsi="Arial"/>
                <w:sz w:val="16"/>
                <w:szCs w:val="16"/>
                <w:color w:val="auto"/>
              </w:rPr>
              <w:t>2</w:t>
            </w:r>
            <w:r>
              <w:rPr>
                <w:rFonts w:ascii="Times New Roman" w:cs="Times New Roman" w:eastAsia="Times New Roman" w:hAnsi="Times New Roman"/>
                <w:sz w:val="16"/>
                <w:szCs w:val="16"/>
                <w:color w:val="auto"/>
              </w:rPr>
              <w:t>0.03</w:t>
            </w:r>
          </w:p>
        </w:tc>
        <w:tc>
          <w:tcPr>
            <w:tcW w:w="160" w:type="dxa"/>
            <w:vAlign w:val="bottom"/>
          </w:tcPr>
          <w:p>
            <w:pPr>
              <w:spacing w:after="0"/>
              <w:rPr>
                <w:sz w:val="20"/>
                <w:szCs w:val="20"/>
                <w:color w:val="auto"/>
              </w:rPr>
            </w:pPr>
          </w:p>
        </w:tc>
        <w:tc>
          <w:tcPr>
            <w:tcW w:w="1080" w:type="dxa"/>
            <w:vAlign w:val="bottom"/>
          </w:tcPr>
          <w:p>
            <w:pPr>
              <w:jc w:val="right"/>
              <w:ind w:right="300"/>
              <w:spacing w:after="0"/>
              <w:rPr>
                <w:sz w:val="20"/>
                <w:szCs w:val="20"/>
                <w:color w:val="auto"/>
              </w:rPr>
            </w:pPr>
            <w:r>
              <w:rPr>
                <w:rFonts w:ascii="Times New Roman" w:cs="Times New Roman" w:eastAsia="Times New Roman" w:hAnsi="Times New Roman"/>
                <w:sz w:val="16"/>
                <w:szCs w:val="16"/>
                <w:color w:val="auto"/>
              </w:rPr>
              <w:t>0.06</w:t>
            </w:r>
          </w:p>
        </w:tc>
        <w:tc>
          <w:tcPr>
            <w:tcW w:w="1100" w:type="dxa"/>
            <w:vAlign w:val="bottom"/>
          </w:tcPr>
          <w:p>
            <w:pPr>
              <w:jc w:val="right"/>
              <w:ind w:right="240"/>
              <w:spacing w:after="0"/>
              <w:rPr>
                <w:sz w:val="20"/>
                <w:szCs w:val="20"/>
                <w:color w:val="auto"/>
              </w:rPr>
            </w:pPr>
            <w:r>
              <w:rPr>
                <w:rFonts w:ascii="Times New Roman" w:cs="Times New Roman" w:eastAsia="Times New Roman" w:hAnsi="Times New Roman"/>
                <w:sz w:val="16"/>
                <w:szCs w:val="16"/>
                <w:color w:val="auto"/>
              </w:rPr>
              <w:t>0.05</w:t>
            </w:r>
          </w:p>
        </w:tc>
      </w:tr>
      <w:tr>
        <w:trPr>
          <w:trHeight w:val="171"/>
        </w:trPr>
        <w:tc>
          <w:tcPr>
            <w:tcW w:w="2980" w:type="dxa"/>
            <w:vAlign w:val="bottom"/>
          </w:tcPr>
          <w:p>
            <w:pPr>
              <w:spacing w:after="0" w:line="163" w:lineRule="exact"/>
              <w:rPr>
                <w:sz w:val="20"/>
                <w:szCs w:val="20"/>
                <w:color w:val="auto"/>
              </w:rPr>
            </w:pPr>
            <w:r>
              <w:rPr>
                <w:rFonts w:ascii="Times New Roman" w:cs="Times New Roman" w:eastAsia="Times New Roman" w:hAnsi="Times New Roman"/>
                <w:sz w:val="16"/>
                <w:szCs w:val="16"/>
                <w:color w:val="auto"/>
              </w:rPr>
              <w:t>Knows mutual funds have risk</w:t>
            </w:r>
          </w:p>
        </w:tc>
        <w:tc>
          <w:tcPr>
            <w:tcW w:w="560" w:type="dxa"/>
            <w:vAlign w:val="bottom"/>
          </w:tcPr>
          <w:p>
            <w:pPr>
              <w:jc w:val="center"/>
              <w:spacing w:after="0" w:line="163" w:lineRule="exact"/>
              <w:rPr>
                <w:sz w:val="20"/>
                <w:szCs w:val="20"/>
                <w:color w:val="auto"/>
              </w:rPr>
            </w:pPr>
            <w:r>
              <w:rPr>
                <w:rFonts w:ascii="Times New Roman" w:cs="Times New Roman" w:eastAsia="Times New Roman" w:hAnsi="Times New Roman"/>
                <w:sz w:val="16"/>
                <w:szCs w:val="16"/>
                <w:color w:val="auto"/>
                <w:w w:val="99"/>
              </w:rPr>
              <w:t>0.33</w:t>
            </w:r>
          </w:p>
        </w:tc>
        <w:tc>
          <w:tcPr>
            <w:tcW w:w="660" w:type="dxa"/>
            <w:vAlign w:val="bottom"/>
          </w:tcPr>
          <w:p>
            <w:pPr>
              <w:jc w:val="center"/>
              <w:spacing w:after="0" w:line="163" w:lineRule="exact"/>
              <w:rPr>
                <w:sz w:val="20"/>
                <w:szCs w:val="20"/>
                <w:color w:val="auto"/>
              </w:rPr>
            </w:pPr>
            <w:r>
              <w:rPr>
                <w:rFonts w:ascii="Times New Roman" w:cs="Times New Roman" w:eastAsia="Times New Roman" w:hAnsi="Times New Roman"/>
                <w:sz w:val="16"/>
                <w:szCs w:val="16"/>
                <w:color w:val="auto"/>
                <w:w w:val="99"/>
              </w:rPr>
              <w:t>0.31</w:t>
            </w:r>
          </w:p>
        </w:tc>
        <w:tc>
          <w:tcPr>
            <w:tcW w:w="1320" w:type="dxa"/>
            <w:vAlign w:val="bottom"/>
          </w:tcPr>
          <w:p>
            <w:pPr>
              <w:jc w:val="right"/>
              <w:ind w:right="340"/>
              <w:spacing w:after="0" w:line="171" w:lineRule="exact"/>
              <w:rPr>
                <w:sz w:val="20"/>
                <w:szCs w:val="20"/>
                <w:color w:val="auto"/>
              </w:rPr>
            </w:pPr>
            <w:r>
              <w:rPr>
                <w:rFonts w:ascii="Arial" w:cs="Arial" w:eastAsia="Arial" w:hAnsi="Arial"/>
                <w:sz w:val="16"/>
                <w:szCs w:val="16"/>
                <w:color w:val="auto"/>
              </w:rPr>
              <w:t>2</w:t>
            </w:r>
            <w:r>
              <w:rPr>
                <w:rFonts w:ascii="Times New Roman" w:cs="Times New Roman" w:eastAsia="Times New Roman" w:hAnsi="Times New Roman"/>
                <w:sz w:val="16"/>
                <w:szCs w:val="16"/>
                <w:color w:val="auto"/>
              </w:rPr>
              <w:t>0.02</w:t>
            </w:r>
          </w:p>
        </w:tc>
        <w:tc>
          <w:tcPr>
            <w:tcW w:w="680" w:type="dxa"/>
            <w:vAlign w:val="bottom"/>
            <w:gridSpan w:val="2"/>
          </w:tcPr>
          <w:p>
            <w:pPr>
              <w:jc w:val="center"/>
              <w:spacing w:after="0" w:line="163" w:lineRule="exact"/>
              <w:rPr>
                <w:sz w:val="20"/>
                <w:szCs w:val="20"/>
                <w:color w:val="auto"/>
              </w:rPr>
            </w:pPr>
            <w:r>
              <w:rPr>
                <w:rFonts w:ascii="Times New Roman" w:cs="Times New Roman" w:eastAsia="Times New Roman" w:hAnsi="Times New Roman"/>
                <w:sz w:val="16"/>
                <w:szCs w:val="16"/>
                <w:color w:val="auto"/>
                <w:w w:val="99"/>
              </w:rPr>
              <w:t>0.31</w:t>
            </w:r>
          </w:p>
        </w:tc>
        <w:tc>
          <w:tcPr>
            <w:tcW w:w="680" w:type="dxa"/>
            <w:vAlign w:val="bottom"/>
          </w:tcPr>
          <w:p>
            <w:pPr>
              <w:jc w:val="center"/>
              <w:spacing w:after="0" w:line="163" w:lineRule="exact"/>
              <w:rPr>
                <w:sz w:val="20"/>
                <w:szCs w:val="20"/>
                <w:color w:val="auto"/>
              </w:rPr>
            </w:pPr>
            <w:r>
              <w:rPr>
                <w:rFonts w:ascii="Times New Roman" w:cs="Times New Roman" w:eastAsia="Times New Roman" w:hAnsi="Times New Roman"/>
                <w:sz w:val="16"/>
                <w:szCs w:val="16"/>
                <w:color w:val="auto"/>
                <w:w w:val="99"/>
              </w:rPr>
              <w:t>0.30</w:t>
            </w:r>
          </w:p>
        </w:tc>
        <w:tc>
          <w:tcPr>
            <w:tcW w:w="1300" w:type="dxa"/>
            <w:vAlign w:val="bottom"/>
          </w:tcPr>
          <w:p>
            <w:pPr>
              <w:jc w:val="right"/>
              <w:ind w:right="400"/>
              <w:spacing w:after="0" w:line="171" w:lineRule="exact"/>
              <w:rPr>
                <w:sz w:val="20"/>
                <w:szCs w:val="20"/>
                <w:color w:val="auto"/>
              </w:rPr>
            </w:pPr>
            <w:r>
              <w:rPr>
                <w:rFonts w:ascii="Arial" w:cs="Arial" w:eastAsia="Arial" w:hAnsi="Arial"/>
                <w:sz w:val="16"/>
                <w:szCs w:val="16"/>
                <w:color w:val="auto"/>
              </w:rPr>
              <w:t>2</w:t>
            </w:r>
            <w:r>
              <w:rPr>
                <w:rFonts w:ascii="Times New Roman" w:cs="Times New Roman" w:eastAsia="Times New Roman" w:hAnsi="Times New Roman"/>
                <w:sz w:val="16"/>
                <w:szCs w:val="16"/>
                <w:color w:val="auto"/>
              </w:rPr>
              <w:t>0.01</w:t>
            </w:r>
          </w:p>
        </w:tc>
        <w:tc>
          <w:tcPr>
            <w:tcW w:w="160" w:type="dxa"/>
            <w:vAlign w:val="bottom"/>
          </w:tcPr>
          <w:p>
            <w:pPr>
              <w:spacing w:after="0"/>
              <w:rPr>
                <w:sz w:val="14"/>
                <w:szCs w:val="14"/>
                <w:color w:val="auto"/>
              </w:rPr>
            </w:pPr>
          </w:p>
        </w:tc>
        <w:tc>
          <w:tcPr>
            <w:tcW w:w="1080" w:type="dxa"/>
            <w:vAlign w:val="bottom"/>
          </w:tcPr>
          <w:p>
            <w:pPr>
              <w:jc w:val="right"/>
              <w:ind w:right="300"/>
              <w:spacing w:after="0" w:line="171" w:lineRule="exact"/>
              <w:rPr>
                <w:sz w:val="20"/>
                <w:szCs w:val="20"/>
                <w:color w:val="auto"/>
              </w:rPr>
            </w:pPr>
            <w:r>
              <w:rPr>
                <w:rFonts w:ascii="Arial" w:cs="Arial" w:eastAsia="Arial" w:hAnsi="Arial"/>
                <w:sz w:val="16"/>
                <w:szCs w:val="16"/>
                <w:color w:val="auto"/>
              </w:rPr>
              <w:t>2</w:t>
            </w:r>
            <w:r>
              <w:rPr>
                <w:rFonts w:ascii="Times New Roman" w:cs="Times New Roman" w:eastAsia="Times New Roman" w:hAnsi="Times New Roman"/>
                <w:sz w:val="16"/>
                <w:szCs w:val="16"/>
                <w:color w:val="auto"/>
              </w:rPr>
              <w:t>0.01</w:t>
            </w:r>
          </w:p>
        </w:tc>
        <w:tc>
          <w:tcPr>
            <w:tcW w:w="1100" w:type="dxa"/>
            <w:vAlign w:val="bottom"/>
          </w:tcPr>
          <w:p>
            <w:pPr>
              <w:jc w:val="right"/>
              <w:ind w:right="240"/>
              <w:spacing w:after="0" w:line="171" w:lineRule="exact"/>
              <w:rPr>
                <w:sz w:val="20"/>
                <w:szCs w:val="20"/>
                <w:color w:val="auto"/>
              </w:rPr>
            </w:pPr>
            <w:r>
              <w:rPr>
                <w:rFonts w:ascii="Arial" w:cs="Arial" w:eastAsia="Arial" w:hAnsi="Arial"/>
                <w:sz w:val="16"/>
                <w:szCs w:val="16"/>
                <w:color w:val="auto"/>
              </w:rPr>
              <w:t>2</w:t>
            </w:r>
            <w:r>
              <w:rPr>
                <w:rFonts w:ascii="Times New Roman" w:cs="Times New Roman" w:eastAsia="Times New Roman" w:hAnsi="Times New Roman"/>
                <w:sz w:val="16"/>
                <w:szCs w:val="16"/>
                <w:color w:val="auto"/>
              </w:rPr>
              <w:t>0.01</w:t>
            </w:r>
          </w:p>
        </w:tc>
      </w:tr>
      <w:tr>
        <w:trPr>
          <w:trHeight w:val="200"/>
        </w:trPr>
        <w:tc>
          <w:tcPr>
            <w:tcW w:w="2980" w:type="dxa"/>
            <w:vAlign w:val="bottom"/>
          </w:tcPr>
          <w:p>
            <w:pPr>
              <w:spacing w:after="0"/>
              <w:rPr>
                <w:sz w:val="20"/>
                <w:szCs w:val="20"/>
                <w:color w:val="auto"/>
              </w:rPr>
            </w:pPr>
            <w:r>
              <w:rPr>
                <w:rFonts w:ascii="Times New Roman" w:cs="Times New Roman" w:eastAsia="Times New Roman" w:hAnsi="Times New Roman"/>
                <w:sz w:val="16"/>
                <w:szCs w:val="16"/>
                <w:color w:val="auto"/>
              </w:rPr>
              <w:t>Knows how to minimize cc interest</w:t>
            </w:r>
          </w:p>
        </w:tc>
        <w:tc>
          <w:tcPr>
            <w:tcW w:w="560" w:type="dxa"/>
            <w:vAlign w:val="bottom"/>
          </w:tcPr>
          <w:p>
            <w:pPr>
              <w:jc w:val="center"/>
              <w:spacing w:after="0"/>
              <w:rPr>
                <w:sz w:val="20"/>
                <w:szCs w:val="20"/>
                <w:color w:val="auto"/>
              </w:rPr>
            </w:pPr>
            <w:r>
              <w:rPr>
                <w:rFonts w:ascii="Times New Roman" w:cs="Times New Roman" w:eastAsia="Times New Roman" w:hAnsi="Times New Roman"/>
                <w:sz w:val="16"/>
                <w:szCs w:val="16"/>
                <w:color w:val="auto"/>
                <w:w w:val="99"/>
              </w:rPr>
              <w:t>0.89</w:t>
            </w:r>
          </w:p>
        </w:tc>
        <w:tc>
          <w:tcPr>
            <w:tcW w:w="660" w:type="dxa"/>
            <w:vAlign w:val="bottom"/>
          </w:tcPr>
          <w:p>
            <w:pPr>
              <w:jc w:val="center"/>
              <w:spacing w:after="0"/>
              <w:rPr>
                <w:sz w:val="20"/>
                <w:szCs w:val="20"/>
                <w:color w:val="auto"/>
              </w:rPr>
            </w:pPr>
            <w:r>
              <w:rPr>
                <w:rFonts w:ascii="Times New Roman" w:cs="Times New Roman" w:eastAsia="Times New Roman" w:hAnsi="Times New Roman"/>
                <w:sz w:val="16"/>
                <w:szCs w:val="16"/>
                <w:color w:val="auto"/>
                <w:w w:val="99"/>
              </w:rPr>
              <w:t>0.86</w:t>
            </w:r>
          </w:p>
        </w:tc>
        <w:tc>
          <w:tcPr>
            <w:tcW w:w="1320" w:type="dxa"/>
            <w:vAlign w:val="bottom"/>
          </w:tcPr>
          <w:p>
            <w:pPr>
              <w:jc w:val="right"/>
              <w:ind w:right="340"/>
              <w:spacing w:after="0"/>
              <w:rPr>
                <w:sz w:val="20"/>
                <w:szCs w:val="20"/>
                <w:color w:val="auto"/>
              </w:rPr>
            </w:pPr>
            <w:r>
              <w:rPr>
                <w:rFonts w:ascii="Arial" w:cs="Arial" w:eastAsia="Arial" w:hAnsi="Arial"/>
                <w:sz w:val="16"/>
                <w:szCs w:val="16"/>
                <w:color w:val="auto"/>
              </w:rPr>
              <w:t>2</w:t>
            </w:r>
            <w:r>
              <w:rPr>
                <w:rFonts w:ascii="Times New Roman" w:cs="Times New Roman" w:eastAsia="Times New Roman" w:hAnsi="Times New Roman"/>
                <w:sz w:val="16"/>
                <w:szCs w:val="16"/>
                <w:color w:val="auto"/>
              </w:rPr>
              <w:t>0.03</w:t>
            </w:r>
          </w:p>
        </w:tc>
        <w:tc>
          <w:tcPr>
            <w:tcW w:w="680" w:type="dxa"/>
            <w:vAlign w:val="bottom"/>
            <w:gridSpan w:val="2"/>
          </w:tcPr>
          <w:p>
            <w:pPr>
              <w:jc w:val="center"/>
              <w:spacing w:after="0"/>
              <w:rPr>
                <w:sz w:val="20"/>
                <w:szCs w:val="20"/>
                <w:color w:val="auto"/>
              </w:rPr>
            </w:pPr>
            <w:r>
              <w:rPr>
                <w:rFonts w:ascii="Times New Roman" w:cs="Times New Roman" w:eastAsia="Times New Roman" w:hAnsi="Times New Roman"/>
                <w:sz w:val="16"/>
                <w:szCs w:val="16"/>
                <w:color w:val="auto"/>
                <w:w w:val="99"/>
              </w:rPr>
              <w:t>0.85</w:t>
            </w:r>
          </w:p>
        </w:tc>
        <w:tc>
          <w:tcPr>
            <w:tcW w:w="680" w:type="dxa"/>
            <w:vAlign w:val="bottom"/>
          </w:tcPr>
          <w:p>
            <w:pPr>
              <w:jc w:val="center"/>
              <w:spacing w:after="0"/>
              <w:rPr>
                <w:sz w:val="20"/>
                <w:szCs w:val="20"/>
                <w:color w:val="auto"/>
              </w:rPr>
            </w:pPr>
            <w:r>
              <w:rPr>
                <w:rFonts w:ascii="Times New Roman" w:cs="Times New Roman" w:eastAsia="Times New Roman" w:hAnsi="Times New Roman"/>
                <w:sz w:val="16"/>
                <w:szCs w:val="16"/>
                <w:color w:val="auto"/>
                <w:w w:val="99"/>
              </w:rPr>
              <w:t>0.88</w:t>
            </w:r>
          </w:p>
        </w:tc>
        <w:tc>
          <w:tcPr>
            <w:tcW w:w="1300" w:type="dxa"/>
            <w:vAlign w:val="bottom"/>
          </w:tcPr>
          <w:p>
            <w:pPr>
              <w:jc w:val="right"/>
              <w:ind w:right="400"/>
              <w:spacing w:after="0"/>
              <w:rPr>
                <w:sz w:val="20"/>
                <w:szCs w:val="20"/>
                <w:color w:val="auto"/>
              </w:rPr>
            </w:pPr>
            <w:r>
              <w:rPr>
                <w:rFonts w:ascii="Times New Roman" w:cs="Times New Roman" w:eastAsia="Times New Roman" w:hAnsi="Times New Roman"/>
                <w:sz w:val="16"/>
                <w:szCs w:val="16"/>
                <w:color w:val="auto"/>
              </w:rPr>
              <w:t>0.03</w:t>
            </w:r>
          </w:p>
        </w:tc>
        <w:tc>
          <w:tcPr>
            <w:tcW w:w="160" w:type="dxa"/>
            <w:vAlign w:val="bottom"/>
          </w:tcPr>
          <w:p>
            <w:pPr>
              <w:spacing w:after="0"/>
              <w:rPr>
                <w:sz w:val="17"/>
                <w:szCs w:val="17"/>
                <w:color w:val="auto"/>
              </w:rPr>
            </w:pPr>
          </w:p>
        </w:tc>
        <w:tc>
          <w:tcPr>
            <w:tcW w:w="1080" w:type="dxa"/>
            <w:vAlign w:val="bottom"/>
          </w:tcPr>
          <w:p>
            <w:pPr>
              <w:jc w:val="right"/>
              <w:ind w:right="300"/>
              <w:spacing w:after="0"/>
              <w:rPr>
                <w:sz w:val="20"/>
                <w:szCs w:val="20"/>
                <w:color w:val="auto"/>
              </w:rPr>
            </w:pPr>
            <w:r>
              <w:rPr>
                <w:rFonts w:ascii="Arial" w:cs="Arial" w:eastAsia="Arial" w:hAnsi="Arial"/>
                <w:sz w:val="16"/>
                <w:szCs w:val="16"/>
                <w:color w:val="auto"/>
              </w:rPr>
              <w:t>2</w:t>
            </w:r>
            <w:r>
              <w:rPr>
                <w:rFonts w:ascii="Times New Roman" w:cs="Times New Roman" w:eastAsia="Times New Roman" w:hAnsi="Times New Roman"/>
                <w:sz w:val="16"/>
                <w:szCs w:val="16"/>
                <w:color w:val="auto"/>
              </w:rPr>
              <w:t>0.06</w:t>
            </w:r>
          </w:p>
        </w:tc>
        <w:tc>
          <w:tcPr>
            <w:tcW w:w="1100" w:type="dxa"/>
            <w:vAlign w:val="bottom"/>
          </w:tcPr>
          <w:p>
            <w:pPr>
              <w:jc w:val="right"/>
              <w:ind w:right="240"/>
              <w:spacing w:after="0"/>
              <w:rPr>
                <w:sz w:val="20"/>
                <w:szCs w:val="20"/>
                <w:color w:val="auto"/>
              </w:rPr>
            </w:pPr>
            <w:r>
              <w:rPr>
                <w:rFonts w:ascii="Arial" w:cs="Arial" w:eastAsia="Arial" w:hAnsi="Arial"/>
                <w:sz w:val="16"/>
                <w:szCs w:val="16"/>
                <w:color w:val="auto"/>
              </w:rPr>
              <w:t>2</w:t>
            </w:r>
            <w:r>
              <w:rPr>
                <w:rFonts w:ascii="Times New Roman" w:cs="Times New Roman" w:eastAsia="Times New Roman" w:hAnsi="Times New Roman"/>
                <w:sz w:val="16"/>
                <w:szCs w:val="16"/>
                <w:color w:val="auto"/>
              </w:rPr>
              <w:t>0.08</w:t>
            </w:r>
          </w:p>
        </w:tc>
      </w:tr>
      <w:tr>
        <w:trPr>
          <w:trHeight w:val="198"/>
        </w:trPr>
        <w:tc>
          <w:tcPr>
            <w:tcW w:w="2980" w:type="dxa"/>
            <w:vAlign w:val="bottom"/>
          </w:tcPr>
          <w:p>
            <w:pPr>
              <w:spacing w:after="0"/>
              <w:rPr>
                <w:sz w:val="20"/>
                <w:szCs w:val="20"/>
                <w:color w:val="auto"/>
              </w:rPr>
            </w:pPr>
            <w:r>
              <w:rPr>
                <w:rFonts w:ascii="Times New Roman" w:cs="Times New Roman" w:eastAsia="Times New Roman" w:hAnsi="Times New Roman"/>
                <w:sz w:val="16"/>
                <w:szCs w:val="16"/>
                <w:color w:val="auto"/>
              </w:rPr>
              <w:t>Uses Internet often</w:t>
            </w:r>
          </w:p>
        </w:tc>
        <w:tc>
          <w:tcPr>
            <w:tcW w:w="560" w:type="dxa"/>
            <w:vAlign w:val="bottom"/>
          </w:tcPr>
          <w:p>
            <w:pPr>
              <w:jc w:val="center"/>
              <w:spacing w:after="0"/>
              <w:rPr>
                <w:sz w:val="20"/>
                <w:szCs w:val="20"/>
                <w:color w:val="auto"/>
              </w:rPr>
            </w:pPr>
            <w:r>
              <w:rPr>
                <w:rFonts w:ascii="Times New Roman" w:cs="Times New Roman" w:eastAsia="Times New Roman" w:hAnsi="Times New Roman"/>
                <w:sz w:val="16"/>
                <w:szCs w:val="16"/>
                <w:color w:val="auto"/>
                <w:w w:val="99"/>
              </w:rPr>
              <w:t>0.29</w:t>
            </w:r>
          </w:p>
        </w:tc>
        <w:tc>
          <w:tcPr>
            <w:tcW w:w="660" w:type="dxa"/>
            <w:vAlign w:val="bottom"/>
          </w:tcPr>
          <w:p>
            <w:pPr>
              <w:jc w:val="center"/>
              <w:spacing w:after="0"/>
              <w:rPr>
                <w:sz w:val="20"/>
                <w:szCs w:val="20"/>
                <w:color w:val="auto"/>
              </w:rPr>
            </w:pPr>
            <w:r>
              <w:rPr>
                <w:rFonts w:ascii="Times New Roman" w:cs="Times New Roman" w:eastAsia="Times New Roman" w:hAnsi="Times New Roman"/>
                <w:sz w:val="16"/>
                <w:szCs w:val="16"/>
                <w:color w:val="auto"/>
                <w:w w:val="99"/>
              </w:rPr>
              <w:t>0.41</w:t>
            </w:r>
          </w:p>
        </w:tc>
        <w:tc>
          <w:tcPr>
            <w:tcW w:w="1320" w:type="dxa"/>
            <w:vAlign w:val="bottom"/>
          </w:tcPr>
          <w:p>
            <w:pPr>
              <w:jc w:val="right"/>
              <w:ind w:right="340"/>
              <w:spacing w:after="0"/>
              <w:rPr>
                <w:sz w:val="20"/>
                <w:szCs w:val="20"/>
                <w:color w:val="auto"/>
              </w:rPr>
            </w:pPr>
            <w:r>
              <w:rPr>
                <w:rFonts w:ascii="Times New Roman" w:cs="Times New Roman" w:eastAsia="Times New Roman" w:hAnsi="Times New Roman"/>
                <w:sz w:val="16"/>
                <w:szCs w:val="16"/>
                <w:color w:val="auto"/>
              </w:rPr>
              <w:t>0.12</w:t>
            </w:r>
          </w:p>
        </w:tc>
        <w:tc>
          <w:tcPr>
            <w:tcW w:w="680" w:type="dxa"/>
            <w:vAlign w:val="bottom"/>
            <w:gridSpan w:val="2"/>
          </w:tcPr>
          <w:p>
            <w:pPr>
              <w:jc w:val="center"/>
              <w:spacing w:after="0"/>
              <w:rPr>
                <w:sz w:val="20"/>
                <w:szCs w:val="20"/>
                <w:color w:val="auto"/>
              </w:rPr>
            </w:pPr>
            <w:r>
              <w:rPr>
                <w:rFonts w:ascii="Times New Roman" w:cs="Times New Roman" w:eastAsia="Times New Roman" w:hAnsi="Times New Roman"/>
                <w:sz w:val="16"/>
                <w:szCs w:val="16"/>
                <w:color w:val="auto"/>
                <w:w w:val="99"/>
              </w:rPr>
              <w:t>0.14</w:t>
            </w:r>
          </w:p>
        </w:tc>
        <w:tc>
          <w:tcPr>
            <w:tcW w:w="680" w:type="dxa"/>
            <w:vAlign w:val="bottom"/>
          </w:tcPr>
          <w:p>
            <w:pPr>
              <w:jc w:val="center"/>
              <w:spacing w:after="0"/>
              <w:rPr>
                <w:sz w:val="20"/>
                <w:szCs w:val="20"/>
                <w:color w:val="auto"/>
              </w:rPr>
            </w:pPr>
            <w:r>
              <w:rPr>
                <w:rFonts w:ascii="Times New Roman" w:cs="Times New Roman" w:eastAsia="Times New Roman" w:hAnsi="Times New Roman"/>
                <w:sz w:val="16"/>
                <w:szCs w:val="16"/>
                <w:color w:val="auto"/>
                <w:w w:val="99"/>
              </w:rPr>
              <w:t>0.32</w:t>
            </w:r>
          </w:p>
        </w:tc>
        <w:tc>
          <w:tcPr>
            <w:tcW w:w="1300" w:type="dxa"/>
            <w:vAlign w:val="bottom"/>
          </w:tcPr>
          <w:p>
            <w:pPr>
              <w:jc w:val="right"/>
              <w:ind w:right="240"/>
              <w:spacing w:after="0"/>
              <w:rPr>
                <w:sz w:val="20"/>
                <w:szCs w:val="20"/>
                <w:color w:val="auto"/>
              </w:rPr>
            </w:pPr>
            <w:r>
              <w:rPr>
                <w:rFonts w:ascii="Times New Roman" w:cs="Times New Roman" w:eastAsia="Times New Roman" w:hAnsi="Times New Roman"/>
                <w:sz w:val="16"/>
                <w:szCs w:val="16"/>
                <w:color w:val="auto"/>
              </w:rPr>
              <w:t>0.18**</w:t>
            </w:r>
          </w:p>
        </w:tc>
        <w:tc>
          <w:tcPr>
            <w:tcW w:w="160" w:type="dxa"/>
            <w:vAlign w:val="bottom"/>
          </w:tcPr>
          <w:p>
            <w:pPr>
              <w:spacing w:after="0"/>
              <w:rPr>
                <w:sz w:val="17"/>
                <w:szCs w:val="17"/>
                <w:color w:val="auto"/>
              </w:rPr>
            </w:pPr>
          </w:p>
        </w:tc>
        <w:tc>
          <w:tcPr>
            <w:tcW w:w="1080" w:type="dxa"/>
            <w:vAlign w:val="bottom"/>
          </w:tcPr>
          <w:p>
            <w:pPr>
              <w:jc w:val="right"/>
              <w:ind w:right="300"/>
              <w:spacing w:after="0"/>
              <w:rPr>
                <w:sz w:val="20"/>
                <w:szCs w:val="20"/>
                <w:color w:val="auto"/>
              </w:rPr>
            </w:pPr>
            <w:r>
              <w:rPr>
                <w:rFonts w:ascii="Arial" w:cs="Arial" w:eastAsia="Arial" w:hAnsi="Arial"/>
                <w:sz w:val="16"/>
                <w:szCs w:val="16"/>
                <w:color w:val="auto"/>
              </w:rPr>
              <w:t>2</w:t>
            </w:r>
            <w:r>
              <w:rPr>
                <w:rFonts w:ascii="Times New Roman" w:cs="Times New Roman" w:eastAsia="Times New Roman" w:hAnsi="Times New Roman"/>
                <w:sz w:val="16"/>
                <w:szCs w:val="16"/>
                <w:color w:val="auto"/>
              </w:rPr>
              <w:t>0.06</w:t>
            </w:r>
          </w:p>
        </w:tc>
        <w:tc>
          <w:tcPr>
            <w:tcW w:w="1100" w:type="dxa"/>
            <w:vAlign w:val="bottom"/>
          </w:tcPr>
          <w:p>
            <w:pPr>
              <w:jc w:val="right"/>
              <w:ind w:right="240"/>
              <w:spacing w:after="0"/>
              <w:rPr>
                <w:sz w:val="20"/>
                <w:szCs w:val="20"/>
                <w:color w:val="auto"/>
              </w:rPr>
            </w:pPr>
            <w:r>
              <w:rPr>
                <w:rFonts w:ascii="Times New Roman" w:cs="Times New Roman" w:eastAsia="Times New Roman" w:hAnsi="Times New Roman"/>
                <w:sz w:val="16"/>
                <w:szCs w:val="16"/>
                <w:color w:val="auto"/>
              </w:rPr>
              <w:t>0.02</w:t>
            </w:r>
          </w:p>
        </w:tc>
      </w:tr>
      <w:tr>
        <w:trPr>
          <w:trHeight w:val="200"/>
        </w:trPr>
        <w:tc>
          <w:tcPr>
            <w:tcW w:w="2980" w:type="dxa"/>
            <w:vAlign w:val="bottom"/>
          </w:tcPr>
          <w:p>
            <w:pPr>
              <w:spacing w:after="0"/>
              <w:rPr>
                <w:sz w:val="20"/>
                <w:szCs w:val="20"/>
                <w:color w:val="auto"/>
              </w:rPr>
            </w:pPr>
            <w:r>
              <w:rPr>
                <w:rFonts w:ascii="Times New Roman" w:cs="Times New Roman" w:eastAsia="Times New Roman" w:hAnsi="Times New Roman"/>
                <w:sz w:val="16"/>
                <w:szCs w:val="16"/>
                <w:color w:val="auto"/>
              </w:rPr>
              <w:t>Uses Internet sometimes</w:t>
            </w:r>
          </w:p>
        </w:tc>
        <w:tc>
          <w:tcPr>
            <w:tcW w:w="560" w:type="dxa"/>
            <w:vAlign w:val="bottom"/>
          </w:tcPr>
          <w:p>
            <w:pPr>
              <w:jc w:val="center"/>
              <w:spacing w:after="0"/>
              <w:rPr>
                <w:sz w:val="20"/>
                <w:szCs w:val="20"/>
                <w:color w:val="auto"/>
              </w:rPr>
            </w:pPr>
            <w:r>
              <w:rPr>
                <w:rFonts w:ascii="Times New Roman" w:cs="Times New Roman" w:eastAsia="Times New Roman" w:hAnsi="Times New Roman"/>
                <w:sz w:val="16"/>
                <w:szCs w:val="16"/>
                <w:color w:val="auto"/>
                <w:w w:val="99"/>
              </w:rPr>
              <w:t>0.27</w:t>
            </w:r>
          </w:p>
        </w:tc>
        <w:tc>
          <w:tcPr>
            <w:tcW w:w="660" w:type="dxa"/>
            <w:vAlign w:val="bottom"/>
          </w:tcPr>
          <w:p>
            <w:pPr>
              <w:jc w:val="center"/>
              <w:spacing w:after="0"/>
              <w:rPr>
                <w:sz w:val="20"/>
                <w:szCs w:val="20"/>
                <w:color w:val="auto"/>
              </w:rPr>
            </w:pPr>
            <w:r>
              <w:rPr>
                <w:rFonts w:ascii="Times New Roman" w:cs="Times New Roman" w:eastAsia="Times New Roman" w:hAnsi="Times New Roman"/>
                <w:sz w:val="16"/>
                <w:szCs w:val="16"/>
                <w:color w:val="auto"/>
                <w:w w:val="99"/>
              </w:rPr>
              <w:t>0.27</w:t>
            </w:r>
          </w:p>
        </w:tc>
        <w:tc>
          <w:tcPr>
            <w:tcW w:w="1320" w:type="dxa"/>
            <w:vAlign w:val="bottom"/>
          </w:tcPr>
          <w:p>
            <w:pPr>
              <w:jc w:val="right"/>
              <w:ind w:right="340"/>
              <w:spacing w:after="0"/>
              <w:rPr>
                <w:sz w:val="20"/>
                <w:szCs w:val="20"/>
                <w:color w:val="auto"/>
              </w:rPr>
            </w:pPr>
            <w:r>
              <w:rPr>
                <w:rFonts w:ascii="Times New Roman" w:cs="Times New Roman" w:eastAsia="Times New Roman" w:hAnsi="Times New Roman"/>
                <w:sz w:val="16"/>
                <w:szCs w:val="16"/>
                <w:color w:val="auto"/>
              </w:rPr>
              <w:t>0.00</w:t>
            </w:r>
          </w:p>
        </w:tc>
        <w:tc>
          <w:tcPr>
            <w:tcW w:w="680" w:type="dxa"/>
            <w:vAlign w:val="bottom"/>
            <w:gridSpan w:val="2"/>
          </w:tcPr>
          <w:p>
            <w:pPr>
              <w:jc w:val="center"/>
              <w:spacing w:after="0"/>
              <w:rPr>
                <w:sz w:val="20"/>
                <w:szCs w:val="20"/>
                <w:color w:val="auto"/>
              </w:rPr>
            </w:pPr>
            <w:r>
              <w:rPr>
                <w:rFonts w:ascii="Times New Roman" w:cs="Times New Roman" w:eastAsia="Times New Roman" w:hAnsi="Times New Roman"/>
                <w:sz w:val="16"/>
                <w:szCs w:val="16"/>
                <w:color w:val="auto"/>
                <w:w w:val="99"/>
              </w:rPr>
              <w:t>0.11</w:t>
            </w:r>
          </w:p>
        </w:tc>
        <w:tc>
          <w:tcPr>
            <w:tcW w:w="680" w:type="dxa"/>
            <w:vAlign w:val="bottom"/>
          </w:tcPr>
          <w:p>
            <w:pPr>
              <w:jc w:val="center"/>
              <w:spacing w:after="0"/>
              <w:rPr>
                <w:sz w:val="20"/>
                <w:szCs w:val="20"/>
                <w:color w:val="auto"/>
              </w:rPr>
            </w:pPr>
            <w:r>
              <w:rPr>
                <w:rFonts w:ascii="Times New Roman" w:cs="Times New Roman" w:eastAsia="Times New Roman" w:hAnsi="Times New Roman"/>
                <w:sz w:val="16"/>
                <w:szCs w:val="16"/>
                <w:color w:val="auto"/>
                <w:w w:val="99"/>
              </w:rPr>
              <w:t>0.17</w:t>
            </w:r>
          </w:p>
        </w:tc>
        <w:tc>
          <w:tcPr>
            <w:tcW w:w="1300" w:type="dxa"/>
            <w:vAlign w:val="bottom"/>
          </w:tcPr>
          <w:p>
            <w:pPr>
              <w:jc w:val="right"/>
              <w:ind w:right="400"/>
              <w:spacing w:after="0"/>
              <w:rPr>
                <w:sz w:val="20"/>
                <w:szCs w:val="20"/>
                <w:color w:val="auto"/>
              </w:rPr>
            </w:pPr>
            <w:r>
              <w:rPr>
                <w:rFonts w:ascii="Times New Roman" w:cs="Times New Roman" w:eastAsia="Times New Roman" w:hAnsi="Times New Roman"/>
                <w:sz w:val="16"/>
                <w:szCs w:val="16"/>
                <w:color w:val="auto"/>
              </w:rPr>
              <w:t>0.06</w:t>
            </w:r>
          </w:p>
        </w:tc>
        <w:tc>
          <w:tcPr>
            <w:tcW w:w="160" w:type="dxa"/>
            <w:vAlign w:val="bottom"/>
          </w:tcPr>
          <w:p>
            <w:pPr>
              <w:spacing w:after="0"/>
              <w:rPr>
                <w:sz w:val="17"/>
                <w:szCs w:val="17"/>
                <w:color w:val="auto"/>
              </w:rPr>
            </w:pPr>
          </w:p>
        </w:tc>
        <w:tc>
          <w:tcPr>
            <w:tcW w:w="1080" w:type="dxa"/>
            <w:vAlign w:val="bottom"/>
          </w:tcPr>
          <w:p>
            <w:pPr>
              <w:jc w:val="right"/>
              <w:ind w:right="300"/>
              <w:spacing w:after="0"/>
              <w:rPr>
                <w:sz w:val="20"/>
                <w:szCs w:val="20"/>
                <w:color w:val="auto"/>
              </w:rPr>
            </w:pPr>
            <w:r>
              <w:rPr>
                <w:rFonts w:ascii="Arial" w:cs="Arial" w:eastAsia="Arial" w:hAnsi="Arial"/>
                <w:sz w:val="16"/>
                <w:szCs w:val="16"/>
                <w:color w:val="auto"/>
              </w:rPr>
              <w:t>2</w:t>
            </w:r>
            <w:r>
              <w:rPr>
                <w:rFonts w:ascii="Times New Roman" w:cs="Times New Roman" w:eastAsia="Times New Roman" w:hAnsi="Times New Roman"/>
                <w:sz w:val="16"/>
                <w:szCs w:val="16"/>
                <w:color w:val="auto"/>
              </w:rPr>
              <w:t>0.06</w:t>
            </w:r>
          </w:p>
        </w:tc>
        <w:tc>
          <w:tcPr>
            <w:tcW w:w="1100" w:type="dxa"/>
            <w:vAlign w:val="bottom"/>
          </w:tcPr>
          <w:p>
            <w:pPr>
              <w:jc w:val="right"/>
              <w:ind w:right="240"/>
              <w:spacing w:after="0"/>
              <w:rPr>
                <w:sz w:val="20"/>
                <w:szCs w:val="20"/>
                <w:color w:val="auto"/>
              </w:rPr>
            </w:pPr>
            <w:r>
              <w:rPr>
                <w:rFonts w:ascii="Arial" w:cs="Arial" w:eastAsia="Arial" w:hAnsi="Arial"/>
                <w:sz w:val="16"/>
                <w:szCs w:val="16"/>
                <w:color w:val="auto"/>
              </w:rPr>
              <w:t>2</w:t>
            </w:r>
            <w:r>
              <w:rPr>
                <w:rFonts w:ascii="Times New Roman" w:cs="Times New Roman" w:eastAsia="Times New Roman" w:hAnsi="Times New Roman"/>
                <w:sz w:val="16"/>
                <w:szCs w:val="16"/>
                <w:color w:val="auto"/>
              </w:rPr>
              <w:t>0.07</w:t>
            </w:r>
          </w:p>
        </w:tc>
      </w:tr>
      <w:tr>
        <w:trPr>
          <w:trHeight w:val="64"/>
        </w:trPr>
        <w:tc>
          <w:tcPr>
            <w:tcW w:w="2980" w:type="dxa"/>
            <w:vAlign w:val="bottom"/>
            <w:tcBorders>
              <w:bottom w:val="single" w:sz="8" w:color="auto"/>
            </w:tcBorders>
          </w:tcPr>
          <w:p>
            <w:pPr>
              <w:spacing w:after="0"/>
              <w:rPr>
                <w:sz w:val="5"/>
                <w:szCs w:val="5"/>
                <w:color w:val="auto"/>
              </w:rPr>
            </w:pPr>
          </w:p>
        </w:tc>
        <w:tc>
          <w:tcPr>
            <w:tcW w:w="560" w:type="dxa"/>
            <w:vAlign w:val="bottom"/>
            <w:tcBorders>
              <w:bottom w:val="single" w:sz="8" w:color="auto"/>
            </w:tcBorders>
          </w:tcPr>
          <w:p>
            <w:pPr>
              <w:spacing w:after="0"/>
              <w:rPr>
                <w:sz w:val="5"/>
                <w:szCs w:val="5"/>
                <w:color w:val="auto"/>
              </w:rPr>
            </w:pPr>
          </w:p>
        </w:tc>
        <w:tc>
          <w:tcPr>
            <w:tcW w:w="660" w:type="dxa"/>
            <w:vAlign w:val="bottom"/>
            <w:tcBorders>
              <w:bottom w:val="single" w:sz="8" w:color="auto"/>
            </w:tcBorders>
          </w:tcPr>
          <w:p>
            <w:pPr>
              <w:spacing w:after="0"/>
              <w:rPr>
                <w:sz w:val="5"/>
                <w:szCs w:val="5"/>
                <w:color w:val="auto"/>
              </w:rPr>
            </w:pPr>
          </w:p>
        </w:tc>
        <w:tc>
          <w:tcPr>
            <w:tcW w:w="1320" w:type="dxa"/>
            <w:vAlign w:val="bottom"/>
            <w:tcBorders>
              <w:bottom w:val="single" w:sz="8" w:color="auto"/>
            </w:tcBorders>
          </w:tcPr>
          <w:p>
            <w:pPr>
              <w:spacing w:after="0"/>
              <w:rPr>
                <w:sz w:val="5"/>
                <w:szCs w:val="5"/>
                <w:color w:val="auto"/>
              </w:rPr>
            </w:pPr>
          </w:p>
        </w:tc>
        <w:tc>
          <w:tcPr>
            <w:tcW w:w="140" w:type="dxa"/>
            <w:vAlign w:val="bottom"/>
            <w:tcBorders>
              <w:bottom w:val="single" w:sz="8" w:color="auto"/>
            </w:tcBorders>
          </w:tcPr>
          <w:p>
            <w:pPr>
              <w:spacing w:after="0"/>
              <w:rPr>
                <w:sz w:val="5"/>
                <w:szCs w:val="5"/>
                <w:color w:val="auto"/>
              </w:rPr>
            </w:pPr>
          </w:p>
        </w:tc>
        <w:tc>
          <w:tcPr>
            <w:tcW w:w="540" w:type="dxa"/>
            <w:vAlign w:val="bottom"/>
            <w:tcBorders>
              <w:bottom w:val="single" w:sz="8" w:color="auto"/>
            </w:tcBorders>
          </w:tcPr>
          <w:p>
            <w:pPr>
              <w:spacing w:after="0"/>
              <w:rPr>
                <w:sz w:val="5"/>
                <w:szCs w:val="5"/>
                <w:color w:val="auto"/>
              </w:rPr>
            </w:pPr>
          </w:p>
        </w:tc>
        <w:tc>
          <w:tcPr>
            <w:tcW w:w="680" w:type="dxa"/>
            <w:vAlign w:val="bottom"/>
            <w:tcBorders>
              <w:bottom w:val="single" w:sz="8" w:color="auto"/>
            </w:tcBorders>
          </w:tcPr>
          <w:p>
            <w:pPr>
              <w:spacing w:after="0"/>
              <w:rPr>
                <w:sz w:val="5"/>
                <w:szCs w:val="5"/>
                <w:color w:val="auto"/>
              </w:rPr>
            </w:pPr>
          </w:p>
        </w:tc>
        <w:tc>
          <w:tcPr>
            <w:tcW w:w="1300" w:type="dxa"/>
            <w:vAlign w:val="bottom"/>
            <w:tcBorders>
              <w:bottom w:val="single" w:sz="8" w:color="auto"/>
            </w:tcBorders>
          </w:tcPr>
          <w:p>
            <w:pPr>
              <w:spacing w:after="0"/>
              <w:rPr>
                <w:sz w:val="5"/>
                <w:szCs w:val="5"/>
                <w:color w:val="auto"/>
              </w:rPr>
            </w:pPr>
          </w:p>
        </w:tc>
        <w:tc>
          <w:tcPr>
            <w:tcW w:w="160" w:type="dxa"/>
            <w:vAlign w:val="bottom"/>
            <w:tcBorders>
              <w:bottom w:val="single" w:sz="8" w:color="auto"/>
            </w:tcBorders>
          </w:tcPr>
          <w:p>
            <w:pPr>
              <w:spacing w:after="0"/>
              <w:rPr>
                <w:sz w:val="5"/>
                <w:szCs w:val="5"/>
                <w:color w:val="auto"/>
              </w:rPr>
            </w:pPr>
          </w:p>
        </w:tc>
        <w:tc>
          <w:tcPr>
            <w:tcW w:w="1080" w:type="dxa"/>
            <w:vAlign w:val="bottom"/>
            <w:tcBorders>
              <w:bottom w:val="single" w:sz="8" w:color="auto"/>
            </w:tcBorders>
          </w:tcPr>
          <w:p>
            <w:pPr>
              <w:spacing w:after="0"/>
              <w:rPr>
                <w:sz w:val="5"/>
                <w:szCs w:val="5"/>
                <w:color w:val="auto"/>
              </w:rPr>
            </w:pPr>
          </w:p>
        </w:tc>
        <w:tc>
          <w:tcPr>
            <w:tcW w:w="1100" w:type="dxa"/>
            <w:vAlign w:val="bottom"/>
            <w:tcBorders>
              <w:bottom w:val="single" w:sz="8" w:color="auto"/>
            </w:tcBorders>
          </w:tcPr>
          <w:p>
            <w:pPr>
              <w:spacing w:after="0"/>
              <w:rPr>
                <w:sz w:val="5"/>
                <w:szCs w:val="5"/>
                <w:color w:val="auto"/>
              </w:rPr>
            </w:pPr>
          </w:p>
        </w:tc>
      </w:tr>
    </w:tbl>
    <w:p>
      <w:pPr>
        <w:spacing w:after="0" w:line="7"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color w:val="auto"/>
          <w:vertAlign w:val="superscript"/>
        </w:rPr>
        <w:t>a</w:t>
      </w:r>
      <w:r>
        <w:rPr>
          <w:rFonts w:ascii="Times New Roman" w:cs="Times New Roman" w:eastAsia="Times New Roman" w:hAnsi="Times New Roman"/>
          <w:sz w:val="16"/>
          <w:szCs w:val="16"/>
          <w:color w:val="auto"/>
        </w:rPr>
        <w:t>Calculated for those with credit cards.</w:t>
      </w:r>
    </w:p>
    <w:p>
      <w:pPr>
        <w:spacing w:after="0" w:line="20" w:lineRule="exact"/>
        <w:rPr>
          <w:sz w:val="20"/>
          <w:szCs w:val="20"/>
          <w:color w:val="auto"/>
        </w:rPr>
      </w:pPr>
      <w:r>
        <w:rPr>
          <w:sz w:val="20"/>
          <w:szCs w:val="20"/>
          <w:color w:val="auto"/>
        </w:rPr>
        <w:br w:type="column"/>
      </w:r>
    </w:p>
    <w:tbl>
      <w:tblPr>
        <w:tblLayout w:type="fixed"/>
        <w:tblInd w:w="0" w:type="dxa"/>
        <w:tblCellMar>
          <w:top w:w="0" w:type="dxa"/>
          <w:left w:w="0" w:type="dxa"/>
          <w:bottom w:w="0" w:type="dxa"/>
          <w:right w:w="0" w:type="dxa"/>
        </w:tblCellMar>
      </w:tblPr>
      <w:tr>
        <w:trPr>
          <w:trHeight w:val="300"/>
        </w:trPr>
        <w:tc>
          <w:tcPr>
            <w:tcW w:w="185" w:type="dxa"/>
            <w:vAlign w:val="bottom"/>
            <w:textDirection w:val="tbRl"/>
          </w:tcPr>
          <w:p>
            <w:pPr>
              <w:spacing w:after="0" w:line="193" w:lineRule="auto"/>
              <w:rPr>
                <w:sz w:val="20"/>
                <w:szCs w:val="20"/>
                <w:color w:val="auto"/>
              </w:rPr>
            </w:pPr>
            <w:r>
              <w:rPr>
                <w:rFonts w:ascii="Times New Roman" w:cs="Times New Roman" w:eastAsia="Times New Roman" w:hAnsi="Times New Roman"/>
                <w:sz w:val="20"/>
                <w:szCs w:val="20"/>
                <w:color w:val="auto"/>
              </w:rPr>
              <w:t>302</w:t>
            </w:r>
          </w:p>
        </w:tc>
      </w:tr>
    </w:tbl>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80" w:lineRule="exact"/>
        <w:rPr>
          <w:sz w:val="20"/>
          <w:szCs w:val="20"/>
          <w:color w:val="auto"/>
        </w:rPr>
      </w:pPr>
    </w:p>
    <w:tbl>
      <w:tblPr>
        <w:tblLayout w:type="fixed"/>
        <w:tblInd w:w="7" w:type="dxa"/>
        <w:tblCellMar>
          <w:top w:w="0" w:type="dxa"/>
          <w:left w:w="0" w:type="dxa"/>
          <w:bottom w:w="0" w:type="dxa"/>
          <w:right w:w="0" w:type="dxa"/>
        </w:tblCellMar>
      </w:tblPr>
      <w:tr>
        <w:trPr>
          <w:trHeight w:val="2980"/>
        </w:trPr>
        <w:tc>
          <w:tcPr>
            <w:tcW w:w="149" w:type="dxa"/>
            <w:vAlign w:val="bottom"/>
            <w:textDirection w:val="tbRl"/>
          </w:tcPr>
          <w:p>
            <w:pPr>
              <w:spacing w:after="0" w:line="194" w:lineRule="auto"/>
              <w:rPr>
                <w:sz w:val="20"/>
                <w:szCs w:val="20"/>
                <w:color w:val="auto"/>
              </w:rPr>
            </w:pPr>
            <w:r>
              <w:rPr>
                <w:rFonts w:ascii="Times New Roman" w:cs="Times New Roman" w:eastAsia="Times New Roman" w:hAnsi="Times New Roman"/>
                <w:sz w:val="16"/>
                <w:szCs w:val="16"/>
                <w:color w:val="auto"/>
              </w:rPr>
              <w:t>THE JOURNAL OF CONSUMER AFFAIRS</w:t>
            </w:r>
          </w:p>
        </w:tc>
      </w:tr>
    </w:tbl>
    <w:p>
      <w:pPr>
        <w:sectPr>
          <w:pgSz w:w="13320" w:h="8640" w:orient="landscape"/>
          <w:cols w:equalWidth="0" w:num="2">
            <w:col w:w="10520" w:space="502"/>
            <w:col w:w="185"/>
          </w:cols>
          <w:pgMar w:left="1300" w:top="940" w:right="813" w:bottom="676" w:gutter="0" w:footer="0" w:header="0"/>
        </w:sectPr>
      </w:pPr>
    </w:p>
    <w:bookmarkStart w:id="32" w:name="page33"/>
    <w:bookmarkEnd w:id="32"/>
    <w:p>
      <w:pPr>
        <w:spacing w:after="0"/>
        <w:tabs>
          <w:tab w:leader="none" w:pos="2320" w:val="left"/>
          <w:tab w:leader="none" w:pos="6140" w:val="left"/>
        </w:tabs>
        <w:rPr>
          <w:sz w:val="20"/>
          <w:szCs w:val="20"/>
          <w:color w:val="auto"/>
        </w:rPr>
      </w:pPr>
      <w:r>
        <w:rPr>
          <w:rFonts w:ascii="Times New Roman" w:cs="Times New Roman" w:eastAsia="Times New Roman" w:hAnsi="Times New Roman"/>
          <w:sz w:val="16"/>
          <w:szCs w:val="16"/>
          <w:color w:val="auto"/>
        </w:rPr>
        <w:t>SUMMER 2008</w:t>
      </w:r>
      <w:r>
        <w:rPr>
          <w:sz w:val="20"/>
          <w:szCs w:val="20"/>
          <w:color w:val="auto"/>
        </w:rPr>
        <w:tab/>
      </w:r>
      <w:r>
        <w:rPr>
          <w:rFonts w:ascii="Times New Roman" w:cs="Times New Roman" w:eastAsia="Times New Roman" w:hAnsi="Times New Roman"/>
          <w:sz w:val="16"/>
          <w:szCs w:val="16"/>
          <w:color w:val="auto"/>
        </w:rPr>
        <w:t>VOLUME 42, NUMBER 2</w:t>
      </w:r>
      <w:r>
        <w:rPr>
          <w:sz w:val="20"/>
          <w:szCs w:val="20"/>
          <w:color w:val="auto"/>
        </w:rPr>
        <w:tab/>
      </w:r>
      <w:r>
        <w:rPr>
          <w:rFonts w:ascii="Times New Roman" w:cs="Times New Roman" w:eastAsia="Times New Roman" w:hAnsi="Times New Roman"/>
          <w:sz w:val="20"/>
          <w:szCs w:val="20"/>
          <w:color w:val="auto"/>
        </w:rPr>
        <w:t>303</w:t>
      </w:r>
    </w:p>
    <w:p>
      <w:pPr>
        <w:spacing w:after="0" w:line="200" w:lineRule="exact"/>
        <w:rPr>
          <w:sz w:val="20"/>
          <w:szCs w:val="20"/>
          <w:color w:val="auto"/>
        </w:rPr>
      </w:pPr>
    </w:p>
    <w:p>
      <w:pPr>
        <w:spacing w:after="0" w:line="256"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2"/>
          <w:szCs w:val="22"/>
          <w:color w:val="auto"/>
        </w:rPr>
        <w:t>REFERENCES</w:t>
      </w:r>
    </w:p>
    <w:p>
      <w:pPr>
        <w:spacing w:after="0" w:line="293" w:lineRule="exact"/>
        <w:rPr>
          <w:sz w:val="20"/>
          <w:szCs w:val="20"/>
          <w:color w:val="auto"/>
        </w:rPr>
      </w:pPr>
    </w:p>
    <w:p>
      <w:pPr>
        <w:jc w:val="both"/>
        <w:ind w:left="240" w:hanging="238"/>
        <w:spacing w:after="0" w:line="239" w:lineRule="auto"/>
        <w:rPr>
          <w:sz w:val="20"/>
          <w:szCs w:val="20"/>
          <w:color w:val="auto"/>
        </w:rPr>
      </w:pPr>
      <w:r>
        <w:rPr>
          <w:rFonts w:ascii="Times New Roman" w:cs="Times New Roman" w:eastAsia="Times New Roman" w:hAnsi="Times New Roman"/>
          <w:sz w:val="16"/>
          <w:szCs w:val="16"/>
          <w:color w:val="auto"/>
        </w:rPr>
        <w:t xml:space="preserve">Aizcorbe, Ana M., Arthur B. Kennickell, and Kevin B. Moore. 2003. ‘‘Recent Changes in U.S. Family Finances: Results from the 1998 and 2001 Survey of Consumer Finances.’’ </w:t>
      </w:r>
      <w:r>
        <w:rPr>
          <w:rFonts w:ascii="Arial" w:cs="Arial" w:eastAsia="Arial" w:hAnsi="Arial"/>
          <w:sz w:val="16"/>
          <w:szCs w:val="16"/>
          <w:color w:val="auto"/>
        </w:rPr>
        <w:t>Federal Reserve</w:t>
      </w:r>
      <w:r>
        <w:rPr>
          <w:rFonts w:ascii="Times New Roman" w:cs="Times New Roman" w:eastAsia="Times New Roman" w:hAnsi="Times New Roman"/>
          <w:sz w:val="16"/>
          <w:szCs w:val="16"/>
          <w:color w:val="auto"/>
        </w:rPr>
        <w:t xml:space="preserve"> </w:t>
      </w:r>
      <w:r>
        <w:rPr>
          <w:rFonts w:ascii="Arial" w:cs="Arial" w:eastAsia="Arial" w:hAnsi="Arial"/>
          <w:sz w:val="16"/>
          <w:szCs w:val="16"/>
          <w:color w:val="auto"/>
        </w:rPr>
        <w:t>Bulletin</w:t>
      </w:r>
      <w:r>
        <w:rPr>
          <w:rFonts w:ascii="Times New Roman" w:cs="Times New Roman" w:eastAsia="Times New Roman" w:hAnsi="Times New Roman"/>
          <w:sz w:val="16"/>
          <w:szCs w:val="16"/>
          <w:color w:val="auto"/>
        </w:rPr>
        <w:t>.</w:t>
      </w:r>
    </w:p>
    <w:p>
      <w:pPr>
        <w:spacing w:after="0" w:line="42" w:lineRule="exact"/>
        <w:rPr>
          <w:sz w:val="20"/>
          <w:szCs w:val="20"/>
          <w:color w:val="auto"/>
        </w:rPr>
      </w:pPr>
    </w:p>
    <w:p>
      <w:pPr>
        <w:jc w:val="both"/>
        <w:ind w:left="240" w:hanging="238"/>
        <w:spacing w:after="0" w:line="289" w:lineRule="auto"/>
        <w:rPr>
          <w:sz w:val="20"/>
          <w:szCs w:val="20"/>
          <w:color w:val="auto"/>
        </w:rPr>
      </w:pPr>
      <w:r>
        <w:rPr>
          <w:rFonts w:ascii="Times New Roman" w:cs="Times New Roman" w:eastAsia="Times New Roman" w:hAnsi="Times New Roman"/>
          <w:sz w:val="14"/>
          <w:szCs w:val="14"/>
          <w:color w:val="auto"/>
        </w:rPr>
        <w:t xml:space="preserve">Alderslade, Jamie. 2005. </w:t>
      </w:r>
      <w:r>
        <w:rPr>
          <w:rFonts w:ascii="Arial" w:cs="Arial" w:eastAsia="Arial" w:hAnsi="Arial"/>
          <w:sz w:val="14"/>
          <w:szCs w:val="14"/>
          <w:color w:val="auto"/>
        </w:rPr>
        <w:t>Hidden in Plain Sight: How Different Data Yield Vastly Different Understand-ings of the Same Market. A Comparative Analysis by Asset vs. Deficiency Data</w:t>
      </w:r>
      <w:r>
        <w:rPr>
          <w:rFonts w:ascii="Times New Roman" w:cs="Times New Roman" w:eastAsia="Times New Roman" w:hAnsi="Times New Roman"/>
          <w:sz w:val="14"/>
          <w:szCs w:val="14"/>
          <w:color w:val="auto"/>
        </w:rPr>
        <w:t>. Berkeley, CA:</w:t>
      </w:r>
    </w:p>
    <w:p>
      <w:pPr>
        <w:ind w:left="240"/>
        <w:spacing w:after="0" w:line="212" w:lineRule="auto"/>
        <w:rPr>
          <w:sz w:val="20"/>
          <w:szCs w:val="20"/>
          <w:color w:val="auto"/>
        </w:rPr>
      </w:pPr>
      <w:r>
        <w:rPr>
          <w:rFonts w:ascii="Times New Roman" w:cs="Times New Roman" w:eastAsia="Times New Roman" w:hAnsi="Times New Roman"/>
          <w:sz w:val="16"/>
          <w:szCs w:val="16"/>
          <w:color w:val="auto"/>
        </w:rPr>
        <w:t>Greenlining Institute.</w:t>
      </w:r>
    </w:p>
    <w:p>
      <w:pPr>
        <w:spacing w:after="0" w:line="51" w:lineRule="exact"/>
        <w:rPr>
          <w:sz w:val="20"/>
          <w:szCs w:val="20"/>
          <w:color w:val="auto"/>
        </w:rPr>
      </w:pPr>
    </w:p>
    <w:p>
      <w:pPr>
        <w:jc w:val="both"/>
        <w:ind w:left="240" w:hanging="238"/>
        <w:spacing w:after="0" w:line="228" w:lineRule="auto"/>
        <w:rPr>
          <w:sz w:val="20"/>
          <w:szCs w:val="20"/>
          <w:color w:val="auto"/>
        </w:rPr>
      </w:pPr>
      <w:r>
        <w:rPr>
          <w:rFonts w:ascii="Times New Roman" w:cs="Times New Roman" w:eastAsia="Times New Roman" w:hAnsi="Times New Roman"/>
          <w:sz w:val="16"/>
          <w:szCs w:val="16"/>
          <w:color w:val="auto"/>
        </w:rPr>
        <w:t xml:space="preserve">Anderson, Steven G. and Brian M. Gryzlak. 2002. Social Work Advocacy in the Post-TANF Environ-ment: Lessons from Early TANF Research Studies. </w:t>
      </w:r>
      <w:r>
        <w:rPr>
          <w:rFonts w:ascii="Arial" w:cs="Arial" w:eastAsia="Arial" w:hAnsi="Arial"/>
          <w:sz w:val="16"/>
          <w:szCs w:val="16"/>
          <w:color w:val="auto"/>
        </w:rPr>
        <w:t>Social Work</w:t>
      </w:r>
      <w:r>
        <w:rPr>
          <w:rFonts w:ascii="Times New Roman" w:cs="Times New Roman" w:eastAsia="Times New Roman" w:hAnsi="Times New Roman"/>
          <w:sz w:val="16"/>
          <w:szCs w:val="16"/>
          <w:color w:val="auto"/>
        </w:rPr>
        <w:t xml:space="preserve"> 47 (3): 301–314.</w:t>
      </w:r>
    </w:p>
    <w:p>
      <w:pPr>
        <w:spacing w:after="0" w:line="27" w:lineRule="exact"/>
        <w:rPr>
          <w:sz w:val="20"/>
          <w:szCs w:val="20"/>
          <w:color w:val="auto"/>
        </w:rPr>
      </w:pPr>
    </w:p>
    <w:p>
      <w:pPr>
        <w:spacing w:after="0"/>
        <w:rPr>
          <w:sz w:val="20"/>
          <w:szCs w:val="20"/>
          <w:color w:val="auto"/>
        </w:rPr>
      </w:pPr>
      <w:r>
        <w:rPr>
          <w:rFonts w:ascii="Times New Roman" w:cs="Times New Roman" w:eastAsia="Times New Roman" w:hAnsi="Times New Roman"/>
          <w:sz w:val="15"/>
          <w:szCs w:val="15"/>
          <w:color w:val="auto"/>
        </w:rPr>
        <w:t xml:space="preserve">Anderson, Steve, Jeff Scott, and Min Zhan. 2004. </w:t>
      </w:r>
      <w:r>
        <w:rPr>
          <w:rFonts w:ascii="Arial" w:cs="Arial" w:eastAsia="Arial" w:hAnsi="Arial"/>
          <w:sz w:val="15"/>
          <w:szCs w:val="15"/>
          <w:color w:val="auto"/>
        </w:rPr>
        <w:t>Financial Links for Low-Income People (FLLIP):</w:t>
      </w:r>
    </w:p>
    <w:p>
      <w:pPr>
        <w:spacing w:after="0" w:line="15" w:lineRule="exact"/>
        <w:rPr>
          <w:sz w:val="20"/>
          <w:szCs w:val="20"/>
          <w:color w:val="auto"/>
        </w:rPr>
      </w:pPr>
    </w:p>
    <w:p>
      <w:pPr>
        <w:ind w:left="240"/>
        <w:spacing w:after="0"/>
        <w:rPr>
          <w:sz w:val="20"/>
          <w:szCs w:val="20"/>
          <w:color w:val="auto"/>
        </w:rPr>
      </w:pPr>
      <w:r>
        <w:rPr>
          <w:rFonts w:ascii="Arial" w:cs="Arial" w:eastAsia="Arial" w:hAnsi="Arial"/>
          <w:sz w:val="16"/>
          <w:szCs w:val="16"/>
          <w:color w:val="auto"/>
        </w:rPr>
        <w:t>Final Evaluation Report</w:t>
      </w:r>
      <w:r>
        <w:rPr>
          <w:rFonts w:ascii="Times New Roman" w:cs="Times New Roman" w:eastAsia="Times New Roman" w:hAnsi="Times New Roman"/>
          <w:sz w:val="16"/>
          <w:szCs w:val="16"/>
          <w:color w:val="auto"/>
        </w:rPr>
        <w:t>. Chicago, IL: Sargent Shriver National Center on Poverty Law.</w:t>
      </w:r>
    </w:p>
    <w:p>
      <w:pPr>
        <w:spacing w:after="0" w:line="47" w:lineRule="exact"/>
        <w:rPr>
          <w:sz w:val="20"/>
          <w:szCs w:val="20"/>
          <w:color w:val="auto"/>
        </w:rPr>
      </w:pPr>
    </w:p>
    <w:p>
      <w:pPr>
        <w:jc w:val="both"/>
        <w:ind w:left="240" w:hanging="238"/>
        <w:spacing w:after="0" w:line="228" w:lineRule="auto"/>
        <w:rPr>
          <w:sz w:val="20"/>
          <w:szCs w:val="20"/>
          <w:color w:val="auto"/>
        </w:rPr>
      </w:pPr>
      <w:r>
        <w:rPr>
          <w:rFonts w:ascii="Times New Roman" w:cs="Times New Roman" w:eastAsia="Times New Roman" w:hAnsi="Times New Roman"/>
          <w:sz w:val="16"/>
          <w:szCs w:val="16"/>
          <w:color w:val="auto"/>
        </w:rPr>
        <w:t xml:space="preserve">Anguelov, Christoslav E., Marianne A. Hilgert, and Jeanne M. Hogarth. 2004. U.S. Consumers and Electronic Banking, 1995-2003. </w:t>
      </w:r>
      <w:r>
        <w:rPr>
          <w:rFonts w:ascii="Arial" w:cs="Arial" w:eastAsia="Arial" w:hAnsi="Arial"/>
          <w:sz w:val="16"/>
          <w:szCs w:val="16"/>
          <w:color w:val="auto"/>
        </w:rPr>
        <w:t>Federal Reserve Bulletin</w:t>
      </w:r>
      <w:r>
        <w:rPr>
          <w:rFonts w:ascii="Times New Roman" w:cs="Times New Roman" w:eastAsia="Times New Roman" w:hAnsi="Times New Roman"/>
          <w:sz w:val="16"/>
          <w:szCs w:val="16"/>
          <w:color w:val="auto"/>
        </w:rPr>
        <w:t>, 90 (Winter): 1–18.</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16"/>
          <w:szCs w:val="16"/>
          <w:color w:val="auto"/>
        </w:rPr>
        <w:t>Bates, Timothy. 2000. Financing the Development of Urban Minority Communities: Lessons of His-</w:t>
      </w:r>
    </w:p>
    <w:p>
      <w:pPr>
        <w:spacing w:after="0" w:line="19" w:lineRule="exact"/>
        <w:rPr>
          <w:sz w:val="20"/>
          <w:szCs w:val="20"/>
          <w:color w:val="auto"/>
        </w:rPr>
      </w:pPr>
    </w:p>
    <w:p>
      <w:pPr>
        <w:ind w:left="240"/>
        <w:spacing w:after="0"/>
        <w:rPr>
          <w:sz w:val="20"/>
          <w:szCs w:val="20"/>
          <w:color w:val="auto"/>
        </w:rPr>
      </w:pPr>
      <w:r>
        <w:rPr>
          <w:rFonts w:ascii="Times New Roman" w:cs="Times New Roman" w:eastAsia="Times New Roman" w:hAnsi="Times New Roman"/>
          <w:sz w:val="16"/>
          <w:szCs w:val="16"/>
          <w:color w:val="auto"/>
        </w:rPr>
        <w:t xml:space="preserve">tory. </w:t>
      </w:r>
      <w:r>
        <w:rPr>
          <w:rFonts w:ascii="Arial" w:cs="Arial" w:eastAsia="Arial" w:hAnsi="Arial"/>
          <w:sz w:val="16"/>
          <w:szCs w:val="16"/>
          <w:color w:val="auto"/>
        </w:rPr>
        <w:t>Economic Development Quarterly</w:t>
      </w:r>
      <w:r>
        <w:rPr>
          <w:rFonts w:ascii="Times New Roman" w:cs="Times New Roman" w:eastAsia="Times New Roman" w:hAnsi="Times New Roman"/>
          <w:sz w:val="16"/>
          <w:szCs w:val="16"/>
          <w:color w:val="auto"/>
        </w:rPr>
        <w:t>, 14 (3): 227–241.</w:t>
      </w:r>
    </w:p>
    <w:p>
      <w:pPr>
        <w:spacing w:after="0" w:line="41" w:lineRule="exact"/>
        <w:rPr>
          <w:sz w:val="20"/>
          <w:szCs w:val="20"/>
          <w:color w:val="auto"/>
        </w:rPr>
      </w:pPr>
    </w:p>
    <w:p>
      <w:pPr>
        <w:jc w:val="both"/>
        <w:ind w:left="240" w:hanging="238"/>
        <w:spacing w:after="0" w:line="239" w:lineRule="auto"/>
        <w:rPr>
          <w:sz w:val="20"/>
          <w:szCs w:val="20"/>
          <w:color w:val="auto"/>
        </w:rPr>
      </w:pPr>
      <w:r>
        <w:rPr>
          <w:rFonts w:ascii="Times New Roman" w:cs="Times New Roman" w:eastAsia="Times New Roman" w:hAnsi="Times New Roman"/>
          <w:sz w:val="16"/>
          <w:szCs w:val="16"/>
          <w:color w:val="auto"/>
        </w:rPr>
        <w:t xml:space="preserve">Bayer, P. J., B. D. Bernheim, and J. K. Scholz. 1996. </w:t>
      </w:r>
      <w:r>
        <w:rPr>
          <w:rFonts w:ascii="Arial" w:cs="Arial" w:eastAsia="Arial" w:hAnsi="Arial"/>
          <w:sz w:val="16"/>
          <w:szCs w:val="16"/>
          <w:color w:val="auto"/>
        </w:rPr>
        <w:t>The Effects of Financial Education in the Work-place: Evidence from a Survey of Employers</w:t>
      </w:r>
      <w:r>
        <w:rPr>
          <w:rFonts w:ascii="Times New Roman" w:cs="Times New Roman" w:eastAsia="Times New Roman" w:hAnsi="Times New Roman"/>
          <w:sz w:val="16"/>
          <w:szCs w:val="16"/>
          <w:color w:val="auto"/>
        </w:rPr>
        <w:t>. Working Paper No. 5655. Cambridge, MA: National</w:t>
      </w:r>
      <w:r>
        <w:rPr>
          <w:rFonts w:ascii="Arial" w:cs="Arial" w:eastAsia="Arial" w:hAnsi="Arial"/>
          <w:sz w:val="16"/>
          <w:szCs w:val="16"/>
          <w:color w:val="auto"/>
        </w:rPr>
        <w:t xml:space="preserve"> </w:t>
      </w:r>
      <w:r>
        <w:rPr>
          <w:rFonts w:ascii="Times New Roman" w:cs="Times New Roman" w:eastAsia="Times New Roman" w:hAnsi="Times New Roman"/>
          <w:sz w:val="16"/>
          <w:szCs w:val="16"/>
          <w:color w:val="auto"/>
        </w:rPr>
        <w:t>Bureau of Economic Research.</w:t>
      </w:r>
    </w:p>
    <w:p>
      <w:pPr>
        <w:spacing w:after="0" w:line="47" w:lineRule="exact"/>
        <w:rPr>
          <w:sz w:val="20"/>
          <w:szCs w:val="20"/>
          <w:color w:val="auto"/>
        </w:rPr>
      </w:pPr>
    </w:p>
    <w:p>
      <w:pPr>
        <w:jc w:val="both"/>
        <w:ind w:left="240" w:hanging="238"/>
        <w:spacing w:after="0" w:line="238" w:lineRule="auto"/>
        <w:rPr>
          <w:sz w:val="20"/>
          <w:szCs w:val="20"/>
          <w:color w:val="auto"/>
        </w:rPr>
      </w:pPr>
      <w:r>
        <w:rPr>
          <w:rFonts w:ascii="Times New Roman" w:cs="Times New Roman" w:eastAsia="Times New Roman" w:hAnsi="Times New Roman"/>
          <w:sz w:val="16"/>
          <w:szCs w:val="16"/>
          <w:color w:val="auto"/>
        </w:rPr>
        <w:t xml:space="preserve">Bernheim, B. D. 1998. Financial Literacy, Education, and Retirement Saving. In </w:t>
      </w:r>
      <w:r>
        <w:rPr>
          <w:rFonts w:ascii="Arial" w:cs="Arial" w:eastAsia="Arial" w:hAnsi="Arial"/>
          <w:sz w:val="16"/>
          <w:szCs w:val="16"/>
          <w:color w:val="auto"/>
        </w:rPr>
        <w:t>Living with Defined</w:t>
      </w:r>
      <w:r>
        <w:rPr>
          <w:rFonts w:ascii="Times New Roman" w:cs="Times New Roman" w:eastAsia="Times New Roman" w:hAnsi="Times New Roman"/>
          <w:sz w:val="16"/>
          <w:szCs w:val="16"/>
          <w:color w:val="auto"/>
        </w:rPr>
        <w:t xml:space="preserve"> </w:t>
      </w:r>
      <w:r>
        <w:rPr>
          <w:rFonts w:ascii="Arial" w:cs="Arial" w:eastAsia="Arial" w:hAnsi="Arial"/>
          <w:sz w:val="16"/>
          <w:szCs w:val="16"/>
          <w:color w:val="auto"/>
        </w:rPr>
        <w:t>Contribution Pensions</w:t>
      </w:r>
      <w:r>
        <w:rPr>
          <w:rFonts w:ascii="Times New Roman" w:cs="Times New Roman" w:eastAsia="Times New Roman" w:hAnsi="Times New Roman"/>
          <w:sz w:val="16"/>
          <w:szCs w:val="16"/>
          <w:color w:val="auto"/>
        </w:rPr>
        <w:t>, edited by O. S. Mitchell and S. J. Schieber, pp. 38–68. Philadelphia:</w:t>
      </w:r>
      <w:r>
        <w:rPr>
          <w:rFonts w:ascii="Arial" w:cs="Arial" w:eastAsia="Arial" w:hAnsi="Arial"/>
          <w:sz w:val="16"/>
          <w:szCs w:val="16"/>
          <w:color w:val="auto"/>
        </w:rPr>
        <w:t xml:space="preserve"> </w:t>
      </w:r>
      <w:r>
        <w:rPr>
          <w:rFonts w:ascii="Times New Roman" w:cs="Times New Roman" w:eastAsia="Times New Roman" w:hAnsi="Times New Roman"/>
          <w:sz w:val="16"/>
          <w:szCs w:val="16"/>
          <w:color w:val="auto"/>
        </w:rPr>
        <w:t>University of Pennsylvania.</w:t>
      </w:r>
    </w:p>
    <w:p>
      <w:pPr>
        <w:spacing w:after="0" w:line="48" w:lineRule="exact"/>
        <w:rPr>
          <w:sz w:val="20"/>
          <w:szCs w:val="20"/>
          <w:color w:val="auto"/>
        </w:rPr>
      </w:pPr>
    </w:p>
    <w:p>
      <w:pPr>
        <w:jc w:val="both"/>
        <w:ind w:left="240" w:hanging="238"/>
        <w:spacing w:after="0" w:line="289" w:lineRule="auto"/>
        <w:rPr>
          <w:sz w:val="20"/>
          <w:szCs w:val="20"/>
          <w:color w:val="auto"/>
        </w:rPr>
      </w:pPr>
      <w:r>
        <w:rPr>
          <w:rFonts w:ascii="Times New Roman" w:cs="Times New Roman" w:eastAsia="Times New Roman" w:hAnsi="Times New Roman"/>
          <w:sz w:val="14"/>
          <w:szCs w:val="14"/>
          <w:color w:val="auto"/>
        </w:rPr>
        <w:t xml:space="preserve">Bernheim, B. D. and D. M. Garrett. 1996. </w:t>
      </w:r>
      <w:r>
        <w:rPr>
          <w:rFonts w:ascii="Arial" w:cs="Arial" w:eastAsia="Arial" w:hAnsi="Arial"/>
          <w:sz w:val="14"/>
          <w:szCs w:val="14"/>
          <w:color w:val="auto"/>
        </w:rPr>
        <w:t>The Determinants and Consequences of Financial Education</w:t>
      </w:r>
      <w:r>
        <w:rPr>
          <w:rFonts w:ascii="Times New Roman" w:cs="Times New Roman" w:eastAsia="Times New Roman" w:hAnsi="Times New Roman"/>
          <w:sz w:val="14"/>
          <w:szCs w:val="14"/>
          <w:color w:val="auto"/>
        </w:rPr>
        <w:t xml:space="preserve"> </w:t>
      </w:r>
      <w:r>
        <w:rPr>
          <w:rFonts w:ascii="Arial" w:cs="Arial" w:eastAsia="Arial" w:hAnsi="Arial"/>
          <w:sz w:val="14"/>
          <w:szCs w:val="14"/>
          <w:color w:val="auto"/>
        </w:rPr>
        <w:t>in the Workplace: Evidence from a Survey of Households</w:t>
      </w:r>
      <w:r>
        <w:rPr>
          <w:rFonts w:ascii="Times New Roman" w:cs="Times New Roman" w:eastAsia="Times New Roman" w:hAnsi="Times New Roman"/>
          <w:sz w:val="14"/>
          <w:szCs w:val="14"/>
          <w:color w:val="auto"/>
        </w:rPr>
        <w:t>. Working Paper No. 5667. Cambridge,</w:t>
      </w:r>
    </w:p>
    <w:p>
      <w:pPr>
        <w:ind w:left="240"/>
        <w:spacing w:after="0" w:line="211" w:lineRule="auto"/>
        <w:rPr>
          <w:sz w:val="20"/>
          <w:szCs w:val="20"/>
          <w:color w:val="auto"/>
        </w:rPr>
      </w:pPr>
      <w:r>
        <w:rPr>
          <w:rFonts w:ascii="Times New Roman" w:cs="Times New Roman" w:eastAsia="Times New Roman" w:hAnsi="Times New Roman"/>
          <w:sz w:val="16"/>
          <w:szCs w:val="16"/>
          <w:color w:val="auto"/>
        </w:rPr>
        <w:t>MA: National Bureau of Economic Research.</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5"/>
          <w:szCs w:val="15"/>
          <w:color w:val="auto"/>
        </w:rPr>
        <w:t xml:space="preserve">Bond, Philip and Robert Townsend. 1996. </w:t>
      </w:r>
      <w:r>
        <w:rPr>
          <w:rFonts w:ascii="Arial" w:cs="Arial" w:eastAsia="Arial" w:hAnsi="Arial"/>
          <w:sz w:val="15"/>
          <w:szCs w:val="15"/>
          <w:color w:val="auto"/>
        </w:rPr>
        <w:t>Formal and Informal Financing in a Chicago Ethnic Neigh-</w:t>
      </w:r>
    </w:p>
    <w:p>
      <w:pPr>
        <w:spacing w:after="0" w:line="15" w:lineRule="exact"/>
        <w:rPr>
          <w:sz w:val="20"/>
          <w:szCs w:val="20"/>
          <w:color w:val="auto"/>
        </w:rPr>
      </w:pPr>
    </w:p>
    <w:p>
      <w:pPr>
        <w:ind w:left="240"/>
        <w:spacing w:after="0"/>
        <w:rPr>
          <w:sz w:val="20"/>
          <w:szCs w:val="20"/>
          <w:color w:val="auto"/>
        </w:rPr>
      </w:pPr>
      <w:r>
        <w:rPr>
          <w:rFonts w:ascii="Arial" w:cs="Arial" w:eastAsia="Arial" w:hAnsi="Arial"/>
          <w:sz w:val="16"/>
          <w:szCs w:val="16"/>
          <w:color w:val="auto"/>
        </w:rPr>
        <w:t>borhood, Economic Perspectives</w:t>
      </w:r>
      <w:r>
        <w:rPr>
          <w:rFonts w:ascii="Times New Roman" w:cs="Times New Roman" w:eastAsia="Times New Roman" w:hAnsi="Times New Roman"/>
          <w:sz w:val="16"/>
          <w:szCs w:val="16"/>
          <w:color w:val="auto"/>
        </w:rPr>
        <w:t>. Federal Reserve Bank of Chicago.</w:t>
      </w:r>
    </w:p>
    <w:p>
      <w:pPr>
        <w:spacing w:after="0" w:line="43" w:lineRule="exact"/>
        <w:rPr>
          <w:sz w:val="20"/>
          <w:szCs w:val="20"/>
          <w:color w:val="auto"/>
        </w:rPr>
      </w:pPr>
    </w:p>
    <w:p>
      <w:pPr>
        <w:jc w:val="both"/>
        <w:ind w:left="240" w:hanging="238"/>
        <w:spacing w:after="0" w:line="238" w:lineRule="auto"/>
        <w:rPr>
          <w:sz w:val="20"/>
          <w:szCs w:val="20"/>
          <w:color w:val="auto"/>
        </w:rPr>
      </w:pPr>
      <w:r>
        <w:rPr>
          <w:rFonts w:ascii="Times New Roman" w:cs="Times New Roman" w:eastAsia="Times New Roman" w:hAnsi="Times New Roman"/>
          <w:sz w:val="16"/>
          <w:szCs w:val="16"/>
          <w:color w:val="auto"/>
        </w:rPr>
        <w:t xml:space="preserve">Braunstein, Sandra and Carolyn Welch. 2002. </w:t>
      </w:r>
      <w:r>
        <w:rPr>
          <w:rFonts w:ascii="Arial" w:cs="Arial" w:eastAsia="Arial" w:hAnsi="Arial"/>
          <w:sz w:val="16"/>
          <w:szCs w:val="16"/>
          <w:color w:val="auto"/>
        </w:rPr>
        <w:t>Financial Literacy: An Overview of Practice, Research</w:t>
      </w:r>
      <w:r>
        <w:rPr>
          <w:rFonts w:ascii="Times New Roman" w:cs="Times New Roman" w:eastAsia="Times New Roman" w:hAnsi="Times New Roman"/>
          <w:sz w:val="16"/>
          <w:szCs w:val="16"/>
          <w:color w:val="auto"/>
        </w:rPr>
        <w:t xml:space="preserve"> </w:t>
      </w:r>
      <w:r>
        <w:rPr>
          <w:rFonts w:ascii="Arial" w:cs="Arial" w:eastAsia="Arial" w:hAnsi="Arial"/>
          <w:sz w:val="16"/>
          <w:szCs w:val="16"/>
          <w:color w:val="auto"/>
        </w:rPr>
        <w:t>and Policy</w:t>
      </w:r>
      <w:r>
        <w:rPr>
          <w:rFonts w:ascii="Times New Roman" w:cs="Times New Roman" w:eastAsia="Times New Roman" w:hAnsi="Times New Roman"/>
          <w:sz w:val="16"/>
          <w:szCs w:val="16"/>
          <w:color w:val="auto"/>
        </w:rPr>
        <w:t>. Federal Reserve Bulletin, Division of Consumer and Community Affairs, Federal</w:t>
      </w:r>
      <w:r>
        <w:rPr>
          <w:rFonts w:ascii="Arial" w:cs="Arial" w:eastAsia="Arial" w:hAnsi="Arial"/>
          <w:sz w:val="16"/>
          <w:szCs w:val="16"/>
          <w:color w:val="auto"/>
        </w:rPr>
        <w:t xml:space="preserve"> </w:t>
      </w:r>
      <w:r>
        <w:rPr>
          <w:rFonts w:ascii="Times New Roman" w:cs="Times New Roman" w:eastAsia="Times New Roman" w:hAnsi="Times New Roman"/>
          <w:sz w:val="16"/>
          <w:szCs w:val="16"/>
          <w:color w:val="auto"/>
        </w:rPr>
        <w:t>Reserve Board, Washington, DC.</w:t>
      </w:r>
    </w:p>
    <w:p>
      <w:pPr>
        <w:spacing w:after="0" w:line="32" w:lineRule="exact"/>
        <w:rPr>
          <w:sz w:val="20"/>
          <w:szCs w:val="20"/>
          <w:color w:val="auto"/>
        </w:rPr>
      </w:pPr>
    </w:p>
    <w:p>
      <w:pPr>
        <w:spacing w:after="0"/>
        <w:rPr>
          <w:sz w:val="20"/>
          <w:szCs w:val="20"/>
          <w:color w:val="auto"/>
        </w:rPr>
      </w:pPr>
      <w:r>
        <w:rPr>
          <w:rFonts w:ascii="Times New Roman" w:cs="Times New Roman" w:eastAsia="Times New Roman" w:hAnsi="Times New Roman"/>
          <w:sz w:val="15"/>
          <w:szCs w:val="15"/>
          <w:color w:val="auto"/>
        </w:rPr>
        <w:t xml:space="preserve">Cancian, Maria. 2001. The Rhetoric and Reality of Work-Based Welfare Reform. </w:t>
      </w:r>
      <w:r>
        <w:rPr>
          <w:rFonts w:ascii="Arial" w:cs="Arial" w:eastAsia="Arial" w:hAnsi="Arial"/>
          <w:sz w:val="15"/>
          <w:szCs w:val="15"/>
          <w:color w:val="auto"/>
        </w:rPr>
        <w:t>Social Work</w:t>
      </w:r>
      <w:r>
        <w:rPr>
          <w:rFonts w:ascii="Times New Roman" w:cs="Times New Roman" w:eastAsia="Times New Roman" w:hAnsi="Times New Roman"/>
          <w:sz w:val="15"/>
          <w:szCs w:val="15"/>
          <w:color w:val="auto"/>
        </w:rPr>
        <w:t xml:space="preserve"> 46 (4):</w:t>
      </w:r>
    </w:p>
    <w:p>
      <w:pPr>
        <w:spacing w:after="0" w:line="10" w:lineRule="exact"/>
        <w:rPr>
          <w:sz w:val="20"/>
          <w:szCs w:val="20"/>
          <w:color w:val="auto"/>
        </w:rPr>
      </w:pPr>
    </w:p>
    <w:p>
      <w:pPr>
        <w:ind w:left="240"/>
        <w:spacing w:after="0"/>
        <w:rPr>
          <w:sz w:val="20"/>
          <w:szCs w:val="20"/>
          <w:color w:val="auto"/>
        </w:rPr>
      </w:pPr>
      <w:r>
        <w:rPr>
          <w:rFonts w:ascii="Times New Roman" w:cs="Times New Roman" w:eastAsia="Times New Roman" w:hAnsi="Times New Roman"/>
          <w:sz w:val="16"/>
          <w:szCs w:val="16"/>
          <w:color w:val="auto"/>
        </w:rPr>
        <w:t>309–314.</w:t>
      </w:r>
    </w:p>
    <w:p>
      <w:pPr>
        <w:spacing w:after="0" w:line="51" w:lineRule="exact"/>
        <w:rPr>
          <w:sz w:val="20"/>
          <w:szCs w:val="20"/>
          <w:color w:val="auto"/>
        </w:rPr>
      </w:pPr>
    </w:p>
    <w:p>
      <w:pPr>
        <w:jc w:val="both"/>
        <w:ind w:left="240" w:hanging="238"/>
        <w:spacing w:after="0" w:line="237" w:lineRule="auto"/>
        <w:rPr>
          <w:sz w:val="20"/>
          <w:szCs w:val="20"/>
          <w:color w:val="auto"/>
        </w:rPr>
      </w:pPr>
      <w:r>
        <w:rPr>
          <w:rFonts w:ascii="Times New Roman" w:cs="Times New Roman" w:eastAsia="Times New Roman" w:hAnsi="Times New Roman"/>
          <w:sz w:val="16"/>
          <w:szCs w:val="16"/>
          <w:color w:val="auto"/>
        </w:rPr>
        <w:t xml:space="preserve">Carr, James H. and Jenny Schuetz. 2001. Financial Services in Distressed Communities: Framing the Issue, Finding Solutions. </w:t>
      </w:r>
      <w:r>
        <w:rPr>
          <w:rFonts w:ascii="Arial" w:cs="Arial" w:eastAsia="Arial" w:hAnsi="Arial"/>
          <w:sz w:val="16"/>
          <w:szCs w:val="16"/>
          <w:color w:val="auto"/>
        </w:rPr>
        <w:t>Fannie Mae Foundation</w:t>
      </w:r>
      <w:r>
        <w:rPr>
          <w:rFonts w:ascii="Times New Roman" w:cs="Times New Roman" w:eastAsia="Times New Roman" w:hAnsi="Times New Roman"/>
          <w:sz w:val="16"/>
          <w:szCs w:val="16"/>
          <w:color w:val="auto"/>
        </w:rPr>
        <w:t>, (August): 5–30. http://www.fanniemaefoundation. org/programs/financial.PDF.</w:t>
      </w:r>
    </w:p>
    <w:p>
      <w:pPr>
        <w:spacing w:after="0" w:line="47" w:lineRule="exact"/>
        <w:rPr>
          <w:sz w:val="20"/>
          <w:szCs w:val="20"/>
          <w:color w:val="auto"/>
        </w:rPr>
      </w:pPr>
    </w:p>
    <w:p>
      <w:pPr>
        <w:jc w:val="both"/>
        <w:ind w:left="240" w:hanging="238"/>
        <w:spacing w:after="0" w:line="231" w:lineRule="auto"/>
        <w:rPr>
          <w:sz w:val="20"/>
          <w:szCs w:val="20"/>
          <w:color w:val="auto"/>
        </w:rPr>
      </w:pPr>
      <w:r>
        <w:rPr>
          <w:rFonts w:ascii="Times New Roman" w:cs="Times New Roman" w:eastAsia="Times New Roman" w:hAnsi="Times New Roman"/>
          <w:sz w:val="16"/>
          <w:szCs w:val="16"/>
          <w:color w:val="auto"/>
        </w:rPr>
        <w:t xml:space="preserve">Ciccotello, J. D. and John F. Elger. 2004. </w:t>
      </w:r>
      <w:r>
        <w:rPr>
          <w:rFonts w:ascii="Arial" w:cs="Arial" w:eastAsia="Arial" w:hAnsi="Arial"/>
          <w:sz w:val="16"/>
          <w:szCs w:val="16"/>
          <w:color w:val="auto"/>
        </w:rPr>
        <w:t>A Strategic Management Approach to Personal Financial</w:t>
      </w:r>
      <w:r>
        <w:rPr>
          <w:rFonts w:ascii="Times New Roman" w:cs="Times New Roman" w:eastAsia="Times New Roman" w:hAnsi="Times New Roman"/>
          <w:sz w:val="16"/>
          <w:szCs w:val="16"/>
          <w:color w:val="auto"/>
        </w:rPr>
        <w:t xml:space="preserve"> </w:t>
      </w:r>
      <w:r>
        <w:rPr>
          <w:rFonts w:ascii="Arial" w:cs="Arial" w:eastAsia="Arial" w:hAnsi="Arial"/>
          <w:sz w:val="16"/>
          <w:szCs w:val="16"/>
          <w:color w:val="auto"/>
        </w:rPr>
        <w:t>Planning</w:t>
      </w:r>
      <w:r>
        <w:rPr>
          <w:rFonts w:ascii="Times New Roman" w:cs="Times New Roman" w:eastAsia="Times New Roman" w:hAnsi="Times New Roman"/>
          <w:sz w:val="16"/>
          <w:szCs w:val="16"/>
          <w:color w:val="auto"/>
        </w:rPr>
        <w:t>. Greenwood Village, CO: National Endowment for Financial Education.</w:t>
      </w:r>
    </w:p>
    <w:p>
      <w:pPr>
        <w:spacing w:after="0" w:line="44" w:lineRule="exact"/>
        <w:rPr>
          <w:sz w:val="20"/>
          <w:szCs w:val="20"/>
          <w:color w:val="auto"/>
        </w:rPr>
      </w:pPr>
    </w:p>
    <w:p>
      <w:pPr>
        <w:jc w:val="both"/>
        <w:ind w:left="240" w:hanging="238"/>
        <w:spacing w:after="0" w:line="254" w:lineRule="auto"/>
        <w:rPr>
          <w:sz w:val="20"/>
          <w:szCs w:val="20"/>
          <w:color w:val="auto"/>
        </w:rPr>
      </w:pPr>
      <w:r>
        <w:rPr>
          <w:rFonts w:ascii="Times New Roman" w:cs="Times New Roman" w:eastAsia="Times New Roman" w:hAnsi="Times New Roman"/>
          <w:sz w:val="15"/>
          <w:szCs w:val="15"/>
          <w:color w:val="auto"/>
        </w:rPr>
        <w:t xml:space="preserve">Cuevas, Jackie. 1998. The Internet Banking Horizon: Bleak or Bright for Community Banks? </w:t>
      </w:r>
      <w:r>
        <w:rPr>
          <w:rFonts w:ascii="Arial" w:cs="Arial" w:eastAsia="Arial" w:hAnsi="Arial"/>
          <w:sz w:val="15"/>
          <w:szCs w:val="15"/>
          <w:color w:val="auto"/>
        </w:rPr>
        <w:t>Journal of</w:t>
      </w:r>
      <w:r>
        <w:rPr>
          <w:rFonts w:ascii="Times New Roman" w:cs="Times New Roman" w:eastAsia="Times New Roman" w:hAnsi="Times New Roman"/>
          <w:sz w:val="15"/>
          <w:szCs w:val="15"/>
          <w:color w:val="auto"/>
        </w:rPr>
        <w:t xml:space="preserve"> </w:t>
      </w:r>
      <w:r>
        <w:rPr>
          <w:rFonts w:ascii="Arial" w:cs="Arial" w:eastAsia="Arial" w:hAnsi="Arial"/>
          <w:sz w:val="15"/>
          <w:szCs w:val="15"/>
          <w:color w:val="auto"/>
        </w:rPr>
        <w:t>Internet Banking and Commerce</w:t>
      </w:r>
      <w:r>
        <w:rPr>
          <w:rFonts w:ascii="Times New Roman" w:cs="Times New Roman" w:eastAsia="Times New Roman" w:hAnsi="Times New Roman"/>
          <w:sz w:val="15"/>
          <w:szCs w:val="15"/>
          <w:color w:val="auto"/>
        </w:rPr>
        <w:t>, 3 (3). http://www.arraydev.com/commerce/JIBC/9811-14.htm.</w:t>
      </w:r>
    </w:p>
    <w:p>
      <w:pPr>
        <w:spacing w:after="0" w:line="31" w:lineRule="exact"/>
        <w:rPr>
          <w:sz w:val="20"/>
          <w:szCs w:val="20"/>
          <w:color w:val="auto"/>
        </w:rPr>
      </w:pPr>
    </w:p>
    <w:p>
      <w:pPr>
        <w:jc w:val="both"/>
        <w:ind w:left="240" w:hanging="238"/>
        <w:spacing w:after="0" w:line="254" w:lineRule="auto"/>
        <w:rPr>
          <w:sz w:val="20"/>
          <w:szCs w:val="20"/>
          <w:color w:val="auto"/>
        </w:rPr>
      </w:pPr>
      <w:r>
        <w:rPr>
          <w:rFonts w:ascii="Times New Roman" w:cs="Times New Roman" w:eastAsia="Times New Roman" w:hAnsi="Times New Roman"/>
          <w:sz w:val="15"/>
          <w:szCs w:val="15"/>
          <w:color w:val="auto"/>
        </w:rPr>
        <w:t xml:space="preserve">Davies, Steve, Randal Pinkett, Lisa Servon, and Andrew Wiley-Schwartz. 2003. </w:t>
      </w:r>
      <w:r>
        <w:rPr>
          <w:rFonts w:ascii="Arial" w:cs="Arial" w:eastAsia="Arial" w:hAnsi="Arial"/>
          <w:sz w:val="15"/>
          <w:szCs w:val="15"/>
          <w:color w:val="auto"/>
        </w:rPr>
        <w:t>Community Technol-ogy Centers as Catalysts for Community Change</w:t>
      </w:r>
      <w:r>
        <w:rPr>
          <w:rFonts w:ascii="Times New Roman" w:cs="Times New Roman" w:eastAsia="Times New Roman" w:hAnsi="Times New Roman"/>
          <w:sz w:val="15"/>
          <w:szCs w:val="15"/>
          <w:color w:val="auto"/>
        </w:rPr>
        <w:t>. Unpublished Report to the Ford Foundation.</w:t>
      </w:r>
    </w:p>
    <w:p>
      <w:pPr>
        <w:spacing w:after="0" w:line="37" w:lineRule="exact"/>
        <w:rPr>
          <w:sz w:val="20"/>
          <w:szCs w:val="20"/>
          <w:color w:val="auto"/>
        </w:rPr>
      </w:pPr>
    </w:p>
    <w:p>
      <w:pPr>
        <w:jc w:val="both"/>
        <w:ind w:left="240" w:hanging="238"/>
        <w:spacing w:after="0" w:line="228" w:lineRule="auto"/>
        <w:rPr>
          <w:sz w:val="20"/>
          <w:szCs w:val="20"/>
          <w:color w:val="auto"/>
        </w:rPr>
      </w:pPr>
      <w:r>
        <w:rPr>
          <w:rFonts w:ascii="Times New Roman" w:cs="Times New Roman" w:eastAsia="Times New Roman" w:hAnsi="Times New Roman"/>
          <w:sz w:val="16"/>
          <w:szCs w:val="16"/>
          <w:color w:val="auto"/>
        </w:rPr>
        <w:t xml:space="preserve">Davis, F. D. 1989. Perceived Usefulness, Perceived Ease of Use, and User Acceptance of Information Technology. </w:t>
      </w:r>
      <w:r>
        <w:rPr>
          <w:rFonts w:ascii="Arial" w:cs="Arial" w:eastAsia="Arial" w:hAnsi="Arial"/>
          <w:sz w:val="16"/>
          <w:szCs w:val="16"/>
          <w:color w:val="auto"/>
        </w:rPr>
        <w:t>MIS Quarterly</w:t>
      </w:r>
      <w:r>
        <w:rPr>
          <w:rFonts w:ascii="Times New Roman" w:cs="Times New Roman" w:eastAsia="Times New Roman" w:hAnsi="Times New Roman"/>
          <w:sz w:val="16"/>
          <w:szCs w:val="16"/>
          <w:color w:val="auto"/>
        </w:rPr>
        <w:t>, 13 (3): 319–339.</w:t>
      </w:r>
    </w:p>
    <w:p>
      <w:pPr>
        <w:spacing w:after="0" w:line="43" w:lineRule="exact"/>
        <w:rPr>
          <w:sz w:val="20"/>
          <w:szCs w:val="20"/>
          <w:color w:val="auto"/>
        </w:rPr>
      </w:pPr>
    </w:p>
    <w:p>
      <w:pPr>
        <w:jc w:val="both"/>
        <w:ind w:left="240" w:hanging="238"/>
        <w:spacing w:after="0" w:line="232" w:lineRule="auto"/>
        <w:rPr>
          <w:sz w:val="20"/>
          <w:szCs w:val="20"/>
          <w:color w:val="auto"/>
        </w:rPr>
      </w:pPr>
      <w:r>
        <w:rPr>
          <w:rFonts w:ascii="Times New Roman" w:cs="Times New Roman" w:eastAsia="Times New Roman" w:hAnsi="Times New Roman"/>
          <w:sz w:val="16"/>
          <w:szCs w:val="16"/>
          <w:color w:val="auto"/>
        </w:rPr>
        <w:t xml:space="preserve">Fondation, Larry, Peter Rufano, and Patricia Walker. 1999. Collaborating with Congregations. </w:t>
      </w:r>
      <w:r>
        <w:rPr>
          <w:rFonts w:ascii="Arial" w:cs="Arial" w:eastAsia="Arial" w:hAnsi="Arial"/>
          <w:sz w:val="16"/>
          <w:szCs w:val="16"/>
          <w:color w:val="auto"/>
        </w:rPr>
        <w:t>Harvard</w:t>
      </w:r>
      <w:r>
        <w:rPr>
          <w:rFonts w:ascii="Times New Roman" w:cs="Times New Roman" w:eastAsia="Times New Roman" w:hAnsi="Times New Roman"/>
          <w:sz w:val="16"/>
          <w:szCs w:val="16"/>
          <w:color w:val="auto"/>
        </w:rPr>
        <w:t xml:space="preserve"> </w:t>
      </w:r>
      <w:r>
        <w:rPr>
          <w:rFonts w:ascii="Arial" w:cs="Arial" w:eastAsia="Arial" w:hAnsi="Arial"/>
          <w:sz w:val="16"/>
          <w:szCs w:val="16"/>
          <w:color w:val="auto"/>
        </w:rPr>
        <w:t>Business Review</w:t>
      </w:r>
      <w:r>
        <w:rPr>
          <w:rFonts w:ascii="Times New Roman" w:cs="Times New Roman" w:eastAsia="Times New Roman" w:hAnsi="Times New Roman"/>
          <w:sz w:val="16"/>
          <w:szCs w:val="16"/>
          <w:color w:val="auto"/>
        </w:rPr>
        <w:t>, 4 (July/August): 57–64, 66–68, 184.</w:t>
      </w:r>
    </w:p>
    <w:p>
      <w:pPr>
        <w:spacing w:after="0" w:line="47" w:lineRule="exact"/>
        <w:rPr>
          <w:sz w:val="20"/>
          <w:szCs w:val="20"/>
          <w:color w:val="auto"/>
        </w:rPr>
      </w:pPr>
    </w:p>
    <w:p>
      <w:pPr>
        <w:jc w:val="both"/>
        <w:ind w:left="240" w:hanging="238"/>
        <w:spacing w:after="0" w:line="228" w:lineRule="auto"/>
        <w:rPr>
          <w:sz w:val="20"/>
          <w:szCs w:val="20"/>
          <w:color w:val="auto"/>
        </w:rPr>
      </w:pPr>
      <w:r>
        <w:rPr>
          <w:rFonts w:ascii="Times New Roman" w:cs="Times New Roman" w:eastAsia="Times New Roman" w:hAnsi="Times New Roman"/>
          <w:sz w:val="16"/>
          <w:szCs w:val="16"/>
          <w:color w:val="auto"/>
        </w:rPr>
        <w:t xml:space="preserve">Fox, Jonathan, Bartholomae, Suzanne, and Jinkook Lee. 2005. Building the Case for Financial Edu-cation. </w:t>
      </w:r>
      <w:r>
        <w:rPr>
          <w:rFonts w:ascii="Arial" w:cs="Arial" w:eastAsia="Arial" w:hAnsi="Arial"/>
          <w:sz w:val="16"/>
          <w:szCs w:val="16"/>
          <w:color w:val="auto"/>
        </w:rPr>
        <w:t>Journal of Consumer Affairs</w:t>
      </w:r>
      <w:r>
        <w:rPr>
          <w:rFonts w:ascii="Times New Roman" w:cs="Times New Roman" w:eastAsia="Times New Roman" w:hAnsi="Times New Roman"/>
          <w:sz w:val="16"/>
          <w:szCs w:val="16"/>
          <w:color w:val="auto"/>
        </w:rPr>
        <w:t>, 39 (1): 195–214.</w:t>
      </w:r>
    </w:p>
    <w:p>
      <w:pPr>
        <w:spacing w:after="0" w:line="43" w:lineRule="exact"/>
        <w:rPr>
          <w:sz w:val="20"/>
          <w:szCs w:val="20"/>
          <w:color w:val="auto"/>
        </w:rPr>
      </w:pPr>
    </w:p>
    <w:p>
      <w:pPr>
        <w:jc w:val="both"/>
        <w:ind w:left="240" w:hanging="238"/>
        <w:spacing w:after="0" w:line="229" w:lineRule="auto"/>
        <w:rPr>
          <w:sz w:val="20"/>
          <w:szCs w:val="20"/>
          <w:color w:val="auto"/>
        </w:rPr>
      </w:pPr>
      <w:r>
        <w:rPr>
          <w:rFonts w:ascii="Times New Roman" w:cs="Times New Roman" w:eastAsia="Times New Roman" w:hAnsi="Times New Roman"/>
          <w:sz w:val="16"/>
          <w:szCs w:val="16"/>
          <w:color w:val="auto"/>
        </w:rPr>
        <w:t xml:space="preserve">Fox, Susannah. 2005. </w:t>
      </w:r>
      <w:r>
        <w:rPr>
          <w:rFonts w:ascii="Arial" w:cs="Arial" w:eastAsia="Arial" w:hAnsi="Arial"/>
          <w:sz w:val="16"/>
          <w:szCs w:val="16"/>
          <w:color w:val="auto"/>
        </w:rPr>
        <w:t>Data Memo Re: The State of Online Banking</w:t>
      </w:r>
      <w:r>
        <w:rPr>
          <w:rFonts w:ascii="Times New Roman" w:cs="Times New Roman" w:eastAsia="Times New Roman" w:hAnsi="Times New Roman"/>
          <w:sz w:val="16"/>
          <w:szCs w:val="16"/>
          <w:color w:val="auto"/>
        </w:rPr>
        <w:t>. Washington, DC: Pew Internet and American Life Project.</w:t>
      </w:r>
    </w:p>
    <w:p>
      <w:pPr>
        <w:spacing w:after="0" w:line="28" w:lineRule="exact"/>
        <w:rPr>
          <w:sz w:val="20"/>
          <w:szCs w:val="20"/>
          <w:color w:val="auto"/>
        </w:rPr>
      </w:pPr>
    </w:p>
    <w:p>
      <w:pPr>
        <w:spacing w:after="0"/>
        <w:rPr>
          <w:sz w:val="20"/>
          <w:szCs w:val="20"/>
          <w:color w:val="auto"/>
        </w:rPr>
      </w:pPr>
      <w:r>
        <w:rPr>
          <w:rFonts w:ascii="Times New Roman" w:cs="Times New Roman" w:eastAsia="Times New Roman" w:hAnsi="Times New Roman"/>
          <w:sz w:val="15"/>
          <w:szCs w:val="15"/>
          <w:color w:val="auto"/>
        </w:rPr>
        <w:t>Furst, Karen, William W. Lang, and Daniel E. Nolle. 2001. Internet in the U.S.: Landscape, Prospects,</w:t>
      </w:r>
    </w:p>
    <w:p>
      <w:pPr>
        <w:spacing w:after="0" w:line="18" w:lineRule="exact"/>
        <w:rPr>
          <w:sz w:val="20"/>
          <w:szCs w:val="20"/>
          <w:color w:val="auto"/>
        </w:rPr>
      </w:pPr>
    </w:p>
    <w:p>
      <w:pPr>
        <w:ind w:left="240"/>
        <w:spacing w:after="0"/>
        <w:rPr>
          <w:sz w:val="20"/>
          <w:szCs w:val="20"/>
          <w:color w:val="auto"/>
        </w:rPr>
      </w:pPr>
      <w:r>
        <w:rPr>
          <w:rFonts w:ascii="Times New Roman" w:cs="Times New Roman" w:eastAsia="Times New Roman" w:hAnsi="Times New Roman"/>
          <w:sz w:val="16"/>
          <w:szCs w:val="16"/>
          <w:color w:val="auto"/>
        </w:rPr>
        <w:t xml:space="preserve">Industry Implications. </w:t>
      </w:r>
      <w:r>
        <w:rPr>
          <w:rFonts w:ascii="Arial" w:cs="Arial" w:eastAsia="Arial" w:hAnsi="Arial"/>
          <w:sz w:val="16"/>
          <w:szCs w:val="16"/>
          <w:color w:val="auto"/>
        </w:rPr>
        <w:t>Journal of Financial Transformation</w:t>
      </w:r>
      <w:r>
        <w:rPr>
          <w:rFonts w:ascii="Times New Roman" w:cs="Times New Roman" w:eastAsia="Times New Roman" w:hAnsi="Times New Roman"/>
          <w:sz w:val="16"/>
          <w:szCs w:val="16"/>
          <w:color w:val="auto"/>
        </w:rPr>
        <w:t>, 2 (September): 45–52.</w:t>
      </w:r>
    </w:p>
    <w:p>
      <w:pPr>
        <w:sectPr>
          <w:pgSz w:w="8640" w:h="13320" w:orient="portrait"/>
          <w:cols w:equalWidth="0" w:num="1">
            <w:col w:w="6460"/>
          </w:cols>
          <w:pgMar w:left="1240" w:top="771" w:right="940" w:bottom="1035" w:gutter="0" w:footer="0" w:header="0"/>
        </w:sectPr>
      </w:pPr>
    </w:p>
    <w:bookmarkStart w:id="33" w:name="page34"/>
    <w:bookmarkEnd w:id="33"/>
    <w:p>
      <w:pPr>
        <w:spacing w:after="0"/>
        <w:tabs>
          <w:tab w:leader="none" w:pos="3460" w:val="left"/>
        </w:tabs>
        <w:rPr>
          <w:sz w:val="20"/>
          <w:szCs w:val="20"/>
          <w:color w:val="auto"/>
        </w:rPr>
      </w:pPr>
      <w:r>
        <w:rPr>
          <w:rFonts w:ascii="Times New Roman" w:cs="Times New Roman" w:eastAsia="Times New Roman" w:hAnsi="Times New Roman"/>
          <w:sz w:val="20"/>
          <w:szCs w:val="20"/>
          <w:color w:val="auto"/>
        </w:rPr>
        <w:t>304</w:t>
      </w:r>
      <w:r>
        <w:rPr>
          <w:sz w:val="20"/>
          <w:szCs w:val="20"/>
          <w:color w:val="auto"/>
        </w:rPr>
        <w:tab/>
      </w:r>
      <w:r>
        <w:rPr>
          <w:rFonts w:ascii="Times New Roman" w:cs="Times New Roman" w:eastAsia="Times New Roman" w:hAnsi="Times New Roman"/>
          <w:sz w:val="16"/>
          <w:szCs w:val="16"/>
          <w:color w:val="auto"/>
        </w:rPr>
        <w:t>THE JOURNAL OF CONSUMER AFFAIRS</w:t>
      </w:r>
    </w:p>
    <w:p>
      <w:pPr>
        <w:spacing w:after="0" w:line="200" w:lineRule="exact"/>
        <w:rPr>
          <w:sz w:val="20"/>
          <w:szCs w:val="20"/>
          <w:color w:val="auto"/>
        </w:rPr>
      </w:pPr>
    </w:p>
    <w:p>
      <w:pPr>
        <w:spacing w:after="0" w:line="345" w:lineRule="exact"/>
        <w:rPr>
          <w:sz w:val="20"/>
          <w:szCs w:val="20"/>
          <w:color w:val="auto"/>
        </w:rPr>
      </w:pPr>
    </w:p>
    <w:p>
      <w:pPr>
        <w:jc w:val="both"/>
        <w:ind w:left="240" w:hanging="238"/>
        <w:spacing w:after="0" w:line="230" w:lineRule="auto"/>
        <w:rPr>
          <w:sz w:val="20"/>
          <w:szCs w:val="20"/>
          <w:color w:val="auto"/>
        </w:rPr>
      </w:pPr>
      <w:r>
        <w:rPr>
          <w:rFonts w:ascii="Times New Roman" w:cs="Times New Roman" w:eastAsia="Times New Roman" w:hAnsi="Times New Roman"/>
          <w:sz w:val="16"/>
          <w:szCs w:val="16"/>
          <w:color w:val="auto"/>
        </w:rPr>
        <w:t xml:space="preserve">Garman, E. Thomas. 1998. The Business Case for Financial Education. </w:t>
      </w:r>
      <w:r>
        <w:rPr>
          <w:rFonts w:ascii="Arial" w:cs="Arial" w:eastAsia="Arial" w:hAnsi="Arial"/>
          <w:sz w:val="16"/>
          <w:szCs w:val="16"/>
          <w:color w:val="auto"/>
        </w:rPr>
        <w:t>Personal Finances and Worker</w:t>
      </w:r>
      <w:r>
        <w:rPr>
          <w:rFonts w:ascii="Times New Roman" w:cs="Times New Roman" w:eastAsia="Times New Roman" w:hAnsi="Times New Roman"/>
          <w:sz w:val="16"/>
          <w:szCs w:val="16"/>
          <w:color w:val="auto"/>
        </w:rPr>
        <w:t xml:space="preserve"> </w:t>
      </w:r>
      <w:r>
        <w:rPr>
          <w:rFonts w:ascii="Arial" w:cs="Arial" w:eastAsia="Arial" w:hAnsi="Arial"/>
          <w:sz w:val="16"/>
          <w:szCs w:val="16"/>
          <w:color w:val="auto"/>
        </w:rPr>
        <w:t>Productivity</w:t>
      </w:r>
      <w:r>
        <w:rPr>
          <w:rFonts w:ascii="Times New Roman" w:cs="Times New Roman" w:eastAsia="Times New Roman" w:hAnsi="Times New Roman"/>
          <w:sz w:val="16"/>
          <w:szCs w:val="16"/>
          <w:color w:val="auto"/>
        </w:rPr>
        <w:t>, 2 (1): 81–93.</w:t>
      </w:r>
    </w:p>
    <w:p>
      <w:pPr>
        <w:spacing w:after="0" w:line="16" w:lineRule="exact"/>
        <w:rPr>
          <w:sz w:val="20"/>
          <w:szCs w:val="20"/>
          <w:color w:val="auto"/>
        </w:rPr>
      </w:pPr>
    </w:p>
    <w:p>
      <w:pPr>
        <w:spacing w:after="0"/>
        <w:rPr>
          <w:sz w:val="20"/>
          <w:szCs w:val="20"/>
          <w:color w:val="auto"/>
        </w:rPr>
      </w:pPr>
      <w:r>
        <w:rPr>
          <w:rFonts w:ascii="Times New Roman" w:cs="Times New Roman" w:eastAsia="Times New Roman" w:hAnsi="Times New Roman"/>
          <w:sz w:val="16"/>
          <w:szCs w:val="16"/>
          <w:color w:val="auto"/>
        </w:rPr>
        <w:t xml:space="preserve">Goldfield, Robert. 1998. Banking on the Web. </w:t>
      </w:r>
      <w:r>
        <w:rPr>
          <w:rFonts w:ascii="Arial" w:cs="Arial" w:eastAsia="Arial" w:hAnsi="Arial"/>
          <w:sz w:val="16"/>
          <w:szCs w:val="16"/>
          <w:color w:val="auto"/>
        </w:rPr>
        <w:t>Portland Business Journal</w:t>
      </w:r>
      <w:r>
        <w:rPr>
          <w:rFonts w:ascii="Times New Roman" w:cs="Times New Roman" w:eastAsia="Times New Roman" w:hAnsi="Times New Roman"/>
          <w:sz w:val="16"/>
          <w:szCs w:val="16"/>
          <w:color w:val="auto"/>
        </w:rPr>
        <w:t>, July 10.</w:t>
      </w:r>
    </w:p>
    <w:p>
      <w:pPr>
        <w:spacing w:after="0" w:line="23" w:lineRule="exact"/>
        <w:rPr>
          <w:sz w:val="20"/>
          <w:szCs w:val="20"/>
          <w:color w:val="auto"/>
        </w:rPr>
      </w:pPr>
    </w:p>
    <w:p>
      <w:pPr>
        <w:spacing w:after="0"/>
        <w:rPr>
          <w:sz w:val="20"/>
          <w:szCs w:val="20"/>
          <w:color w:val="auto"/>
        </w:rPr>
      </w:pPr>
      <w:r>
        <w:rPr>
          <w:rFonts w:ascii="Times New Roman" w:cs="Times New Roman" w:eastAsia="Times New Roman" w:hAnsi="Times New Roman"/>
          <w:sz w:val="15"/>
          <w:szCs w:val="15"/>
          <w:color w:val="auto"/>
        </w:rPr>
        <w:t>Hilgert, Marianne A. and Jeanne M. Hogarth. 2003. Household Financial Management: The Connection</w:t>
      </w:r>
    </w:p>
    <w:p>
      <w:pPr>
        <w:spacing w:after="0" w:line="19" w:lineRule="exact"/>
        <w:rPr>
          <w:sz w:val="20"/>
          <w:szCs w:val="20"/>
          <w:color w:val="auto"/>
        </w:rPr>
      </w:pPr>
    </w:p>
    <w:p>
      <w:pPr>
        <w:ind w:left="240"/>
        <w:spacing w:after="0"/>
        <w:rPr>
          <w:sz w:val="20"/>
          <w:szCs w:val="20"/>
          <w:color w:val="auto"/>
        </w:rPr>
      </w:pPr>
      <w:r>
        <w:rPr>
          <w:rFonts w:ascii="Times New Roman" w:cs="Times New Roman" w:eastAsia="Times New Roman" w:hAnsi="Times New Roman"/>
          <w:sz w:val="16"/>
          <w:szCs w:val="16"/>
          <w:color w:val="auto"/>
        </w:rPr>
        <w:t xml:space="preserve">Between Knowledge and Behavior. </w:t>
      </w:r>
      <w:r>
        <w:rPr>
          <w:rFonts w:ascii="Arial" w:cs="Arial" w:eastAsia="Arial" w:hAnsi="Arial"/>
          <w:sz w:val="16"/>
          <w:szCs w:val="16"/>
          <w:color w:val="auto"/>
        </w:rPr>
        <w:t>Federal Reserve Bulletin</w:t>
      </w:r>
      <w:r>
        <w:rPr>
          <w:rFonts w:ascii="Times New Roman" w:cs="Times New Roman" w:eastAsia="Times New Roman" w:hAnsi="Times New Roman"/>
          <w:sz w:val="16"/>
          <w:szCs w:val="16"/>
          <w:color w:val="auto"/>
        </w:rPr>
        <w:t>, 90 (July): 309–322.</w:t>
      </w:r>
    </w:p>
    <w:p>
      <w:pPr>
        <w:spacing w:after="0" w:line="46" w:lineRule="exact"/>
        <w:rPr>
          <w:sz w:val="20"/>
          <w:szCs w:val="20"/>
          <w:color w:val="auto"/>
        </w:rPr>
      </w:pPr>
    </w:p>
    <w:p>
      <w:pPr>
        <w:jc w:val="both"/>
        <w:ind w:left="240" w:hanging="238"/>
        <w:spacing w:after="0" w:line="229" w:lineRule="auto"/>
        <w:rPr>
          <w:sz w:val="20"/>
          <w:szCs w:val="20"/>
          <w:color w:val="auto"/>
        </w:rPr>
      </w:pPr>
      <w:r>
        <w:rPr>
          <w:rFonts w:ascii="Times New Roman" w:cs="Times New Roman" w:eastAsia="Times New Roman" w:hAnsi="Times New Roman"/>
          <w:sz w:val="16"/>
          <w:szCs w:val="16"/>
          <w:color w:val="auto"/>
        </w:rPr>
        <w:t xml:space="preserve">Hogarth, Jeanne M. and Christoslav E. Anguelov. 2004. Are Families Who Use E-Banking Better Financial Managers? </w:t>
      </w:r>
      <w:r>
        <w:rPr>
          <w:rFonts w:ascii="Arial" w:cs="Arial" w:eastAsia="Arial" w:hAnsi="Arial"/>
          <w:sz w:val="16"/>
          <w:szCs w:val="16"/>
          <w:color w:val="auto"/>
        </w:rPr>
        <w:t>Financial Counseling and Planning</w:t>
      </w:r>
      <w:r>
        <w:rPr>
          <w:rFonts w:ascii="Times New Roman" w:cs="Times New Roman" w:eastAsia="Times New Roman" w:hAnsi="Times New Roman"/>
          <w:sz w:val="16"/>
          <w:szCs w:val="16"/>
          <w:color w:val="auto"/>
        </w:rPr>
        <w:t>, 15 (2): 61–78.</w:t>
      </w:r>
    </w:p>
    <w:p>
      <w:pPr>
        <w:spacing w:after="0" w:line="47" w:lineRule="exact"/>
        <w:rPr>
          <w:sz w:val="20"/>
          <w:szCs w:val="20"/>
          <w:color w:val="auto"/>
        </w:rPr>
      </w:pPr>
    </w:p>
    <w:p>
      <w:pPr>
        <w:jc w:val="both"/>
        <w:ind w:left="240" w:hanging="238"/>
        <w:spacing w:after="0" w:line="238" w:lineRule="auto"/>
        <w:rPr>
          <w:sz w:val="20"/>
          <w:szCs w:val="20"/>
          <w:color w:val="auto"/>
        </w:rPr>
      </w:pPr>
      <w:r>
        <w:rPr>
          <w:rFonts w:ascii="Times New Roman" w:cs="Times New Roman" w:eastAsia="Times New Roman" w:hAnsi="Times New Roman"/>
          <w:sz w:val="16"/>
          <w:szCs w:val="16"/>
          <w:color w:val="auto"/>
        </w:rPr>
        <w:t xml:space="preserve">Hogarth, Jeanne M. and J. A. Swanson. 1993. Voices of Experience: Limited Resource Families and Financial Management. </w:t>
      </w:r>
      <w:r>
        <w:rPr>
          <w:rFonts w:ascii="Arial" w:cs="Arial" w:eastAsia="Arial" w:hAnsi="Arial"/>
          <w:sz w:val="16"/>
          <w:szCs w:val="16"/>
          <w:color w:val="auto"/>
        </w:rPr>
        <w:t>American Home Economics Association: Family Economics and Manage-ment Conference Proceedings</w:t>
      </w:r>
      <w:r>
        <w:rPr>
          <w:rFonts w:ascii="Times New Roman" w:cs="Times New Roman" w:eastAsia="Times New Roman" w:hAnsi="Times New Roman"/>
          <w:sz w:val="16"/>
          <w:szCs w:val="16"/>
          <w:color w:val="auto"/>
        </w:rPr>
        <w:t>, 13–28.</w:t>
      </w:r>
    </w:p>
    <w:p>
      <w:pPr>
        <w:spacing w:after="0" w:line="44" w:lineRule="exact"/>
        <w:rPr>
          <w:sz w:val="20"/>
          <w:szCs w:val="20"/>
          <w:color w:val="auto"/>
        </w:rPr>
      </w:pPr>
    </w:p>
    <w:p>
      <w:pPr>
        <w:jc w:val="both"/>
        <w:ind w:left="240" w:hanging="238"/>
        <w:spacing w:after="0" w:line="229" w:lineRule="auto"/>
        <w:rPr>
          <w:sz w:val="20"/>
          <w:szCs w:val="20"/>
          <w:color w:val="auto"/>
        </w:rPr>
      </w:pPr>
      <w:r>
        <w:rPr>
          <w:rFonts w:ascii="Times New Roman" w:cs="Times New Roman" w:eastAsia="Times New Roman" w:hAnsi="Times New Roman"/>
          <w:sz w:val="16"/>
          <w:szCs w:val="16"/>
          <w:color w:val="auto"/>
        </w:rPr>
        <w:t xml:space="preserve">Hopley, Virginia. 2003. </w:t>
      </w:r>
      <w:r>
        <w:rPr>
          <w:rFonts w:ascii="Arial" w:cs="Arial" w:eastAsia="Arial" w:hAnsi="Arial"/>
          <w:sz w:val="16"/>
          <w:szCs w:val="16"/>
          <w:color w:val="auto"/>
        </w:rPr>
        <w:t>Financial Education: What Is It and What Makes It So Important?</w:t>
      </w:r>
      <w:r>
        <w:rPr>
          <w:rFonts w:ascii="Times New Roman" w:cs="Times New Roman" w:eastAsia="Times New Roman" w:hAnsi="Times New Roman"/>
          <w:sz w:val="16"/>
          <w:szCs w:val="16"/>
          <w:color w:val="auto"/>
        </w:rPr>
        <w:t xml:space="preserve"> Federal Reserve Bank of Cleveland, Cleveland, Ohio.</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5"/>
          <w:szCs w:val="15"/>
          <w:color w:val="auto"/>
        </w:rPr>
        <w:t xml:space="preserve">Horrigan, John B. 2007. </w:t>
      </w:r>
      <w:r>
        <w:rPr>
          <w:rFonts w:ascii="Arial" w:cs="Arial" w:eastAsia="Arial" w:hAnsi="Arial"/>
          <w:sz w:val="15"/>
          <w:szCs w:val="15"/>
          <w:color w:val="auto"/>
        </w:rPr>
        <w:t>U.S. Lags Behind: Why It Will Be Hard to Close the Broadband Divide</w:t>
      </w:r>
      <w:r>
        <w:rPr>
          <w:rFonts w:ascii="Times New Roman" w:cs="Times New Roman" w:eastAsia="Times New Roman" w:hAnsi="Times New Roman"/>
          <w:sz w:val="15"/>
          <w:szCs w:val="15"/>
          <w:color w:val="auto"/>
        </w:rPr>
        <w:t>.</w:t>
      </w:r>
    </w:p>
    <w:p>
      <w:pPr>
        <w:spacing w:after="0" w:line="12" w:lineRule="exact"/>
        <w:rPr>
          <w:sz w:val="20"/>
          <w:szCs w:val="20"/>
          <w:color w:val="auto"/>
        </w:rPr>
      </w:pPr>
    </w:p>
    <w:p>
      <w:pPr>
        <w:ind w:left="240"/>
        <w:spacing w:after="0"/>
        <w:rPr>
          <w:sz w:val="20"/>
          <w:szCs w:val="20"/>
          <w:color w:val="auto"/>
        </w:rPr>
      </w:pPr>
      <w:r>
        <w:rPr>
          <w:rFonts w:ascii="Times New Roman" w:cs="Times New Roman" w:eastAsia="Times New Roman" w:hAnsi="Times New Roman"/>
          <w:sz w:val="16"/>
          <w:szCs w:val="16"/>
          <w:color w:val="auto"/>
        </w:rPr>
        <w:t>Washington, DC: Pew Internet and American Life Project.</w:t>
      </w:r>
    </w:p>
    <w:p>
      <w:pPr>
        <w:spacing w:after="0" w:line="47" w:lineRule="exact"/>
        <w:rPr>
          <w:sz w:val="20"/>
          <w:szCs w:val="20"/>
          <w:color w:val="auto"/>
        </w:rPr>
      </w:pPr>
    </w:p>
    <w:p>
      <w:pPr>
        <w:ind w:left="240" w:hanging="239"/>
        <w:spacing w:after="0" w:line="229" w:lineRule="auto"/>
        <w:rPr>
          <w:sz w:val="20"/>
          <w:szCs w:val="20"/>
          <w:color w:val="auto"/>
        </w:rPr>
      </w:pPr>
      <w:r>
        <w:rPr>
          <w:rFonts w:ascii="Times New Roman" w:cs="Times New Roman" w:eastAsia="Times New Roman" w:hAnsi="Times New Roman"/>
          <w:sz w:val="16"/>
          <w:szCs w:val="16"/>
          <w:color w:val="auto"/>
        </w:rPr>
        <w:t xml:space="preserve">———. 2004. </w:t>
      </w:r>
      <w:r>
        <w:rPr>
          <w:rFonts w:ascii="Arial" w:cs="Arial" w:eastAsia="Arial" w:hAnsi="Arial"/>
          <w:sz w:val="16"/>
          <w:szCs w:val="16"/>
          <w:color w:val="auto"/>
        </w:rPr>
        <w:t>Pew Internet Project Data Memo</w:t>
      </w:r>
      <w:r>
        <w:rPr>
          <w:rFonts w:ascii="Times New Roman" w:cs="Times New Roman" w:eastAsia="Times New Roman" w:hAnsi="Times New Roman"/>
          <w:sz w:val="16"/>
          <w:szCs w:val="16"/>
          <w:color w:val="auto"/>
        </w:rPr>
        <w:t>. Washington, DC: Pew Internet and American Life Project.</w:t>
      </w:r>
    </w:p>
    <w:p>
      <w:pPr>
        <w:spacing w:after="0" w:line="27" w:lineRule="exact"/>
        <w:rPr>
          <w:sz w:val="20"/>
          <w:szCs w:val="20"/>
          <w:color w:val="auto"/>
        </w:rPr>
      </w:pPr>
    </w:p>
    <w:p>
      <w:pPr>
        <w:spacing w:after="0"/>
        <w:rPr>
          <w:sz w:val="20"/>
          <w:szCs w:val="20"/>
          <w:color w:val="auto"/>
        </w:rPr>
      </w:pPr>
      <w:r>
        <w:rPr>
          <w:rFonts w:ascii="Times New Roman" w:cs="Times New Roman" w:eastAsia="Times New Roman" w:hAnsi="Times New Roman"/>
          <w:sz w:val="15"/>
          <w:szCs w:val="15"/>
          <w:color w:val="auto"/>
        </w:rPr>
        <w:t>Immergluck, Dan. 2002. Redlining Redux: Black Neighborhoods, Black-Owned Firms, and the Reg-</w:t>
      </w:r>
    </w:p>
    <w:p>
      <w:pPr>
        <w:spacing w:after="0" w:line="19" w:lineRule="exact"/>
        <w:rPr>
          <w:sz w:val="20"/>
          <w:szCs w:val="20"/>
          <w:color w:val="auto"/>
        </w:rPr>
      </w:pPr>
    </w:p>
    <w:p>
      <w:pPr>
        <w:ind w:left="240"/>
        <w:spacing w:after="0"/>
        <w:rPr>
          <w:sz w:val="20"/>
          <w:szCs w:val="20"/>
          <w:color w:val="auto"/>
        </w:rPr>
      </w:pPr>
      <w:r>
        <w:rPr>
          <w:rFonts w:ascii="Times New Roman" w:cs="Times New Roman" w:eastAsia="Times New Roman" w:hAnsi="Times New Roman"/>
          <w:sz w:val="16"/>
          <w:szCs w:val="16"/>
          <w:color w:val="auto"/>
        </w:rPr>
        <w:t xml:space="preserve">ulatory Cold Shoulder. </w:t>
      </w:r>
      <w:r>
        <w:rPr>
          <w:rFonts w:ascii="Arial" w:cs="Arial" w:eastAsia="Arial" w:hAnsi="Arial"/>
          <w:sz w:val="16"/>
          <w:szCs w:val="16"/>
          <w:color w:val="auto"/>
        </w:rPr>
        <w:t>Urban Affairs Review</w:t>
      </w:r>
      <w:r>
        <w:rPr>
          <w:rFonts w:ascii="Times New Roman" w:cs="Times New Roman" w:eastAsia="Times New Roman" w:hAnsi="Times New Roman"/>
          <w:sz w:val="16"/>
          <w:szCs w:val="16"/>
          <w:color w:val="auto"/>
        </w:rPr>
        <w:t>, 38 (1): 22–41.</w:t>
      </w:r>
    </w:p>
    <w:p>
      <w:pPr>
        <w:spacing w:after="0" w:line="26" w:lineRule="exact"/>
        <w:rPr>
          <w:sz w:val="20"/>
          <w:szCs w:val="20"/>
          <w:color w:val="auto"/>
        </w:rPr>
      </w:pPr>
    </w:p>
    <w:p>
      <w:pPr>
        <w:spacing w:after="0"/>
        <w:rPr>
          <w:sz w:val="20"/>
          <w:szCs w:val="20"/>
          <w:color w:val="auto"/>
        </w:rPr>
      </w:pPr>
      <w:r>
        <w:rPr>
          <w:rFonts w:ascii="Times New Roman" w:cs="Times New Roman" w:eastAsia="Times New Roman" w:hAnsi="Times New Roman"/>
          <w:sz w:val="15"/>
          <w:szCs w:val="15"/>
          <w:color w:val="auto"/>
        </w:rPr>
        <w:t xml:space="preserve">Jacob, Katy, Sharyl Hudson, and Malcolm Bush. 2000. </w:t>
      </w:r>
      <w:r>
        <w:rPr>
          <w:rFonts w:ascii="Arial" w:cs="Arial" w:eastAsia="Arial" w:hAnsi="Arial"/>
          <w:sz w:val="15"/>
          <w:szCs w:val="15"/>
          <w:color w:val="auto"/>
        </w:rPr>
        <w:t>Tools for Survival: An Analysis of Financial</w:t>
      </w:r>
    </w:p>
    <w:p>
      <w:pPr>
        <w:spacing w:after="0" w:line="15" w:lineRule="exact"/>
        <w:rPr>
          <w:sz w:val="20"/>
          <w:szCs w:val="20"/>
          <w:color w:val="auto"/>
        </w:rPr>
      </w:pPr>
    </w:p>
    <w:p>
      <w:pPr>
        <w:ind w:left="240"/>
        <w:spacing w:after="0"/>
        <w:rPr>
          <w:sz w:val="20"/>
          <w:szCs w:val="20"/>
          <w:color w:val="auto"/>
        </w:rPr>
      </w:pPr>
      <w:r>
        <w:rPr>
          <w:rFonts w:ascii="Arial" w:cs="Arial" w:eastAsia="Arial" w:hAnsi="Arial"/>
          <w:sz w:val="16"/>
          <w:szCs w:val="16"/>
          <w:color w:val="auto"/>
        </w:rPr>
        <w:t>Literacy Programs for Lower-Income Families</w:t>
      </w:r>
      <w:r>
        <w:rPr>
          <w:rFonts w:ascii="Times New Roman" w:cs="Times New Roman" w:eastAsia="Times New Roman" w:hAnsi="Times New Roman"/>
          <w:sz w:val="16"/>
          <w:szCs w:val="16"/>
          <w:color w:val="auto"/>
        </w:rPr>
        <w:t>. Chicago: Woodstock Institute.</w:t>
      </w:r>
    </w:p>
    <w:p>
      <w:pPr>
        <w:spacing w:after="0" w:line="14" w:lineRule="exact"/>
        <w:rPr>
          <w:sz w:val="20"/>
          <w:szCs w:val="20"/>
          <w:color w:val="auto"/>
        </w:rPr>
      </w:pPr>
    </w:p>
    <w:p>
      <w:pPr>
        <w:spacing w:after="0"/>
        <w:rPr>
          <w:sz w:val="20"/>
          <w:szCs w:val="20"/>
          <w:color w:val="auto"/>
        </w:rPr>
      </w:pPr>
      <w:r>
        <w:rPr>
          <w:rFonts w:ascii="Times New Roman" w:cs="Times New Roman" w:eastAsia="Times New Roman" w:hAnsi="Times New Roman"/>
          <w:sz w:val="16"/>
          <w:szCs w:val="16"/>
          <w:color w:val="auto"/>
        </w:rPr>
        <w:t xml:space="preserve">Kim, Jinhee and E. Thomas Garman. 1998. The Business Case for Financial Education. </w:t>
      </w:r>
      <w:r>
        <w:rPr>
          <w:rFonts w:ascii="Arial" w:cs="Arial" w:eastAsia="Arial" w:hAnsi="Arial"/>
          <w:sz w:val="16"/>
          <w:szCs w:val="16"/>
          <w:color w:val="auto"/>
        </w:rPr>
        <w:t>Personal</w:t>
      </w:r>
    </w:p>
    <w:p>
      <w:pPr>
        <w:spacing w:after="0" w:line="15" w:lineRule="exact"/>
        <w:rPr>
          <w:sz w:val="20"/>
          <w:szCs w:val="20"/>
          <w:color w:val="auto"/>
        </w:rPr>
      </w:pPr>
    </w:p>
    <w:p>
      <w:pPr>
        <w:ind w:left="240"/>
        <w:spacing w:after="0"/>
        <w:rPr>
          <w:sz w:val="20"/>
          <w:szCs w:val="20"/>
          <w:color w:val="auto"/>
        </w:rPr>
      </w:pPr>
      <w:r>
        <w:rPr>
          <w:rFonts w:ascii="Arial" w:cs="Arial" w:eastAsia="Arial" w:hAnsi="Arial"/>
          <w:sz w:val="16"/>
          <w:szCs w:val="16"/>
          <w:color w:val="auto"/>
        </w:rPr>
        <w:t>Finances and Worker Productivity</w:t>
      </w:r>
      <w:r>
        <w:rPr>
          <w:rFonts w:ascii="Times New Roman" w:cs="Times New Roman" w:eastAsia="Times New Roman" w:hAnsi="Times New Roman"/>
          <w:sz w:val="16"/>
          <w:szCs w:val="16"/>
          <w:color w:val="auto"/>
        </w:rPr>
        <w:t>, 2 (1): 81–93.</w:t>
      </w:r>
    </w:p>
    <w:p>
      <w:pPr>
        <w:spacing w:after="0" w:line="26" w:lineRule="exact"/>
        <w:rPr>
          <w:sz w:val="20"/>
          <w:szCs w:val="20"/>
          <w:color w:val="auto"/>
        </w:rPr>
      </w:pPr>
    </w:p>
    <w:p>
      <w:pPr>
        <w:spacing w:after="0"/>
        <w:rPr>
          <w:sz w:val="20"/>
          <w:szCs w:val="20"/>
          <w:color w:val="auto"/>
        </w:rPr>
      </w:pPr>
      <w:r>
        <w:rPr>
          <w:rFonts w:ascii="Times New Roman" w:cs="Times New Roman" w:eastAsia="Times New Roman" w:hAnsi="Times New Roman"/>
          <w:sz w:val="15"/>
          <w:szCs w:val="15"/>
          <w:color w:val="auto"/>
        </w:rPr>
        <w:t xml:space="preserve">Kirschenbaum, Joshua and Radhika Kunamneni. 2001. </w:t>
      </w:r>
      <w:r>
        <w:rPr>
          <w:rFonts w:ascii="Arial" w:cs="Arial" w:eastAsia="Arial" w:hAnsi="Arial"/>
          <w:sz w:val="15"/>
          <w:szCs w:val="15"/>
          <w:color w:val="auto"/>
        </w:rPr>
        <w:t>Bridging the Organizational Divide Toward</w:t>
      </w:r>
    </w:p>
    <w:p>
      <w:pPr>
        <w:spacing w:after="0" w:line="14" w:lineRule="exact"/>
        <w:rPr>
          <w:sz w:val="20"/>
          <w:szCs w:val="20"/>
          <w:color w:val="auto"/>
        </w:rPr>
      </w:pPr>
    </w:p>
    <w:p>
      <w:pPr>
        <w:ind w:left="240"/>
        <w:spacing w:after="0"/>
        <w:rPr>
          <w:sz w:val="20"/>
          <w:szCs w:val="20"/>
          <w:color w:val="auto"/>
        </w:rPr>
      </w:pPr>
      <w:r>
        <w:rPr>
          <w:rFonts w:ascii="Arial" w:cs="Arial" w:eastAsia="Arial" w:hAnsi="Arial"/>
          <w:sz w:val="16"/>
          <w:szCs w:val="16"/>
          <w:color w:val="auto"/>
        </w:rPr>
        <w:t>a Comprehensive Approach to the Digital Divide</w:t>
      </w:r>
      <w:r>
        <w:rPr>
          <w:rFonts w:ascii="Times New Roman" w:cs="Times New Roman" w:eastAsia="Times New Roman" w:hAnsi="Times New Roman"/>
          <w:sz w:val="16"/>
          <w:szCs w:val="16"/>
          <w:color w:val="auto"/>
        </w:rPr>
        <w:t>. Oakland, CA: PolicyLink.</w:t>
      </w:r>
    </w:p>
    <w:p>
      <w:pPr>
        <w:spacing w:after="0" w:line="43" w:lineRule="exact"/>
        <w:rPr>
          <w:sz w:val="20"/>
          <w:szCs w:val="20"/>
          <w:color w:val="auto"/>
        </w:rPr>
      </w:pPr>
    </w:p>
    <w:p>
      <w:pPr>
        <w:jc w:val="both"/>
        <w:ind w:left="240" w:hanging="238"/>
        <w:spacing w:after="0" w:line="239" w:lineRule="auto"/>
        <w:rPr>
          <w:sz w:val="20"/>
          <w:szCs w:val="20"/>
          <w:color w:val="auto"/>
        </w:rPr>
      </w:pPr>
      <w:r>
        <w:rPr>
          <w:rFonts w:ascii="Times New Roman" w:cs="Times New Roman" w:eastAsia="Times New Roman" w:hAnsi="Times New Roman"/>
          <w:sz w:val="16"/>
          <w:szCs w:val="16"/>
          <w:color w:val="auto"/>
        </w:rPr>
        <w:t xml:space="preserve">Koide, Melissa, Karen Murrell, and Ellen Seidman. 2007. </w:t>
      </w:r>
      <w:r>
        <w:rPr>
          <w:rFonts w:ascii="Arial" w:cs="Arial" w:eastAsia="Arial" w:hAnsi="Arial"/>
          <w:sz w:val="16"/>
          <w:szCs w:val="16"/>
          <w:color w:val="auto"/>
        </w:rPr>
        <w:t>Public Policy Ideas to Improve Financial</w:t>
      </w:r>
      <w:r>
        <w:rPr>
          <w:rFonts w:ascii="Times New Roman" w:cs="Times New Roman" w:eastAsia="Times New Roman" w:hAnsi="Times New Roman"/>
          <w:sz w:val="16"/>
          <w:szCs w:val="16"/>
          <w:color w:val="auto"/>
        </w:rPr>
        <w:t xml:space="preserve"> </w:t>
      </w:r>
      <w:r>
        <w:rPr>
          <w:rFonts w:ascii="Arial" w:cs="Arial" w:eastAsia="Arial" w:hAnsi="Arial"/>
          <w:sz w:val="16"/>
          <w:szCs w:val="16"/>
          <w:color w:val="auto"/>
        </w:rPr>
        <w:t>Education and Help Consumers Make Wise Financial Decisions</w:t>
      </w:r>
      <w:r>
        <w:rPr>
          <w:rFonts w:ascii="Times New Roman" w:cs="Times New Roman" w:eastAsia="Times New Roman" w:hAnsi="Times New Roman"/>
          <w:sz w:val="16"/>
          <w:szCs w:val="16"/>
          <w:color w:val="auto"/>
        </w:rPr>
        <w:t>. Washington, DC: New America</w:t>
      </w:r>
      <w:r>
        <w:rPr>
          <w:rFonts w:ascii="Arial" w:cs="Arial" w:eastAsia="Arial" w:hAnsi="Arial"/>
          <w:sz w:val="16"/>
          <w:szCs w:val="16"/>
          <w:color w:val="auto"/>
        </w:rPr>
        <w:t xml:space="preserve"> </w:t>
      </w:r>
      <w:r>
        <w:rPr>
          <w:rFonts w:ascii="Times New Roman" w:cs="Times New Roman" w:eastAsia="Times New Roman" w:hAnsi="Times New Roman"/>
          <w:sz w:val="16"/>
          <w:szCs w:val="16"/>
          <w:color w:val="auto"/>
        </w:rPr>
        <w:t>Foundation.</w:t>
      </w:r>
    </w:p>
    <w:p>
      <w:pPr>
        <w:spacing w:after="0" w:line="50" w:lineRule="exact"/>
        <w:rPr>
          <w:sz w:val="20"/>
          <w:szCs w:val="20"/>
          <w:color w:val="auto"/>
        </w:rPr>
      </w:pPr>
    </w:p>
    <w:p>
      <w:pPr>
        <w:jc w:val="both"/>
        <w:ind w:left="240" w:hanging="238"/>
        <w:spacing w:after="0" w:line="237" w:lineRule="auto"/>
        <w:rPr>
          <w:sz w:val="20"/>
          <w:szCs w:val="20"/>
          <w:color w:val="auto"/>
        </w:rPr>
      </w:pPr>
      <w:r>
        <w:rPr>
          <w:rFonts w:ascii="Times New Roman" w:cs="Times New Roman" w:eastAsia="Times New Roman" w:hAnsi="Times New Roman"/>
          <w:sz w:val="16"/>
          <w:szCs w:val="16"/>
          <w:color w:val="auto"/>
        </w:rPr>
        <w:t xml:space="preserve">Kolodinsky, Jane M., Jeanne M. Hogarth, and Marianne A. Hilgert. 2004. The Adoption of Electronic Banking Technologies by US Consumers. </w:t>
      </w:r>
      <w:r>
        <w:rPr>
          <w:rFonts w:ascii="Arial" w:cs="Arial" w:eastAsia="Arial" w:hAnsi="Arial"/>
          <w:sz w:val="16"/>
          <w:szCs w:val="16"/>
          <w:color w:val="auto"/>
        </w:rPr>
        <w:t>International Journal of Bank Marketing</w:t>
      </w:r>
      <w:r>
        <w:rPr>
          <w:rFonts w:ascii="Times New Roman" w:cs="Times New Roman" w:eastAsia="Times New Roman" w:hAnsi="Times New Roman"/>
          <w:sz w:val="16"/>
          <w:szCs w:val="16"/>
          <w:color w:val="auto"/>
        </w:rPr>
        <w:t>, 22 (4): 238– 259.</w:t>
      </w:r>
    </w:p>
    <w:p>
      <w:pPr>
        <w:spacing w:after="0" w:line="52" w:lineRule="exact"/>
        <w:rPr>
          <w:sz w:val="20"/>
          <w:szCs w:val="20"/>
          <w:color w:val="auto"/>
        </w:rPr>
      </w:pPr>
    </w:p>
    <w:p>
      <w:pPr>
        <w:jc w:val="both"/>
        <w:ind w:left="240" w:hanging="238"/>
        <w:spacing w:after="0" w:line="247" w:lineRule="auto"/>
        <w:rPr>
          <w:sz w:val="20"/>
          <w:szCs w:val="20"/>
          <w:color w:val="auto"/>
        </w:rPr>
      </w:pPr>
      <w:r>
        <w:rPr>
          <w:rFonts w:ascii="Times New Roman" w:cs="Times New Roman" w:eastAsia="Times New Roman" w:hAnsi="Times New Roman"/>
          <w:sz w:val="15"/>
          <w:szCs w:val="15"/>
          <w:color w:val="auto"/>
        </w:rPr>
        <w:t xml:space="preserve">Loibl, Ca¨zilia and Tahira K. Hira. 2005. Impact of Self-Directed Financial Learning on Financial and Career Satisfaction of White-Collar Employees. </w:t>
      </w:r>
      <w:r>
        <w:rPr>
          <w:rFonts w:ascii="Arial" w:cs="Arial" w:eastAsia="Arial" w:hAnsi="Arial"/>
          <w:sz w:val="15"/>
          <w:szCs w:val="15"/>
          <w:color w:val="auto"/>
        </w:rPr>
        <w:t>Financial Counseling and Planning</w:t>
      </w:r>
      <w:r>
        <w:rPr>
          <w:rFonts w:ascii="Times New Roman" w:cs="Times New Roman" w:eastAsia="Times New Roman" w:hAnsi="Times New Roman"/>
          <w:sz w:val="15"/>
          <w:szCs w:val="15"/>
          <w:color w:val="auto"/>
        </w:rPr>
        <w:t xml:space="preserve"> 16 (1): 11–21.</w:t>
      </w:r>
    </w:p>
    <w:p>
      <w:pPr>
        <w:spacing w:after="0" w:line="42" w:lineRule="exact"/>
        <w:rPr>
          <w:sz w:val="20"/>
          <w:szCs w:val="20"/>
          <w:color w:val="auto"/>
        </w:rPr>
      </w:pPr>
    </w:p>
    <w:p>
      <w:pPr>
        <w:jc w:val="both"/>
        <w:ind w:left="240" w:hanging="238"/>
        <w:spacing w:after="0" w:line="237" w:lineRule="auto"/>
        <w:rPr>
          <w:sz w:val="20"/>
          <w:szCs w:val="20"/>
          <w:color w:val="auto"/>
        </w:rPr>
      </w:pPr>
      <w:r>
        <w:rPr>
          <w:rFonts w:ascii="Times New Roman" w:cs="Times New Roman" w:eastAsia="Times New Roman" w:hAnsi="Times New Roman"/>
          <w:sz w:val="16"/>
          <w:szCs w:val="16"/>
          <w:color w:val="auto"/>
        </w:rPr>
        <w:t xml:space="preserve">Loprest, Pamela. 2001. How Are Families That Left Welfare Doing? A Comparison of Early and Recent Welfare Leavers. </w:t>
      </w:r>
      <w:r>
        <w:rPr>
          <w:rFonts w:ascii="Arial" w:cs="Arial" w:eastAsia="Arial" w:hAnsi="Arial"/>
          <w:sz w:val="16"/>
          <w:szCs w:val="16"/>
          <w:color w:val="auto"/>
        </w:rPr>
        <w:t>Assessing the New Federalism</w:t>
      </w:r>
      <w:r>
        <w:rPr>
          <w:rFonts w:ascii="Times New Roman" w:cs="Times New Roman" w:eastAsia="Times New Roman" w:hAnsi="Times New Roman"/>
          <w:sz w:val="16"/>
          <w:szCs w:val="16"/>
          <w:color w:val="auto"/>
        </w:rPr>
        <w:t>, Policy Brief B-36, Washington, DC: The Urban Institute.</w:t>
      </w:r>
    </w:p>
    <w:p>
      <w:pPr>
        <w:spacing w:after="0" w:line="52" w:lineRule="exact"/>
        <w:rPr>
          <w:sz w:val="20"/>
          <w:szCs w:val="20"/>
          <w:color w:val="auto"/>
        </w:rPr>
      </w:pPr>
    </w:p>
    <w:p>
      <w:pPr>
        <w:jc w:val="both"/>
        <w:ind w:left="240" w:hanging="238"/>
        <w:spacing w:after="0" w:line="239" w:lineRule="auto"/>
        <w:rPr>
          <w:sz w:val="20"/>
          <w:szCs w:val="20"/>
          <w:color w:val="auto"/>
        </w:rPr>
      </w:pPr>
      <w:r>
        <w:rPr>
          <w:rFonts w:ascii="Times New Roman" w:cs="Times New Roman" w:eastAsia="Times New Roman" w:hAnsi="Times New Roman"/>
          <w:sz w:val="16"/>
          <w:szCs w:val="16"/>
          <w:color w:val="auto"/>
        </w:rPr>
        <w:t xml:space="preserve">Lyons, Angela C., Lance Palmer, Koralalage S. U. Jayaratne, and Erik Scherpf. 2006. Are We Making the Grade? A National Overview of Financial Education and Program Evaluation. </w:t>
      </w:r>
      <w:r>
        <w:rPr>
          <w:rFonts w:ascii="Arial" w:cs="Arial" w:eastAsia="Arial" w:hAnsi="Arial"/>
          <w:sz w:val="16"/>
          <w:szCs w:val="16"/>
          <w:color w:val="auto"/>
        </w:rPr>
        <w:t>Journal of Con-sumer Affairs</w:t>
      </w:r>
      <w:r>
        <w:rPr>
          <w:rFonts w:ascii="Times New Roman" w:cs="Times New Roman" w:eastAsia="Times New Roman" w:hAnsi="Times New Roman"/>
          <w:sz w:val="16"/>
          <w:szCs w:val="16"/>
          <w:color w:val="auto"/>
        </w:rPr>
        <w:t>, 40 (2): 208–235.</w:t>
      </w:r>
    </w:p>
    <w:p>
      <w:pPr>
        <w:spacing w:after="0" w:line="15" w:lineRule="exact"/>
        <w:rPr>
          <w:sz w:val="20"/>
          <w:szCs w:val="20"/>
          <w:color w:val="auto"/>
        </w:rPr>
      </w:pPr>
    </w:p>
    <w:p>
      <w:pPr>
        <w:spacing w:after="0"/>
        <w:rPr>
          <w:sz w:val="20"/>
          <w:szCs w:val="20"/>
          <w:color w:val="auto"/>
        </w:rPr>
      </w:pPr>
      <w:r>
        <w:rPr>
          <w:rFonts w:ascii="Times New Roman" w:cs="Times New Roman" w:eastAsia="Times New Roman" w:hAnsi="Times New Roman"/>
          <w:sz w:val="16"/>
          <w:szCs w:val="16"/>
          <w:color w:val="auto"/>
        </w:rPr>
        <w:t xml:space="preserve">Morduch, Jonathan and Beatriz Armendariz de Aghion. 2005. </w:t>
      </w:r>
      <w:r>
        <w:rPr>
          <w:rFonts w:ascii="Arial" w:cs="Arial" w:eastAsia="Arial" w:hAnsi="Arial"/>
          <w:sz w:val="16"/>
          <w:szCs w:val="16"/>
          <w:color w:val="auto"/>
        </w:rPr>
        <w:t>The Economics of Microfinance</w:t>
      </w:r>
      <w:r>
        <w:rPr>
          <w:rFonts w:ascii="Times New Roman" w:cs="Times New Roman" w:eastAsia="Times New Roman" w:hAnsi="Times New Roman"/>
          <w:sz w:val="16"/>
          <w:szCs w:val="16"/>
          <w:color w:val="auto"/>
        </w:rPr>
        <w:t>.</w:t>
      </w:r>
    </w:p>
    <w:p>
      <w:pPr>
        <w:spacing w:after="0" w:line="12" w:lineRule="exact"/>
        <w:rPr>
          <w:sz w:val="20"/>
          <w:szCs w:val="20"/>
          <w:color w:val="auto"/>
        </w:rPr>
      </w:pPr>
    </w:p>
    <w:p>
      <w:pPr>
        <w:ind w:left="240"/>
        <w:spacing w:after="0"/>
        <w:rPr>
          <w:sz w:val="20"/>
          <w:szCs w:val="20"/>
          <w:color w:val="auto"/>
        </w:rPr>
      </w:pPr>
      <w:r>
        <w:rPr>
          <w:rFonts w:ascii="Times New Roman" w:cs="Times New Roman" w:eastAsia="Times New Roman" w:hAnsi="Times New Roman"/>
          <w:sz w:val="16"/>
          <w:szCs w:val="16"/>
          <w:color w:val="auto"/>
        </w:rPr>
        <w:t>Cambridge, MA: MIT Press.</w:t>
      </w:r>
    </w:p>
    <w:p>
      <w:pPr>
        <w:spacing w:after="0" w:line="47" w:lineRule="exact"/>
        <w:rPr>
          <w:sz w:val="20"/>
          <w:szCs w:val="20"/>
          <w:color w:val="auto"/>
        </w:rPr>
      </w:pPr>
    </w:p>
    <w:p>
      <w:pPr>
        <w:jc w:val="both"/>
        <w:ind w:left="240" w:hanging="238"/>
        <w:spacing w:after="0" w:line="254" w:lineRule="auto"/>
        <w:rPr>
          <w:sz w:val="20"/>
          <w:szCs w:val="20"/>
          <w:color w:val="auto"/>
        </w:rPr>
      </w:pPr>
      <w:r>
        <w:rPr>
          <w:rFonts w:ascii="Times New Roman" w:cs="Times New Roman" w:eastAsia="Times New Roman" w:hAnsi="Times New Roman"/>
          <w:sz w:val="15"/>
          <w:szCs w:val="15"/>
          <w:color w:val="auto"/>
        </w:rPr>
        <w:t xml:space="preserve">National Endowment for Financial Education. 2004. </w:t>
      </w:r>
      <w:r>
        <w:rPr>
          <w:rFonts w:ascii="Arial" w:cs="Arial" w:eastAsia="Arial" w:hAnsi="Arial"/>
          <w:sz w:val="15"/>
          <w:szCs w:val="15"/>
          <w:color w:val="auto"/>
        </w:rPr>
        <w:t>Motivating Americans to Develop Constructive</w:t>
      </w:r>
      <w:r>
        <w:rPr>
          <w:rFonts w:ascii="Times New Roman" w:cs="Times New Roman" w:eastAsia="Times New Roman" w:hAnsi="Times New Roman"/>
          <w:sz w:val="15"/>
          <w:szCs w:val="15"/>
          <w:color w:val="auto"/>
        </w:rPr>
        <w:t xml:space="preserve"> </w:t>
      </w:r>
      <w:r>
        <w:rPr>
          <w:rFonts w:ascii="Arial" w:cs="Arial" w:eastAsia="Arial" w:hAnsi="Arial"/>
          <w:sz w:val="15"/>
          <w:szCs w:val="15"/>
          <w:color w:val="auto"/>
        </w:rPr>
        <w:t>Financial Behaviors</w:t>
      </w:r>
      <w:r>
        <w:rPr>
          <w:rFonts w:ascii="Times New Roman" w:cs="Times New Roman" w:eastAsia="Times New Roman" w:hAnsi="Times New Roman"/>
          <w:sz w:val="15"/>
          <w:szCs w:val="15"/>
          <w:color w:val="auto"/>
        </w:rPr>
        <w:t>. Greenwood Village, CO: National Endowment for Financial Education.</w:t>
      </w:r>
    </w:p>
    <w:p>
      <w:pPr>
        <w:spacing w:after="0" w:line="15" w:lineRule="exact"/>
        <w:rPr>
          <w:sz w:val="20"/>
          <w:szCs w:val="20"/>
          <w:color w:val="auto"/>
        </w:rPr>
      </w:pPr>
    </w:p>
    <w:p>
      <w:pPr>
        <w:spacing w:after="0"/>
        <w:rPr>
          <w:sz w:val="20"/>
          <w:szCs w:val="20"/>
          <w:color w:val="auto"/>
        </w:rPr>
      </w:pPr>
      <w:r>
        <w:rPr>
          <w:rFonts w:ascii="Times New Roman" w:cs="Times New Roman" w:eastAsia="Times New Roman" w:hAnsi="Times New Roman"/>
          <w:sz w:val="15"/>
          <w:szCs w:val="15"/>
          <w:color w:val="auto"/>
        </w:rPr>
        <w:t xml:space="preserve">National Telecommunications and Information Administration. 2004. </w:t>
      </w:r>
      <w:r>
        <w:rPr>
          <w:rFonts w:ascii="Arial" w:cs="Arial" w:eastAsia="Arial" w:hAnsi="Arial"/>
          <w:sz w:val="15"/>
          <w:szCs w:val="15"/>
          <w:color w:val="auto"/>
        </w:rPr>
        <w:t>A Nation Online: Entering the</w:t>
      </w:r>
    </w:p>
    <w:p>
      <w:pPr>
        <w:spacing w:after="0" w:line="15" w:lineRule="exact"/>
        <w:rPr>
          <w:sz w:val="20"/>
          <w:szCs w:val="20"/>
          <w:color w:val="auto"/>
        </w:rPr>
      </w:pPr>
    </w:p>
    <w:p>
      <w:pPr>
        <w:ind w:left="240"/>
        <w:spacing w:after="0"/>
        <w:rPr>
          <w:sz w:val="20"/>
          <w:szCs w:val="20"/>
          <w:color w:val="auto"/>
        </w:rPr>
      </w:pPr>
      <w:r>
        <w:rPr>
          <w:rFonts w:ascii="Arial" w:cs="Arial" w:eastAsia="Arial" w:hAnsi="Arial"/>
          <w:sz w:val="16"/>
          <w:szCs w:val="16"/>
          <w:color w:val="auto"/>
        </w:rPr>
        <w:t>Broadband Age</w:t>
      </w:r>
      <w:r>
        <w:rPr>
          <w:rFonts w:ascii="Times New Roman" w:cs="Times New Roman" w:eastAsia="Times New Roman" w:hAnsi="Times New Roman"/>
          <w:sz w:val="16"/>
          <w:szCs w:val="16"/>
          <w:color w:val="auto"/>
        </w:rPr>
        <w:t>. Washington, DC: U.S. Department of Commerce.</w:t>
      </w:r>
    </w:p>
    <w:p>
      <w:pPr>
        <w:spacing w:after="0" w:line="47" w:lineRule="exact"/>
        <w:rPr>
          <w:sz w:val="20"/>
          <w:szCs w:val="20"/>
          <w:color w:val="auto"/>
        </w:rPr>
      </w:pPr>
    </w:p>
    <w:p>
      <w:pPr>
        <w:jc w:val="both"/>
        <w:ind w:left="240" w:hanging="238"/>
        <w:spacing w:after="0" w:line="237" w:lineRule="auto"/>
        <w:rPr>
          <w:sz w:val="20"/>
          <w:szCs w:val="20"/>
          <w:color w:val="auto"/>
        </w:rPr>
      </w:pPr>
      <w:r>
        <w:rPr>
          <w:rFonts w:ascii="Times New Roman" w:cs="Times New Roman" w:eastAsia="Times New Roman" w:hAnsi="Times New Roman"/>
          <w:sz w:val="16"/>
          <w:szCs w:val="16"/>
          <w:color w:val="auto"/>
        </w:rPr>
        <w:t xml:space="preserve">New America Foundation, U.S. Department of Commerce, National Telecommunications and Information Administration. 2004. </w:t>
      </w:r>
      <w:r>
        <w:rPr>
          <w:rFonts w:ascii="Arial" w:cs="Arial" w:eastAsia="Arial" w:hAnsi="Arial"/>
          <w:sz w:val="16"/>
          <w:szCs w:val="16"/>
          <w:color w:val="auto"/>
        </w:rPr>
        <w:t>A Nation Online: Entering the Broadband Age</w:t>
      </w:r>
      <w:r>
        <w:rPr>
          <w:rFonts w:ascii="Times New Roman" w:cs="Times New Roman" w:eastAsia="Times New Roman" w:hAnsi="Times New Roman"/>
          <w:sz w:val="16"/>
          <w:szCs w:val="16"/>
          <w:color w:val="auto"/>
        </w:rPr>
        <w:t>. Washington, DC: New America Foundation.</w:t>
      </w:r>
    </w:p>
    <w:p>
      <w:pPr>
        <w:spacing w:after="0" w:line="52" w:lineRule="exact"/>
        <w:rPr>
          <w:sz w:val="20"/>
          <w:szCs w:val="20"/>
          <w:color w:val="auto"/>
        </w:rPr>
      </w:pPr>
    </w:p>
    <w:p>
      <w:pPr>
        <w:jc w:val="both"/>
        <w:ind w:left="240" w:hanging="238"/>
        <w:spacing w:after="0" w:line="229" w:lineRule="auto"/>
        <w:rPr>
          <w:sz w:val="20"/>
          <w:szCs w:val="20"/>
          <w:color w:val="auto"/>
        </w:rPr>
      </w:pPr>
      <w:r>
        <w:rPr>
          <w:rFonts w:ascii="Times New Roman" w:cs="Times New Roman" w:eastAsia="Times New Roman" w:hAnsi="Times New Roman"/>
          <w:sz w:val="16"/>
          <w:szCs w:val="16"/>
          <w:color w:val="auto"/>
        </w:rPr>
        <w:t xml:space="preserve">Orr, J. Scott and Sam Ali. 1999. Online Banking Is Earning More Interest-Consumers Are Shedding Their Fears. </w:t>
      </w:r>
      <w:r>
        <w:rPr>
          <w:rFonts w:ascii="Arial" w:cs="Arial" w:eastAsia="Arial" w:hAnsi="Arial"/>
          <w:sz w:val="16"/>
          <w:szCs w:val="16"/>
          <w:color w:val="auto"/>
        </w:rPr>
        <w:t>The Star Ledger</w:t>
      </w:r>
      <w:r>
        <w:rPr>
          <w:rFonts w:ascii="Times New Roman" w:cs="Times New Roman" w:eastAsia="Times New Roman" w:hAnsi="Times New Roman"/>
          <w:sz w:val="16"/>
          <w:szCs w:val="16"/>
          <w:color w:val="auto"/>
        </w:rPr>
        <w:t>, November 8. http://ptg.djnr.comccroot/asp/publib/story.asp.</w:t>
      </w:r>
    </w:p>
    <w:p>
      <w:pPr>
        <w:spacing w:after="0" w:line="37" w:lineRule="exact"/>
        <w:rPr>
          <w:sz w:val="20"/>
          <w:szCs w:val="20"/>
          <w:color w:val="auto"/>
        </w:rPr>
      </w:pPr>
    </w:p>
    <w:p>
      <w:pPr>
        <w:spacing w:after="0"/>
        <w:rPr>
          <w:sz w:val="20"/>
          <w:szCs w:val="20"/>
          <w:color w:val="auto"/>
        </w:rPr>
      </w:pPr>
      <w:r>
        <w:rPr>
          <w:rFonts w:ascii="Times New Roman" w:cs="Times New Roman" w:eastAsia="Times New Roman" w:hAnsi="Times New Roman"/>
          <w:sz w:val="14"/>
          <w:szCs w:val="14"/>
          <w:color w:val="auto"/>
        </w:rPr>
        <w:t xml:space="preserve">Parrish, Leslie and Lisa Servon. 2006. </w:t>
      </w:r>
      <w:r>
        <w:rPr>
          <w:rFonts w:ascii="Arial" w:cs="Arial" w:eastAsia="Arial" w:hAnsi="Arial"/>
          <w:sz w:val="14"/>
          <w:szCs w:val="14"/>
          <w:color w:val="auto"/>
        </w:rPr>
        <w:t>Policy Options to Improve Financial Education: Equipping Fam-</w:t>
      </w:r>
    </w:p>
    <w:p>
      <w:pPr>
        <w:spacing w:after="0" w:line="43" w:lineRule="exact"/>
        <w:rPr>
          <w:sz w:val="20"/>
          <w:szCs w:val="20"/>
          <w:color w:val="auto"/>
        </w:rPr>
      </w:pPr>
    </w:p>
    <w:p>
      <w:pPr>
        <w:jc w:val="both"/>
        <w:ind w:firstLine="239"/>
        <w:spacing w:after="0" w:line="254" w:lineRule="auto"/>
        <w:rPr>
          <w:sz w:val="20"/>
          <w:szCs w:val="20"/>
          <w:color w:val="auto"/>
        </w:rPr>
      </w:pPr>
      <w:r>
        <w:rPr>
          <w:rFonts w:ascii="Arial" w:cs="Arial" w:eastAsia="Arial" w:hAnsi="Arial"/>
          <w:sz w:val="15"/>
          <w:szCs w:val="15"/>
          <w:color w:val="auto"/>
        </w:rPr>
        <w:t>ilies for Their Financial Futures</w:t>
      </w:r>
      <w:r>
        <w:rPr>
          <w:rFonts w:ascii="Times New Roman" w:cs="Times New Roman" w:eastAsia="Times New Roman" w:hAnsi="Times New Roman"/>
          <w:sz w:val="15"/>
          <w:szCs w:val="15"/>
          <w:color w:val="auto"/>
        </w:rPr>
        <w:t>. Issue Brief, New America Foundation, Asset Building Program.</w:t>
      </w:r>
      <w:r>
        <w:rPr>
          <w:rFonts w:ascii="Arial" w:cs="Arial" w:eastAsia="Arial" w:hAnsi="Arial"/>
          <w:sz w:val="15"/>
          <w:szCs w:val="15"/>
          <w:color w:val="auto"/>
        </w:rPr>
        <w:t xml:space="preserve"> </w:t>
      </w:r>
      <w:r>
        <w:rPr>
          <w:rFonts w:ascii="Times New Roman" w:cs="Times New Roman" w:eastAsia="Times New Roman" w:hAnsi="Times New Roman"/>
          <w:sz w:val="15"/>
          <w:szCs w:val="15"/>
          <w:color w:val="auto"/>
        </w:rPr>
        <w:t xml:space="preserve">Quinn, Jacqueline M. 2000. Mainstreaming Financial Education as an Employee Benefit. </w:t>
      </w:r>
      <w:r>
        <w:rPr>
          <w:rFonts w:ascii="Arial" w:cs="Arial" w:eastAsia="Arial" w:hAnsi="Arial"/>
          <w:sz w:val="15"/>
          <w:szCs w:val="15"/>
          <w:color w:val="auto"/>
        </w:rPr>
        <w:t>Journal of</w:t>
      </w:r>
    </w:p>
    <w:p>
      <w:pPr>
        <w:spacing w:after="0" w:line="5" w:lineRule="exact"/>
        <w:rPr>
          <w:sz w:val="20"/>
          <w:szCs w:val="20"/>
          <w:color w:val="auto"/>
        </w:rPr>
      </w:pPr>
    </w:p>
    <w:p>
      <w:pPr>
        <w:ind w:left="240"/>
        <w:spacing w:after="0"/>
        <w:rPr>
          <w:sz w:val="20"/>
          <w:szCs w:val="20"/>
          <w:color w:val="auto"/>
        </w:rPr>
      </w:pPr>
      <w:r>
        <w:rPr>
          <w:rFonts w:ascii="Arial" w:cs="Arial" w:eastAsia="Arial" w:hAnsi="Arial"/>
          <w:sz w:val="16"/>
          <w:szCs w:val="16"/>
          <w:color w:val="auto"/>
        </w:rPr>
        <w:t>Financial Planning</w:t>
      </w:r>
      <w:r>
        <w:rPr>
          <w:rFonts w:ascii="Times New Roman" w:cs="Times New Roman" w:eastAsia="Times New Roman" w:hAnsi="Times New Roman"/>
          <w:sz w:val="16"/>
          <w:szCs w:val="16"/>
          <w:color w:val="auto"/>
        </w:rPr>
        <w:t>, 13 (5): 70–80.</w:t>
      </w:r>
    </w:p>
    <w:p>
      <w:pPr>
        <w:sectPr>
          <w:pgSz w:w="8640" w:h="13320" w:orient="portrait"/>
          <w:cols w:equalWidth="0" w:num="1">
            <w:col w:w="6460"/>
          </w:cols>
          <w:pgMar w:left="940" w:top="731" w:right="1240" w:bottom="731" w:gutter="0" w:footer="0" w:header="0"/>
        </w:sectPr>
      </w:pPr>
    </w:p>
    <w:bookmarkStart w:id="34" w:name="page35"/>
    <w:bookmarkEnd w:id="34"/>
    <w:p>
      <w:pPr>
        <w:spacing w:after="0"/>
        <w:tabs>
          <w:tab w:leader="none" w:pos="2320" w:val="left"/>
          <w:tab w:leader="none" w:pos="6140" w:val="left"/>
        </w:tabs>
        <w:rPr>
          <w:sz w:val="20"/>
          <w:szCs w:val="20"/>
          <w:color w:val="auto"/>
        </w:rPr>
      </w:pPr>
      <w:r>
        <w:rPr>
          <w:rFonts w:ascii="Times New Roman" w:cs="Times New Roman" w:eastAsia="Times New Roman" w:hAnsi="Times New Roman"/>
          <w:sz w:val="16"/>
          <w:szCs w:val="16"/>
          <w:color w:val="auto"/>
        </w:rPr>
        <w:t>SUMMER 2008</w:t>
      </w:r>
      <w:r>
        <w:rPr>
          <w:sz w:val="20"/>
          <w:szCs w:val="20"/>
          <w:color w:val="auto"/>
        </w:rPr>
        <w:tab/>
      </w:r>
      <w:r>
        <w:rPr>
          <w:rFonts w:ascii="Times New Roman" w:cs="Times New Roman" w:eastAsia="Times New Roman" w:hAnsi="Times New Roman"/>
          <w:sz w:val="16"/>
          <w:szCs w:val="16"/>
          <w:color w:val="auto"/>
        </w:rPr>
        <w:t>VOLUME 42, NUMBER 2</w:t>
      </w:r>
      <w:r>
        <w:rPr>
          <w:sz w:val="20"/>
          <w:szCs w:val="20"/>
          <w:color w:val="auto"/>
        </w:rPr>
        <w:tab/>
      </w:r>
      <w:r>
        <w:rPr>
          <w:rFonts w:ascii="Times New Roman" w:cs="Times New Roman" w:eastAsia="Times New Roman" w:hAnsi="Times New Roman"/>
          <w:sz w:val="20"/>
          <w:szCs w:val="20"/>
          <w:color w:val="auto"/>
        </w:rPr>
        <w:t>305</w:t>
      </w:r>
    </w:p>
    <w:p>
      <w:pPr>
        <w:spacing w:after="0" w:line="200" w:lineRule="exact"/>
        <w:rPr>
          <w:sz w:val="20"/>
          <w:szCs w:val="20"/>
          <w:color w:val="auto"/>
        </w:rPr>
      </w:pPr>
    </w:p>
    <w:p>
      <w:pPr>
        <w:spacing w:after="0" w:line="288" w:lineRule="exact"/>
        <w:rPr>
          <w:sz w:val="20"/>
          <w:szCs w:val="20"/>
          <w:color w:val="auto"/>
        </w:rPr>
      </w:pPr>
    </w:p>
    <w:p>
      <w:pPr>
        <w:spacing w:after="0"/>
        <w:rPr>
          <w:sz w:val="20"/>
          <w:szCs w:val="20"/>
          <w:color w:val="auto"/>
        </w:rPr>
      </w:pPr>
      <w:r>
        <w:rPr>
          <w:rFonts w:ascii="Times New Roman" w:cs="Times New Roman" w:eastAsia="Times New Roman" w:hAnsi="Times New Roman"/>
          <w:sz w:val="15"/>
          <w:szCs w:val="15"/>
          <w:color w:val="auto"/>
        </w:rPr>
        <w:t xml:space="preserve">Rubin, H. J. &amp; Rubin, I. (2004). </w:t>
      </w:r>
      <w:r>
        <w:rPr>
          <w:rFonts w:ascii="Arial" w:cs="Arial" w:eastAsia="Arial" w:hAnsi="Arial"/>
          <w:sz w:val="15"/>
          <w:szCs w:val="15"/>
          <w:color w:val="auto"/>
        </w:rPr>
        <w:t>Qualitative Interviewing: The Art of Hearing Data</w:t>
      </w:r>
      <w:r>
        <w:rPr>
          <w:rFonts w:ascii="Times New Roman" w:cs="Times New Roman" w:eastAsia="Times New Roman" w:hAnsi="Times New Roman"/>
          <w:sz w:val="15"/>
          <w:szCs w:val="15"/>
          <w:color w:val="auto"/>
        </w:rPr>
        <w:t>. Newbury Park, CA:</w:t>
      </w:r>
    </w:p>
    <w:p>
      <w:pPr>
        <w:spacing w:after="0" w:line="10" w:lineRule="exact"/>
        <w:rPr>
          <w:sz w:val="20"/>
          <w:szCs w:val="20"/>
          <w:color w:val="auto"/>
        </w:rPr>
      </w:pPr>
    </w:p>
    <w:p>
      <w:pPr>
        <w:ind w:left="240"/>
        <w:spacing w:after="0"/>
        <w:rPr>
          <w:sz w:val="20"/>
          <w:szCs w:val="20"/>
          <w:color w:val="auto"/>
        </w:rPr>
      </w:pPr>
      <w:r>
        <w:rPr>
          <w:rFonts w:ascii="Times New Roman" w:cs="Times New Roman" w:eastAsia="Times New Roman" w:hAnsi="Times New Roman"/>
          <w:sz w:val="16"/>
          <w:szCs w:val="16"/>
          <w:color w:val="auto"/>
        </w:rPr>
        <w:t>Sage.</w:t>
      </w:r>
    </w:p>
    <w:p>
      <w:pPr>
        <w:spacing w:after="0" w:line="47" w:lineRule="exact"/>
        <w:rPr>
          <w:sz w:val="20"/>
          <w:szCs w:val="20"/>
          <w:color w:val="auto"/>
        </w:rPr>
      </w:pPr>
    </w:p>
    <w:p>
      <w:pPr>
        <w:jc w:val="both"/>
        <w:ind w:left="240" w:hanging="238"/>
        <w:spacing w:after="0" w:line="239" w:lineRule="auto"/>
        <w:rPr>
          <w:sz w:val="20"/>
          <w:szCs w:val="20"/>
          <w:color w:val="auto"/>
        </w:rPr>
      </w:pPr>
      <w:r>
        <w:rPr>
          <w:rFonts w:ascii="Times New Roman" w:cs="Times New Roman" w:eastAsia="Times New Roman" w:hAnsi="Times New Roman"/>
          <w:sz w:val="16"/>
          <w:szCs w:val="16"/>
          <w:color w:val="auto"/>
        </w:rPr>
        <w:t xml:space="preserve">Schreiner, Mark, Michael Sherraden, and Sondra Beverly. 2002. </w:t>
      </w:r>
      <w:r>
        <w:rPr>
          <w:rFonts w:ascii="Arial" w:cs="Arial" w:eastAsia="Arial" w:hAnsi="Arial"/>
          <w:sz w:val="16"/>
          <w:szCs w:val="16"/>
          <w:color w:val="auto"/>
        </w:rPr>
        <w:t>Income, Institutions, and Saving</w:t>
      </w:r>
      <w:r>
        <w:rPr>
          <w:rFonts w:ascii="Times New Roman" w:cs="Times New Roman" w:eastAsia="Times New Roman" w:hAnsi="Times New Roman"/>
          <w:sz w:val="16"/>
          <w:szCs w:val="16"/>
          <w:color w:val="auto"/>
        </w:rPr>
        <w:t xml:space="preserve"> </w:t>
      </w:r>
      <w:r>
        <w:rPr>
          <w:rFonts w:ascii="Arial" w:cs="Arial" w:eastAsia="Arial" w:hAnsi="Arial"/>
          <w:sz w:val="16"/>
          <w:szCs w:val="16"/>
          <w:color w:val="auto"/>
        </w:rPr>
        <w:t>Performance in Individual Development Accounts</w:t>
      </w:r>
      <w:r>
        <w:rPr>
          <w:rFonts w:ascii="Times New Roman" w:cs="Times New Roman" w:eastAsia="Times New Roman" w:hAnsi="Times New Roman"/>
          <w:sz w:val="16"/>
          <w:szCs w:val="16"/>
          <w:color w:val="auto"/>
        </w:rPr>
        <w:t>. St. Louis, MO: Center for Social Development</w:t>
      </w:r>
      <w:r>
        <w:rPr>
          <w:rFonts w:ascii="Arial" w:cs="Arial" w:eastAsia="Arial" w:hAnsi="Arial"/>
          <w:sz w:val="16"/>
          <w:szCs w:val="16"/>
          <w:color w:val="auto"/>
        </w:rPr>
        <w:t xml:space="preserve"> </w:t>
      </w:r>
      <w:r>
        <w:rPr>
          <w:rFonts w:ascii="Times New Roman" w:cs="Times New Roman" w:eastAsia="Times New Roman" w:hAnsi="Times New Roman"/>
          <w:sz w:val="16"/>
          <w:szCs w:val="16"/>
          <w:color w:val="auto"/>
        </w:rPr>
        <w:t>at Washington University.</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5"/>
          <w:szCs w:val="15"/>
          <w:color w:val="auto"/>
        </w:rPr>
        <w:t xml:space="preserve">Servon, Lisa. 2002. </w:t>
      </w:r>
      <w:r>
        <w:rPr>
          <w:rFonts w:ascii="Arial" w:cs="Arial" w:eastAsia="Arial" w:hAnsi="Arial"/>
          <w:sz w:val="15"/>
          <w:szCs w:val="15"/>
          <w:color w:val="auto"/>
        </w:rPr>
        <w:t>Bridging the Digital Divide: Technology, Community and Public Policy</w:t>
      </w:r>
      <w:r>
        <w:rPr>
          <w:rFonts w:ascii="Times New Roman" w:cs="Times New Roman" w:eastAsia="Times New Roman" w:hAnsi="Times New Roman"/>
          <w:sz w:val="15"/>
          <w:szCs w:val="15"/>
          <w:color w:val="auto"/>
        </w:rPr>
        <w:t>. Oxford:</w:t>
      </w:r>
    </w:p>
    <w:p>
      <w:pPr>
        <w:spacing w:after="0" w:line="12" w:lineRule="exact"/>
        <w:rPr>
          <w:sz w:val="20"/>
          <w:szCs w:val="20"/>
          <w:color w:val="auto"/>
        </w:rPr>
      </w:pPr>
    </w:p>
    <w:p>
      <w:pPr>
        <w:ind w:left="240"/>
        <w:spacing w:after="0"/>
        <w:rPr>
          <w:sz w:val="20"/>
          <w:szCs w:val="20"/>
          <w:color w:val="auto"/>
        </w:rPr>
      </w:pPr>
      <w:r>
        <w:rPr>
          <w:rFonts w:ascii="Times New Roman" w:cs="Times New Roman" w:eastAsia="Times New Roman" w:hAnsi="Times New Roman"/>
          <w:sz w:val="16"/>
          <w:szCs w:val="16"/>
          <w:color w:val="auto"/>
        </w:rPr>
        <w:t>Blackwell Publishers.</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5"/>
          <w:szCs w:val="15"/>
          <w:color w:val="auto"/>
        </w:rPr>
        <w:t xml:space="preserve">Shirer, Karen and Erica Tobe (n.d.). </w:t>
      </w:r>
      <w:r>
        <w:rPr>
          <w:rFonts w:ascii="Arial" w:cs="Arial" w:eastAsia="Arial" w:hAnsi="Arial"/>
          <w:sz w:val="15"/>
          <w:szCs w:val="15"/>
          <w:color w:val="auto"/>
        </w:rPr>
        <w:t>Getting Ready to Save: Applying Stages of Change Theory to</w:t>
      </w:r>
    </w:p>
    <w:p>
      <w:pPr>
        <w:spacing w:after="0" w:line="25" w:lineRule="exact"/>
        <w:rPr>
          <w:sz w:val="20"/>
          <w:szCs w:val="20"/>
          <w:color w:val="auto"/>
        </w:rPr>
      </w:pPr>
    </w:p>
    <w:p>
      <w:pPr>
        <w:ind w:left="240"/>
        <w:spacing w:after="0"/>
        <w:rPr>
          <w:sz w:val="20"/>
          <w:szCs w:val="20"/>
          <w:color w:val="auto"/>
        </w:rPr>
      </w:pPr>
      <w:r>
        <w:rPr>
          <w:rFonts w:ascii="Arial" w:cs="Arial" w:eastAsia="Arial" w:hAnsi="Arial"/>
          <w:sz w:val="15"/>
          <w:szCs w:val="15"/>
          <w:color w:val="auto"/>
        </w:rPr>
        <w:t>Financial Education for Families with Low Incomes</w:t>
      </w:r>
      <w:r>
        <w:rPr>
          <w:rFonts w:ascii="Times New Roman" w:cs="Times New Roman" w:eastAsia="Times New Roman" w:hAnsi="Times New Roman"/>
          <w:sz w:val="15"/>
          <w:szCs w:val="15"/>
          <w:color w:val="auto"/>
        </w:rPr>
        <w:t>. Greenwood Village, CO: National Endow-</w:t>
      </w:r>
    </w:p>
    <w:p>
      <w:pPr>
        <w:spacing w:after="0" w:line="12" w:lineRule="exact"/>
        <w:rPr>
          <w:sz w:val="20"/>
          <w:szCs w:val="20"/>
          <w:color w:val="auto"/>
        </w:rPr>
      </w:pPr>
    </w:p>
    <w:p>
      <w:pPr>
        <w:ind w:left="240"/>
        <w:spacing w:after="0"/>
        <w:rPr>
          <w:sz w:val="20"/>
          <w:szCs w:val="20"/>
          <w:color w:val="auto"/>
        </w:rPr>
      </w:pPr>
      <w:r>
        <w:rPr>
          <w:rFonts w:ascii="Times New Roman" w:cs="Times New Roman" w:eastAsia="Times New Roman" w:hAnsi="Times New Roman"/>
          <w:sz w:val="16"/>
          <w:szCs w:val="16"/>
          <w:color w:val="auto"/>
        </w:rPr>
        <w:t>ment for Financial Education.</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5"/>
          <w:szCs w:val="15"/>
          <w:color w:val="auto"/>
        </w:rPr>
        <w:t xml:space="preserve">Stafford, Marla Royne. 2004. Identity Theft: Laws, Crimes, and Victims. </w:t>
      </w:r>
      <w:r>
        <w:rPr>
          <w:rFonts w:ascii="Arial" w:cs="Arial" w:eastAsia="Arial" w:hAnsi="Arial"/>
          <w:sz w:val="15"/>
          <w:szCs w:val="15"/>
          <w:color w:val="auto"/>
        </w:rPr>
        <w:t>Journal of Consumer Affairs</w:t>
      </w:r>
      <w:r>
        <w:rPr>
          <w:rFonts w:ascii="Times New Roman" w:cs="Times New Roman" w:eastAsia="Times New Roman" w:hAnsi="Times New Roman"/>
          <w:sz w:val="15"/>
          <w:szCs w:val="15"/>
          <w:color w:val="auto"/>
        </w:rPr>
        <w:t>,</w:t>
      </w:r>
    </w:p>
    <w:p>
      <w:pPr>
        <w:spacing w:after="0" w:line="12" w:lineRule="exact"/>
        <w:rPr>
          <w:sz w:val="20"/>
          <w:szCs w:val="20"/>
          <w:color w:val="auto"/>
        </w:rPr>
      </w:pPr>
    </w:p>
    <w:p>
      <w:pPr>
        <w:ind w:left="240"/>
        <w:spacing w:after="0"/>
        <w:rPr>
          <w:sz w:val="20"/>
          <w:szCs w:val="20"/>
          <w:color w:val="auto"/>
        </w:rPr>
      </w:pPr>
      <w:r>
        <w:rPr>
          <w:rFonts w:ascii="Times New Roman" w:cs="Times New Roman" w:eastAsia="Times New Roman" w:hAnsi="Times New Roman"/>
          <w:sz w:val="16"/>
          <w:szCs w:val="16"/>
          <w:color w:val="auto"/>
        </w:rPr>
        <w:t>38 (2): 201–203.</w:t>
      </w:r>
    </w:p>
    <w:p>
      <w:pPr>
        <w:spacing w:after="0" w:line="29" w:lineRule="exact"/>
        <w:rPr>
          <w:sz w:val="20"/>
          <w:szCs w:val="20"/>
          <w:color w:val="auto"/>
        </w:rPr>
      </w:pPr>
    </w:p>
    <w:p>
      <w:pPr>
        <w:spacing w:after="0"/>
        <w:rPr>
          <w:sz w:val="20"/>
          <w:szCs w:val="20"/>
          <w:color w:val="auto"/>
        </w:rPr>
      </w:pPr>
      <w:r>
        <w:rPr>
          <w:rFonts w:ascii="Times New Roman" w:cs="Times New Roman" w:eastAsia="Times New Roman" w:hAnsi="Times New Roman"/>
          <w:sz w:val="15"/>
          <w:szCs w:val="15"/>
          <w:color w:val="auto"/>
        </w:rPr>
        <w:t xml:space="preserve">Stuhldreher, Ann and Jennifer Tescher. 2005. </w:t>
      </w:r>
      <w:r>
        <w:rPr>
          <w:rFonts w:ascii="Arial" w:cs="Arial" w:eastAsia="Arial" w:hAnsi="Arial"/>
          <w:sz w:val="15"/>
          <w:szCs w:val="15"/>
          <w:color w:val="auto"/>
        </w:rPr>
        <w:t>Breaking the Savings Barrier: How the Federal Gov-</w:t>
      </w:r>
    </w:p>
    <w:p>
      <w:pPr>
        <w:spacing w:after="0" w:line="26" w:lineRule="exact"/>
        <w:rPr>
          <w:sz w:val="20"/>
          <w:szCs w:val="20"/>
          <w:color w:val="auto"/>
        </w:rPr>
      </w:pPr>
    </w:p>
    <w:p>
      <w:pPr>
        <w:ind w:left="240"/>
        <w:spacing w:after="0"/>
        <w:rPr>
          <w:sz w:val="20"/>
          <w:szCs w:val="20"/>
          <w:color w:val="auto"/>
        </w:rPr>
      </w:pPr>
      <w:r>
        <w:rPr>
          <w:rFonts w:ascii="Arial" w:cs="Arial" w:eastAsia="Arial" w:hAnsi="Arial"/>
          <w:sz w:val="15"/>
          <w:szCs w:val="15"/>
          <w:color w:val="auto"/>
        </w:rPr>
        <w:t>ernment Can Build an Inclusive Financial System</w:t>
      </w:r>
      <w:r>
        <w:rPr>
          <w:rFonts w:ascii="Times New Roman" w:cs="Times New Roman" w:eastAsia="Times New Roman" w:hAnsi="Times New Roman"/>
          <w:sz w:val="15"/>
          <w:szCs w:val="15"/>
          <w:color w:val="auto"/>
        </w:rPr>
        <w:t>. Issue Brief 6. Washington, DC: New America</w:t>
      </w:r>
    </w:p>
    <w:p>
      <w:pPr>
        <w:spacing w:after="0" w:line="12" w:lineRule="exact"/>
        <w:rPr>
          <w:sz w:val="20"/>
          <w:szCs w:val="20"/>
          <w:color w:val="auto"/>
        </w:rPr>
      </w:pPr>
    </w:p>
    <w:p>
      <w:pPr>
        <w:ind w:left="240"/>
        <w:spacing w:after="0"/>
        <w:rPr>
          <w:sz w:val="20"/>
          <w:szCs w:val="20"/>
          <w:color w:val="auto"/>
        </w:rPr>
      </w:pPr>
      <w:r>
        <w:rPr>
          <w:rFonts w:ascii="Times New Roman" w:cs="Times New Roman" w:eastAsia="Times New Roman" w:hAnsi="Times New Roman"/>
          <w:sz w:val="16"/>
          <w:szCs w:val="16"/>
          <w:color w:val="auto"/>
        </w:rPr>
        <w:t>Foundation.</w:t>
      </w:r>
    </w:p>
    <w:sectPr>
      <w:pgSz w:w="8640" w:h="13320" w:orient="portrait"/>
      <w:cols w:equalWidth="0" w:num="1">
        <w:col w:w="6460"/>
      </w:cols>
      <w:pgMar w:left="1240" w:top="771" w:right="940" w:bottom="1440" w:gutter="0" w:footer="0" w:header="0"/>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400001FF" w:csb1="FFFF0000"/>
  </w:font>
</w:fonts>
</file>

<file path=word/numbering.xml><?xml version="1.0" encoding="utf-8"?>
<w:numbering xmlns:w="http://schemas.openxmlformats.org/wordprocessingml/2006/main">
  <w:abstractNum w:abstractNumId="0">
    <w:nsid w:val="507ED7AB"/>
    <w:multiLevelType w:val="hybridMultilevel"/>
    <w:lvl w:ilvl="0">
      <w:lvlJc w:val="left"/>
      <w:lvlText w:val="(%1)"/>
      <w:numFmt w:val="decimal"/>
      <w:start w:val="1"/>
    </w:lvl>
  </w:abstractNum>
  <w:abstractNum w:abstractNumId="1">
    <w:nsid w:val="2EB141F2"/>
    <w:multiLevelType w:val="hybridMultilevel"/>
    <w:lvl w:ilvl="0">
      <w:lvlJc w:val="left"/>
      <w:lvlText w:val="%1."/>
      <w:numFmt w:val="decimal"/>
      <w:start w:val="1"/>
    </w:lvl>
  </w:abstractNum>
  <w:abstractNum w:abstractNumId="2">
    <w:nsid w:val="41B71EFB"/>
    <w:multiLevelType w:val="hybridMultilevel"/>
    <w:lvl w:ilvl="0">
      <w:lvlJc w:val="left"/>
      <w:lvlText w:val="%1."/>
      <w:numFmt w:val="decimal"/>
      <w:start w:val="2"/>
    </w:lvl>
  </w:abstractNum>
  <w:abstractNum w:abstractNumId="3">
    <w:nsid w:val="79E2A9E3"/>
    <w:multiLevelType w:val="hybridMultilevel"/>
    <w:lvl w:ilvl="0">
      <w:lvlJc w:val="left"/>
      <w:lvlText w:val="%1."/>
      <w:numFmt w:val="decimal"/>
      <w:start w:val="3"/>
    </w:lvl>
  </w:abstractNum>
  <w:abstractNum w:abstractNumId="4">
    <w:nsid w:val="7545E146"/>
    <w:multiLevelType w:val="hybridMultilevel"/>
    <w:lvl w:ilvl="0">
      <w:lvlJc w:val="left"/>
      <w:lvlText w:val="d"/>
      <w:numFmt w:val="bullet"/>
      <w:start w:val="1"/>
    </w:lvl>
  </w:abstractNum>
  <w:abstractNum w:abstractNumId="5">
    <w:nsid w:val="515F007C"/>
    <w:multiLevelType w:val="hybridMultilevel"/>
    <w:lvl w:ilvl="0">
      <w:lvlJc w:val="left"/>
      <w:lvlText w:val="%1."/>
      <w:numFmt w:val="decimal"/>
      <w:start w:val="4"/>
    </w:lvl>
  </w:abstractNum>
  <w:abstractNum w:abstractNumId="6">
    <w:nsid w:val="5BD062C2"/>
    <w:multiLevelType w:val="hybridMultilevel"/>
    <w:lvl w:ilvl="0">
      <w:lvlJc w:val="left"/>
      <w:lvlText w:val="%1."/>
      <w:numFmt w:val="decimal"/>
      <w:start w:val="5"/>
    </w:lvl>
  </w:abstractNum>
  <w:abstractNum w:abstractNumId="7">
    <w:nsid w:val="12200854"/>
    <w:multiLevelType w:val="hybridMultilevel"/>
    <w:lvl w:ilvl="0">
      <w:lvlJc w:val="left"/>
      <w:lvlText w:val="%1."/>
      <w:numFmt w:val="decimal"/>
      <w:start w:val="7"/>
    </w:lvl>
  </w:abstractNum>
  <w:abstractNum w:abstractNumId="8">
    <w:nsid w:val="4DB127F8"/>
    <w:multiLevelType w:val="hybridMultilevel"/>
    <w:lvl w:ilvl="0">
      <w:lvlJc w:val="left"/>
      <w:lvlText w:val="%1."/>
      <w:numFmt w:val="decimal"/>
      <w:start w:val="9"/>
    </w:lvl>
  </w:abstractNum>
  <w:abstractNum w:abstractNumId="9">
    <w:nsid w:val="216231B"/>
    <w:multiLevelType w:val="hybridMultilevel"/>
    <w:lvl w:ilvl="0">
      <w:lvlJc w:val="left"/>
      <w:lvlText w:val="%1."/>
      <w:numFmt w:val="decimal"/>
      <w:start w:val="11"/>
    </w:lvl>
  </w:abstractNum>
  <w:abstractNum w:abstractNumId="10">
    <w:nsid w:val="1F16E9E8"/>
    <w:multiLevelType w:val="hybridMultilevel"/>
    <w:lvl w:ilvl="0">
      <w:lvlJc w:val="left"/>
      <w:lvlText w:val="\emdash \e"/>
      <w:numFmt w:val="bullet"/>
      <w:start w:val="1"/>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numbering" Target="numbering.xml"/><Relationship Id="rId8" Type="http://schemas.openxmlformats.org/officeDocument/2006/relationships/image" Target="media/image1.jpeg"/><Relationship Id="rId9" Type="http://schemas.openxmlformats.org/officeDocument/2006/relationships/image" Target="media/image2.jpeg"/><Relationship Id="rId10" Type="http://schemas.openxmlformats.org/officeDocument/2006/relationships/image" Target="media/image3.jpeg"/><Relationship Id="rId11" Type="http://schemas.openxmlformats.org/officeDocument/2006/relationships/image" Target="media/image4.jpeg"/><Relationship Id="rId12" Type="http://schemas.openxmlformats.org/officeDocument/2006/relationships/image" Target="media/image5.jpeg"/><Relationship Id="rId13" Type="http://schemas.openxmlformats.org/officeDocument/2006/relationships/image" Target="media/image6.jpeg"/><Relationship Id="rId14" Type="http://schemas.openxmlformats.org/officeDocument/2006/relationships/image" Target="media/image7.jpeg"/><Relationship Id="rId15" Type="http://schemas.openxmlformats.org/officeDocument/2006/relationships/image" Target="media/image8.jpeg"/></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2018-05-19T20:28:16Z</dcterms:created>
  <dcterms:modified xsi:type="dcterms:W3CDTF">2018-05-19T20:28:16Z</dcterms:modified>
</cp:coreProperties>
</file>