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ud1683rise5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Бизнес-домен. </w:t>
        <w:br w:type="textWrapping"/>
        <w:t xml:space="preserve">Система обработки заказов маркетплейса.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dwrhy14wkjfw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Игнашин Иван Юрьевич 5130904/40106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 качестве примера работы системы массового обслуживания (Вариант 10) рассмотрим работу балансировщика и пула микросервисов электронной коммерции. Система принимает запросы от различных клиентских приложений. Из-за пиковых нагрузок система не может мгновенно обработать все запросы, поэтому она распределяет их по пулу воркеров и при переполнении оперативной памяти отбрасывает наименее приоритетные фоновые задачи в пользу критически важных транзакций пользователей.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51"/>
        <w:gridCol w:w="850"/>
        <w:gridCol w:w="851"/>
        <w:gridCol w:w="1134"/>
        <w:gridCol w:w="1134"/>
        <w:gridCol w:w="992"/>
        <w:gridCol w:w="992"/>
        <w:gridCol w:w="851"/>
        <w:gridCol w:w="850"/>
        <w:tblGridChange w:id="0">
          <w:tblGrid>
            <w:gridCol w:w="851"/>
            <w:gridCol w:w="850"/>
            <w:gridCol w:w="851"/>
            <w:gridCol w:w="1134"/>
            <w:gridCol w:w="1134"/>
            <w:gridCol w:w="992"/>
            <w:gridCol w:w="992"/>
            <w:gridCol w:w="851"/>
            <w:gridCol w:w="8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ИБ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ИЗ2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ПЗ1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Д1ОЗ3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Д1ОО2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Д2П2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Д2Б5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ОР1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ОД1</w:t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1k8lcb15c8lj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ЭЛЕМЕНТЫ БИЗНЕС-ДОМЕНА</w:t>
      </w:r>
    </w:p>
    <w:p w:rsidR="00000000" w:rsidDel="00000000" w:rsidP="00000000" w:rsidRDefault="00000000" w:rsidRPr="00000000" w14:paraId="00000010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j2isclp94el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1.1. Источник (ИБ, ИЗ2)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Клиентские приложения (web, mobile) и внутренние фоновые процессы генерируют сетевые запросы. Поток запросов бесконечный, а интервалы времени между их поступлением распределены по равномерному закону.</w:t>
      </w:r>
    </w:p>
    <w:p w:rsidR="00000000" w:rsidDel="00000000" w:rsidP="00000000" w:rsidRDefault="00000000" w:rsidRPr="00000000" w14:paraId="00000012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nlfg629y8j6g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1.2. Буфер (Д1ОЗ3)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Оперативная память балансировщика нагрузки. Входящий запрос занимает первую свободную ячейку памяти, если такая находится. Сдвига остальных запросов в памяти при этом не происходит.</w:t>
      </w:r>
    </w:p>
    <w:p w:rsidR="00000000" w:rsidDel="00000000" w:rsidP="00000000" w:rsidRDefault="00000000" w:rsidRPr="00000000" w14:paraId="00000014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qv10n4hm3iua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1.3. Прибор (ПЗ1)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Изолированные контейнеры-воркеры (микросервисы бизнес-логики). Время обработки одного запроса зависит от ответа БД и сети, поэтому является случайным и распределено по экспоненциальному закону.</w:t>
      </w:r>
    </w:p>
    <w:p w:rsidR="00000000" w:rsidDel="00000000" w:rsidP="00000000" w:rsidRDefault="00000000" w:rsidRPr="00000000" w14:paraId="00000016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4a1agg74hpkj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1.4. Дисциплина отказа (Д1ОО2)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При переполнении пула соединений балансировщик отбрасывает (выбивает из буфера) запросы с наименьшим приоритетом источника. Например, фоновый запрос на обновление рекомендаций будет сброшен ради транзакции оплаты.</w:t>
      </w:r>
    </w:p>
    <w:p w:rsidR="00000000" w:rsidDel="00000000" w:rsidP="00000000" w:rsidRDefault="00000000" w:rsidRPr="00000000" w14:paraId="00000018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cg1pc8y6pkjb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1.5. Дисциплины постановки на обслуживание (Д2П2, Д2Б5)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Д2Б5 (выбор заявок пакетами по источнику):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При освобождении микросервиса он берет в обработку пакет запросов от самого приоритетного источника. Например, сначала последовательно обрабатываются все скопившиеся в буфере запросы на оплату (пока они не иссякнут), и только после этого система перейдет к обработке запросов на регистрацию.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Д2П2 (выбор прибора по кольцу):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Балансировщик нагрузки распределяет задачи между свободными контейнерами-воркерами строго по кругу (циклический алгоритм Round-Robin).</w:t>
      </w:r>
    </w:p>
    <w:p w:rsidR="00000000" w:rsidDel="00000000" w:rsidP="00000000" w:rsidRDefault="00000000" w:rsidRPr="00000000" w14:paraId="0000001B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gmr1o5jcogcv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1.6. Заявка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Сетевой запрос, содержащий бизнес-данные (состав корзины, данные пользователя), требующий вычислений и сохранения результата в базу данных.</w:t>
      </w:r>
    </w:p>
    <w:p w:rsidR="00000000" w:rsidDel="00000000" w:rsidP="00000000" w:rsidRDefault="00000000" w:rsidRPr="00000000" w14:paraId="0000001D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dcyngkl8tcwa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1.7. Отображение результатов (ОР1, ОД1)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 автоматическом режиме (ОР1) результаты моделирования выводятся в виде сводной таблицы, содержащей основные статистические характеристики работы системы: количество сгенерированных и обработанных заявок, число отказов, среднее время пребывания в системе, а также загрузку контейнеров-воркеров. В пошаговом режиме (ОД1) динамика работы системы отображается в виде календаря событий, показывающего наступление особых состояний (поступление заявки, освобождение воркера), состояния буферной памяти балансировщика и текущего статуса микросервисов.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ru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88" w:lineRule="auto"/>
    </w:pPr>
    <w:rPr>
      <w:rFonts w:ascii="Montserrat" w:cs="Montserrat" w:eastAsia="Montserrat" w:hAnsi="Montserrat"/>
      <w:b w:val="1"/>
      <w:bCs w:val="1"/>
      <w:color w:val="47556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88" w:lineRule="auto"/>
    </w:pPr>
    <w:rPr>
      <w:rFonts w:ascii="Montserrat" w:cs="Montserrat" w:eastAsia="Montserrat" w:hAnsi="Montserrat"/>
      <w:b w:val="1"/>
      <w:bCs w:val="1"/>
      <w:color w:val="64748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40" w:lineRule="auto"/>
    </w:pPr>
    <w:rPr>
      <w:rFonts w:ascii="Montserrat" w:cs="Montserrat" w:eastAsia="Montserrat" w:hAnsi="Montserrat"/>
      <w:b w:val="1"/>
      <w:bCs w:val="1"/>
      <w:color w:val="1e293b"/>
      <w:sz w:val="44"/>
      <w:szCs w:val="4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color="auto"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2"/>
        <w:szCs w:val="22"/>
      </w:rPr>
      <w:tblPr/>
      <w:tcPr>
        <w:shd w:color="auto" w:fill="f8fafc" w:val="clear"/>
        <w:vAlign w:val="center"/>
      </w:tcPr>
    </w:tblStylePr>
  </w:style>
  <w:style w:type="table" w:styleId="a6">
    <w:name w:val="Table Grid"/>
    <w:basedOn w:val="a1"/>
    <w:uiPriority w:val="39"/>
    <w:rsid w:val="00201B86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7">
    <w:name w:val="header"/>
    <w:basedOn w:val="a"/>
    <w:link w:val="a8"/>
    <w:uiPriority w:val="99"/>
    <w:unhideWhenUsed w:val="1"/>
    <w:rsid w:val="00201B86"/>
    <w:pPr>
      <w:tabs>
        <w:tab w:val="center" w:pos="4677"/>
        <w:tab w:val="right" w:pos="9355"/>
      </w:tabs>
      <w:spacing w:line="240" w:lineRule="auto"/>
    </w:pPr>
  </w:style>
  <w:style w:type="character" w:styleId="a8" w:customStyle="1">
    <w:name w:val="Верхний колонтитул Знак"/>
    <w:basedOn w:val="a0"/>
    <w:link w:val="a7"/>
    <w:uiPriority w:val="99"/>
    <w:rsid w:val="00201B86"/>
  </w:style>
  <w:style w:type="paragraph" w:styleId="a9">
    <w:name w:val="footer"/>
    <w:basedOn w:val="a"/>
    <w:link w:val="aa"/>
    <w:uiPriority w:val="99"/>
    <w:unhideWhenUsed w:val="1"/>
    <w:rsid w:val="00201B86"/>
    <w:pPr>
      <w:tabs>
        <w:tab w:val="center" w:pos="4677"/>
        <w:tab w:val="right" w:pos="9355"/>
      </w:tabs>
      <w:spacing w:line="240" w:lineRule="auto"/>
    </w:pPr>
  </w:style>
  <w:style w:type="character" w:styleId="aa" w:customStyle="1">
    <w:name w:val="Нижний колонтитул Знак"/>
    <w:basedOn w:val="a0"/>
    <w:link w:val="a9"/>
    <w:uiPriority w:val="99"/>
    <w:rsid w:val="00201B86"/>
  </w:style>
  <w:style w:type="paragraph" w:styleId="ab">
    <w:name w:val="No Spacing"/>
    <w:uiPriority w:val="1"/>
    <w:qFormat w:val="1"/>
    <w:rsid w:val="00201B86"/>
    <w:pPr>
      <w:spacing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6XfmpQpcz62neZg+eqOxtkkl2Q==">CgMxLjAyDmgudWQxNjgzcmlzZTVuMg5oLmR3cmh5MTR3a2pmdzIOaC4xazhsY2IxNWM4bGoyDWguajJpc2NscDk0ZWwyDmgubmxmZzYyOXk4ajZnMg5oLnF2MTBuNGhtM2l1YTIOaC40YTFhZ2c3NGhwa2oyDmguY2cxcGM4eTZwa2piMg5oLmdtcjFvNWpjb2djdjIOaC5kY3luZ2tsOHRjd2E4AHIhMVMycjA3N1I0QkdIdkVnN1NfdDJWMDVMQjllMFdjXzZ6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2026-09-18T12:27:00Z</dcterms:created>
</cp:coreProperties>
</file>