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hd w:val="clear" w:fill="auto"/>
        <w:spacing w:lineRule="auto" w:line="240" w:before="0" w:after="75"/>
        <w:jc w:val="center"/>
        <w:rPr>
          <w:b/>
          <w:bCs/>
        </w:rPr>
      </w:pPr>
      <w:r>
        <w:rPr>
          <w:b/>
          <w:bCs/>
        </w:rPr>
        <w:t>Государственное бюджетное профессиональное образовательное учреждение города Москвы</w:t>
      </w:r>
    </w:p>
    <w:p>
      <w:pPr>
        <w:pStyle w:val="normal1"/>
        <w:shd w:val="clear" w:fill="auto"/>
        <w:spacing w:lineRule="auto" w:line="240" w:before="0" w:after="375"/>
        <w:jc w:val="center"/>
        <w:rPr>
          <w:b/>
          <w:bCs/>
        </w:rPr>
      </w:pPr>
      <w:r>
        <w:rPr>
          <w:b/>
          <w:bCs/>
        </w:rPr>
        <w:t>Колледж информационных технологий «ИТ.МОСКВА»</w:t>
      </w:r>
    </w:p>
    <w:p>
      <w:pPr>
        <w:pStyle w:val="normal1"/>
        <w:shd w:val="clear" w:fill="auto"/>
        <w:rPr/>
      </w:pPr>
      <w:r>
        <w:rPr>
          <w:b/>
          <w:bCs/>
        </w:rPr>
        <w:t>ДИСЦИПЛИНА:</w:t>
      </w:r>
      <w:r>
        <w:rPr/>
        <w:t xml:space="preserve"> ДУП.01 «Практическая подготовка по технологии выполнения работ по профессии “Консультант в области развития цифровой грамотности населения (цифровой куратор)”»</w:t>
      </w:r>
    </w:p>
    <w:p>
      <w:pPr>
        <w:pStyle w:val="normal1"/>
        <w:shd w:val="clear" w:fill="auto"/>
        <w:spacing w:lineRule="auto" w:line="240" w:before="0" w:after="450"/>
        <w:rPr/>
      </w:pPr>
      <w:r>
        <w:rPr>
          <w:b/>
          <w:bCs/>
        </w:rPr>
        <w:t>СПЕЦИАЛЬНОСТЬ:</w:t>
      </w:r>
      <w:r>
        <w:rPr/>
        <w:t xml:space="preserve"> 09.02.07 «Информационные системы и программирование»</w:t>
      </w:r>
    </w:p>
    <w:p>
      <w:pPr>
        <w:pStyle w:val="Heading1"/>
        <w:shd w:val="clear" w:fill="auto"/>
        <w:spacing w:lineRule="auto" w:line="240" w:before="0" w:after="315"/>
        <w:rPr>
          <w:color w:val="1E3A8A"/>
          <w:sz w:val="36"/>
          <w:szCs w:val="36"/>
        </w:rPr>
      </w:pPr>
      <w:r>
        <w:rPr>
          <w:color w:val="1E3A8A"/>
          <w:sz w:val="36"/>
          <w:szCs w:val="36"/>
        </w:rPr>
        <w:t>ОФИЦИАЛЬНЫЙ ДОКУМЕНТ: СПЕЦИФИКАЦИЯ ПРОГРАММНОГО ОБЕСПЕЧЕНИЯ</w:t>
      </w:r>
    </w:p>
    <w:p>
      <w:pPr>
        <w:pStyle w:val="normal1"/>
        <w:shd w:val="clear" w:fill="auto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</w:rPr>
        <w:t>Название программного продукта:</w:t>
      </w:r>
      <w:r>
        <w:rPr/>
        <w:t xml:space="preserve"> CoreAsset — веб-сервис учёта рабочих мест и IT-активов</w:t>
      </w:r>
    </w:p>
    <w:p>
      <w:pPr>
        <w:pStyle w:val="normal1"/>
        <w:shd w:val="clear" w:fill="auto"/>
        <w:rPr/>
      </w:pPr>
      <w:r>
        <w:rPr>
          <w:b/>
          <w:bCs/>
        </w:rPr>
        <w:t>Этап проектирования:</w:t>
      </w:r>
      <w:r>
        <w:rPr/>
        <w:t xml:space="preserve"> Первая неделя </w:t>
      </w:r>
    </w:p>
    <w:p>
      <w:pPr>
        <w:pStyle w:val="normal1"/>
        <w:shd w:val="clear" w:fill="auto"/>
        <w:spacing w:lineRule="auto" w:line="240" w:before="0" w:after="300"/>
        <w:rPr/>
      </w:pPr>
      <w:r>
        <w:rPr>
          <w:b/>
          <w:bCs/>
        </w:rPr>
        <w:t xml:space="preserve">Разработчики: </w:t>
      </w:r>
      <w:r>
        <w:rPr/>
        <w:t>Копаев Иван, Миняев Иван</w:t>
      </w:r>
    </w:p>
    <w:p>
      <w:pPr>
        <w:pStyle w:val="Heading2"/>
        <w:shd w:val="clear" w:fill="auto"/>
        <w:spacing w:lineRule="auto" w:line="240" w:before="0" w:after="225"/>
        <w:rPr>
          <w:color w:val="1E3A8A"/>
          <w:sz w:val="28"/>
          <w:szCs w:val="28"/>
        </w:rPr>
      </w:pPr>
      <w:r>
        <w:rPr>
          <w:color w:val="1E3A8A"/>
          <w:sz w:val="28"/>
          <w:szCs w:val="28"/>
        </w:rPr>
        <w:t>1. Введение и назначение программного продукта</w:t>
      </w:r>
    </w:p>
    <w:p>
      <w:pPr>
        <w:pStyle w:val="normal1"/>
        <w:shd w:val="clear" w:fill="auto"/>
        <w:spacing w:lineRule="auto" w:line="300"/>
        <w:jc w:val="both"/>
        <w:rPr/>
      </w:pPr>
      <w:r>
        <w:rPr/>
        <w:t xml:space="preserve">Настоящая спецификация определяет полный комплекс функциональных и нефункциональных требований к веб-сервису </w:t>
      </w:r>
      <w:r>
        <w:rPr>
          <w:b/>
          <w:bCs/>
        </w:rPr>
        <w:t>CoreAsset</w:t>
      </w:r>
      <w:r>
        <w:rPr/>
        <w:t>. Продукт предназначен для автоматизации задач ИТ-специалистов и цифровых кураторов по централизованному мониторингу физических рабочих мест, ведению подробных технических паспортов компьютерной техники, сквозному контролю юридической чистоты программного обеспечения (лицензий) и автоматизации Service Desk (обработки инцидентов и поломок).</w:t>
      </w:r>
    </w:p>
    <w:p>
      <w:pPr>
        <w:pStyle w:val="normal1"/>
        <w:shd w:val="clear" w:fill="auto"/>
        <w:spacing w:lineRule="auto" w:line="300" w:before="0" w:after="375"/>
        <w:jc w:val="both"/>
        <w:rPr/>
      </w:pPr>
      <w:r>
        <w:rPr/>
        <w:t>Разработка сервиса решает критическую проблему ИТ-инфраструктуры современных организаций — устраняет разрозненность данных (отказ от Excel-таблиц и бумажных журналов), исключает хаос при увольнении или ротации персонала, оптимизирует расходы на закупку софта и минимизирует время простоя техники при авариях.</w:t>
      </w:r>
    </w:p>
    <w:p>
      <w:pPr>
        <w:pStyle w:val="Heading2"/>
        <w:shd w:val="clear" w:fill="auto"/>
        <w:spacing w:lineRule="auto" w:line="240" w:before="0" w:after="225"/>
        <w:rPr>
          <w:color w:val="1E3A8A"/>
          <w:sz w:val="28"/>
          <w:szCs w:val="28"/>
        </w:rPr>
      </w:pPr>
      <w:r>
        <w:rPr>
          <w:color w:val="1E3A8A"/>
          <w:sz w:val="28"/>
          <w:szCs w:val="28"/>
        </w:rPr>
        <w:t>2. Структурированный перечень функциональных требований (FR)</w:t>
      </w:r>
    </w:p>
    <w:p>
      <w:pPr>
        <w:pStyle w:val="normal1"/>
        <w:shd w:val="clear" w:fill="auto"/>
        <w:spacing w:lineRule="auto" w:line="300"/>
        <w:jc w:val="both"/>
        <w:rPr/>
      </w:pPr>
      <w:r>
        <w:rPr/>
        <w:t>В соответствии с требованиями к обязательным CRUD-операциям, поиску, фильтрации и аналитической отчетности, все функции разделены по приоритетам выполнения: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/>
      </w:pPr>
      <w:r>
        <w:rPr>
          <w:b/>
          <w:bCs/>
        </w:rPr>
        <w:t>Высокий (Обязательно):</w:t>
      </w:r>
      <w:r>
        <w:rPr/>
        <w:t xml:space="preserve"> Базовые операции с данными, без которых система неработоспособна.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/>
      </w:pPr>
      <w:r>
        <w:rPr>
          <w:b/>
          <w:bCs/>
        </w:rPr>
        <w:t>Средний (Желательно):</w:t>
      </w:r>
      <w:r>
        <w:rPr/>
        <w:t xml:space="preserve"> Автоматические вычисления внутренних связей и каскадные изменения.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/>
      </w:pPr>
      <w:r>
        <w:rPr>
          <w:b/>
          <w:bCs/>
        </w:rPr>
        <w:t>Низкий (Дополнительно):</w:t>
      </w:r>
      <w:r>
        <w:rPr/>
        <w:t xml:space="preserve"> Интерфейсные подсказки, алерты и визуальное форматирование.</w:t>
      </w:r>
    </w:p>
    <w:p>
      <w:pPr>
        <w:pStyle w:val="Heading3"/>
        <w:shd w:val="clear" w:fill="auto"/>
        <w:spacing w:lineRule="auto" w:line="240" w:before="225" w:after="240"/>
        <w:rPr>
          <w:color w:val="0F172A"/>
          <w:sz w:val="24"/>
          <w:szCs w:val="24"/>
        </w:rPr>
      </w:pPr>
      <w:r>
        <w:rPr>
          <w:color w:val="0F172A"/>
          <w:sz w:val="24"/>
          <w:szCs w:val="24"/>
        </w:rPr>
        <w:t>2.1. Модуль А: Учет структуры офиса и кадров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Создание, просмотр, редактирование и удаление (CRUD) карточек сотрудников с фиксацией ФИО, департамента и занимаемой должности.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Ведение справочника физических локаций организации с точностью до номера кабинета и конкретного стола.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/>
      </w:pPr>
      <w:r>
        <w:rPr>
          <w:b/>
          <w:bCs/>
        </w:rPr>
        <w:t>Средний:</w:t>
      </w:r>
      <w:r>
        <w:rPr/>
        <w:t xml:space="preserve"> Механика динамического закрепления рабочего места за определенным сотрудником с возможностью оперативного перевода места в статус «Вакантно» (например, при увольнении или переводе на удаленную работу).</w:t>
      </w:r>
    </w:p>
    <w:p>
      <w:pPr>
        <w:pStyle w:val="Heading3"/>
        <w:shd w:val="clear" w:fill="auto"/>
        <w:spacing w:lineRule="auto" w:line="240" w:before="225" w:after="240"/>
        <w:rPr>
          <w:color w:val="0F172A"/>
          <w:sz w:val="24"/>
          <w:szCs w:val="24"/>
        </w:rPr>
      </w:pPr>
      <w:r>
        <w:rPr>
          <w:color w:val="0F172A"/>
          <w:sz w:val="24"/>
          <w:szCs w:val="24"/>
        </w:rPr>
        <w:t>2.2. Модуль B: Учет жизненного цикла оборудования и «железа»</w:t>
      </w:r>
    </w:p>
    <w:p>
      <w:pPr>
        <w:pStyle w:val="normal1"/>
        <w:numPr>
          <w:ilvl w:val="0"/>
          <w:numId w:val="3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Первичная регистрация системных блоков и ноутбуков в базе данных с присвоением жестких валидных параметров: уникального инвентарного номера, сетевого IP-адреса и физического MAC-адреса.</w:t>
      </w:r>
    </w:p>
    <w:p>
      <w:pPr>
        <w:pStyle w:val="normal1"/>
        <w:numPr>
          <w:ilvl w:val="0"/>
          <w:numId w:val="3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Управление физическим расположением устройства: привязка компьютера к конкретному рабочему месту (столу/кабинету) либо выставление системной метки «На складе».</w:t>
      </w:r>
    </w:p>
    <w:p>
      <w:pPr>
        <w:pStyle w:val="normal1"/>
        <w:numPr>
          <w:ilvl w:val="0"/>
          <w:numId w:val="3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</w:t>
      </w:r>
      <w:r>
        <w:rPr>
          <w:b/>
          <w:bCs/>
        </w:rPr>
        <w:t>Управление матрицей статусов жизненного цикла ИТ-актива:</w:t>
      </w:r>
      <w:r>
        <w:rPr/>
        <w:t xml:space="preserve"> устройство обязано в любой момент времени находиться в одном из четырех системных состояний:</w:t>
      </w:r>
    </w:p>
    <w:p>
      <w:pPr>
        <w:pStyle w:val="normal1"/>
        <w:numPr>
          <w:ilvl w:val="1"/>
          <w:numId w:val="4"/>
        </w:numPr>
        <w:shd w:val="clear" w:fill="auto"/>
        <w:ind w:hanging="360" w:left="1200"/>
        <w:rPr/>
      </w:pPr>
      <w:r>
        <w:rPr/>
        <w:t>На складе — готово к выдаче, не закреплено за рабочим столом.</w:t>
      </w:r>
    </w:p>
    <w:p>
      <w:pPr>
        <w:pStyle w:val="normal1"/>
        <w:numPr>
          <w:ilvl w:val="1"/>
          <w:numId w:val="4"/>
        </w:numPr>
        <w:shd w:val="clear" w:fill="auto"/>
        <w:ind w:hanging="360" w:left="1200"/>
        <w:rPr/>
      </w:pPr>
      <w:r>
        <w:rPr/>
        <w:t>В работе — эксплуатируется сотрудником на рабочем месте.</w:t>
      </w:r>
    </w:p>
    <w:p>
      <w:pPr>
        <w:pStyle w:val="normal1"/>
        <w:numPr>
          <w:ilvl w:val="1"/>
          <w:numId w:val="4"/>
        </w:numPr>
        <w:shd w:val="clear" w:fill="auto"/>
        <w:ind w:hanging="360" w:left="1200"/>
        <w:rPr/>
      </w:pPr>
      <w:r>
        <w:rPr/>
        <w:t>В ремонте — временно выведено из строя, заблокировано для назначения пользователям.</w:t>
      </w:r>
    </w:p>
    <w:p>
      <w:pPr>
        <w:pStyle w:val="normal1"/>
        <w:numPr>
          <w:ilvl w:val="1"/>
          <w:numId w:val="4"/>
        </w:numPr>
        <w:shd w:val="clear" w:fill="auto"/>
        <w:ind w:hanging="360" w:left="1200"/>
        <w:rPr/>
      </w:pPr>
      <w:r>
        <w:rPr/>
        <w:t>Списан — архивное состояние после полной амортизации, исключающее дальнейшие изменения.</w:t>
      </w:r>
    </w:p>
    <w:p>
      <w:pPr>
        <w:pStyle w:val="normal1"/>
        <w:numPr>
          <w:ilvl w:val="0"/>
          <w:numId w:val="3"/>
        </w:numPr>
        <w:shd w:val="clear" w:fill="auto"/>
        <w:ind w:hanging="360" w:left="600"/>
        <w:rPr/>
      </w:pPr>
      <w:r>
        <w:rPr>
          <w:b/>
          <w:bCs/>
        </w:rPr>
        <w:t>Средний:</w:t>
      </w:r>
      <w:r>
        <w:rPr/>
        <w:t xml:space="preserve"> </w:t>
      </w:r>
      <w:r>
        <w:rPr>
          <w:b/>
          <w:bCs/>
        </w:rPr>
        <w:t>Паспортизация комплектующих через JSONB:</w:t>
      </w:r>
      <w:r>
        <w:rPr/>
        <w:t xml:space="preserve"> Хранение и изменение детальных характеристик плат и модулей (модель CPU, тип GPU, объем RAM, емкость и тип накопителей) внутри единого гибкого нереляционного поля hardware в карточке компьютера.</w:t>
      </w:r>
    </w:p>
    <w:p>
      <w:pPr>
        <w:pStyle w:val="Heading3"/>
        <w:shd w:val="clear" w:fill="auto"/>
        <w:spacing w:lineRule="auto" w:line="240" w:before="225" w:after="240"/>
        <w:rPr>
          <w:color w:val="0F172A"/>
          <w:sz w:val="24"/>
          <w:szCs w:val="24"/>
        </w:rPr>
      </w:pPr>
      <w:r>
        <w:rPr>
          <w:color w:val="0F172A"/>
          <w:sz w:val="24"/>
          <w:szCs w:val="24"/>
        </w:rPr>
        <w:t>2.3. Модуль C: Управление пулами лицензий ПО</w:t>
      </w:r>
    </w:p>
    <w:p>
      <w:pPr>
        <w:pStyle w:val="normal1"/>
        <w:numPr>
          <w:ilvl w:val="0"/>
          <w:numId w:val="5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Ведение номенклатурного справочника программного обеспечения, разрешенного к установке внутри локальной сети компании.</w:t>
      </w:r>
    </w:p>
    <w:p>
      <w:pPr>
        <w:pStyle w:val="normal1"/>
        <w:numPr>
          <w:ilvl w:val="0"/>
          <w:numId w:val="5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</w:t>
      </w:r>
      <w:r>
        <w:rPr>
          <w:b/>
          <w:bCs/>
        </w:rPr>
        <w:t>Формирование пулов лицензий:</w:t>
      </w:r>
      <w:r>
        <w:rPr/>
        <w:t xml:space="preserve"> Регистрация закупленных лицензионных ключей с фиксацией их типа (подписка с ограниченным сроком действия или бессрочная лицензия), даты окончания договора и лимита доступных активаций.</w:t>
      </w:r>
    </w:p>
    <w:p>
      <w:pPr>
        <w:pStyle w:val="normal1"/>
        <w:numPr>
          <w:ilvl w:val="0"/>
          <w:numId w:val="5"/>
        </w:numPr>
        <w:shd w:val="clear" w:fill="auto"/>
        <w:ind w:hanging="360" w:left="600"/>
        <w:rPr/>
      </w:pPr>
      <w:r>
        <w:rPr>
          <w:b/>
          <w:bCs/>
        </w:rPr>
        <w:t>Средний:</w:t>
      </w:r>
      <w:r>
        <w:rPr/>
        <w:t xml:space="preserve"> </w:t>
      </w:r>
      <w:r>
        <w:rPr>
          <w:b/>
          <w:bCs/>
        </w:rPr>
        <w:t>Автоматический контроль баланса пула:</w:t>
      </w:r>
      <w:r>
        <w:rPr/>
        <w:t xml:space="preserve"> При добавлении операции установки ПО на конкретный рабочий компьютер, система автоматически уменьшает счетчик доступных лицензий в пуле на единицу. При достижении лимита активаций возможность привязки софта к новым ПК блокируется.</w:t>
      </w:r>
    </w:p>
    <w:p>
      <w:pPr>
        <w:pStyle w:val="normal1"/>
        <w:numPr>
          <w:ilvl w:val="0"/>
          <w:numId w:val="5"/>
        </w:numPr>
        <w:shd w:val="clear" w:fill="auto"/>
        <w:ind w:hanging="360" w:left="600"/>
        <w:rPr/>
      </w:pPr>
      <w:r>
        <w:rPr>
          <w:b/>
          <w:bCs/>
        </w:rPr>
        <w:t>Низкий:</w:t>
      </w:r>
      <w:r>
        <w:rPr/>
        <w:t xml:space="preserve"> </w:t>
      </w:r>
      <w:r>
        <w:rPr>
          <w:b/>
          <w:bCs/>
        </w:rPr>
        <w:t>Проактивные алерты:</w:t>
      </w:r>
      <w:r>
        <w:rPr/>
        <w:t xml:space="preserve"> Система автоматически применяет явную цветовую индикацию (красное выделение) для тех пулов ПО, у которых срок действия подписки истекает менее чем через 30 дней.</w:t>
      </w:r>
    </w:p>
    <w:p>
      <w:pPr>
        <w:pStyle w:val="Heading3"/>
        <w:shd w:val="clear" w:fill="auto"/>
        <w:spacing w:lineRule="auto" w:line="240" w:before="225" w:after="240"/>
        <w:rPr>
          <w:color w:val="0F172A"/>
          <w:sz w:val="24"/>
          <w:szCs w:val="24"/>
        </w:rPr>
      </w:pPr>
      <w:r>
        <w:rPr>
          <w:color w:val="0F172A"/>
          <w:sz w:val="24"/>
          <w:szCs w:val="24"/>
        </w:rPr>
        <w:t>2.4. Модуль D: Ведение истории неисправностей (Service Desk)</w:t>
      </w:r>
    </w:p>
    <w:p>
      <w:pPr>
        <w:pStyle w:val="normal1"/>
        <w:numPr>
          <w:ilvl w:val="0"/>
          <w:numId w:val="6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Регистрация инцидентов (техническая поломка, программный сбой, плановое техническое обслуживание) с обязательной жесткой привязкой к конкретному компьютеру.</w:t>
      </w:r>
    </w:p>
    <w:p>
      <w:pPr>
        <w:pStyle w:val="normal1"/>
        <w:numPr>
          <w:ilvl w:val="0"/>
          <w:numId w:val="6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Ведение тикет-системы: назначение заявке уровня приоритета (Низкий, Средний, Высокий, Критический) и отслеживание ее движения по этапам (Открыт -&gt; В работе -&gt; Исправлен).</w:t>
      </w:r>
    </w:p>
    <w:p>
      <w:pPr>
        <w:pStyle w:val="normal1"/>
        <w:numPr>
          <w:ilvl w:val="0"/>
          <w:numId w:val="6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</w:t>
      </w:r>
      <w:r>
        <w:rPr>
          <w:b/>
          <w:bCs/>
        </w:rPr>
        <w:t>Архивирование истории ремонтов:</w:t>
      </w:r>
      <w:r>
        <w:rPr/>
        <w:t xml:space="preserve"> Запрет на физическое удаление закрытых заявок о неисправностях. Карточка инцидента навсегда сохраняется в связанном архиве компьютера.</w:t>
      </w:r>
    </w:p>
    <w:p>
      <w:pPr>
        <w:pStyle w:val="Heading3"/>
        <w:shd w:val="clear" w:fill="auto"/>
        <w:spacing w:lineRule="auto" w:line="240" w:before="225" w:after="240"/>
        <w:rPr>
          <w:color w:val="0F172A"/>
          <w:sz w:val="24"/>
          <w:szCs w:val="24"/>
        </w:rPr>
      </w:pPr>
      <w:r>
        <w:rPr>
          <w:color w:val="0F172A"/>
          <w:sz w:val="24"/>
          <w:szCs w:val="24"/>
        </w:rPr>
        <w:t>2.5. Модуль E: Сквозные системные функции</w:t>
      </w:r>
    </w:p>
    <w:p>
      <w:pPr>
        <w:pStyle w:val="normal1"/>
        <w:numPr>
          <w:ilvl w:val="0"/>
          <w:numId w:val="7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Поиск «на лету» по инвентарному номеру, ФИО сотрудника, IP или MAC-адресу.</w:t>
      </w:r>
    </w:p>
    <w:p>
      <w:pPr>
        <w:pStyle w:val="normal1"/>
        <w:numPr>
          <w:ilvl w:val="0"/>
          <w:numId w:val="7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Фильтрация списков техники по текущему статусу жизненного цикла и по кабинетам.</w:t>
      </w:r>
    </w:p>
    <w:p>
      <w:pPr>
        <w:pStyle w:val="normal1"/>
        <w:numPr>
          <w:ilvl w:val="0"/>
          <w:numId w:val="7"/>
        </w:numPr>
        <w:shd w:val="clear" w:fill="auto"/>
        <w:ind w:hanging="360" w:left="600"/>
        <w:rPr/>
      </w:pPr>
      <w:r>
        <w:rPr>
          <w:b/>
          <w:bCs/>
        </w:rPr>
        <w:t>Высокий:</w:t>
      </w:r>
      <w:r>
        <w:rPr/>
        <w:t xml:space="preserve"> Вывод на главный экран интерактивного дашборда с аналитической сводкой (количество мест, процент исправного оборудования, критические поломки, график окончания лицензий).</w:t>
      </w:r>
    </w:p>
    <w:p>
      <w:pPr>
        <w:pStyle w:val="Heading2"/>
        <w:shd w:val="clear" w:fill="auto"/>
        <w:spacing w:lineRule="auto" w:line="240" w:before="375" w:after="225"/>
        <w:rPr>
          <w:color w:val="1E3A8A"/>
          <w:sz w:val="28"/>
          <w:szCs w:val="28"/>
        </w:rPr>
      </w:pPr>
      <w:r>
        <w:rPr>
          <w:color w:val="1E3A8A"/>
          <w:sz w:val="28"/>
          <w:szCs w:val="28"/>
        </w:rPr>
        <w:t>3. Нефункциональные требования (NFR) и архитектура</w:t>
      </w:r>
    </w:p>
    <w:p>
      <w:pPr>
        <w:pStyle w:val="Heading3"/>
        <w:shd w:val="clear" w:fill="auto"/>
        <w:spacing w:lineRule="auto" w:line="240" w:before="0" w:after="240"/>
        <w:rPr>
          <w:color w:val="0F172A"/>
          <w:sz w:val="24"/>
          <w:szCs w:val="24"/>
        </w:rPr>
      </w:pPr>
      <w:r>
        <w:rPr>
          <w:color w:val="0F172A"/>
          <w:sz w:val="24"/>
          <w:szCs w:val="24"/>
        </w:rPr>
        <w:t>3.1. Архитектура API-first</w:t>
      </w:r>
    </w:p>
    <w:p>
      <w:pPr>
        <w:pStyle w:val="normal1"/>
        <w:shd w:val="clear" w:fill="auto"/>
        <w:spacing w:lineRule="auto" w:line="300" w:before="0" w:after="225"/>
        <w:jc w:val="both"/>
        <w:rPr/>
      </w:pPr>
      <w:r>
        <w:rPr/>
        <w:t xml:space="preserve">Для обеспечения технологической независимости интерфейса и возможности масштабирования, CoreAsset строится на базе архитектурной парадигмы </w:t>
      </w:r>
      <w:r>
        <w:rPr>
          <w:b/>
          <w:bCs/>
        </w:rPr>
        <w:t>API-first</w:t>
      </w:r>
      <w:r>
        <w:rPr/>
        <w:t>. Вся бизнес-логика, правила валидации, подсчет остатка пула лицензий и обработка архива неисправностей изолированы на уровне сервера. Frontend-часть общается с базой данных и серверными функциями напрямую через асинхронные вызовы и безопасный SDK в формате JSON.</w:t>
      </w:r>
    </w:p>
    <w:p>
      <w:pPr>
        <w:pStyle w:val="Heading3"/>
        <w:shd w:val="clear" w:fill="auto"/>
        <w:spacing w:lineRule="auto" w:line="240" w:before="0" w:after="240"/>
        <w:rPr>
          <w:color w:val="0F172A"/>
          <w:sz w:val="24"/>
          <w:szCs w:val="24"/>
        </w:rPr>
      </w:pPr>
      <w:r>
        <w:rPr>
          <w:color w:val="0F172A"/>
          <w:sz w:val="24"/>
          <w:szCs w:val="24"/>
        </w:rPr>
        <w:t>3.2. Безопасность и защита базы данных</w:t>
      </w:r>
    </w:p>
    <w:p>
      <w:pPr>
        <w:pStyle w:val="normal1"/>
        <w:shd w:val="clear" w:fill="auto"/>
        <w:spacing w:lineRule="auto" w:line="300"/>
        <w:jc w:val="both"/>
        <w:rPr/>
      </w:pPr>
      <w:r>
        <w:rPr/>
        <w:t>Безопасность ИТ-инфраструктуры организуется средствами BaaS Supabase (PostgreSQL):</w:t>
      </w:r>
    </w:p>
    <w:p>
      <w:pPr>
        <w:pStyle w:val="normal1"/>
        <w:numPr>
          <w:ilvl w:val="0"/>
          <w:numId w:val="8"/>
        </w:numPr>
        <w:shd w:val="clear" w:fill="auto"/>
        <w:ind w:hanging="360" w:left="600"/>
        <w:rPr/>
      </w:pPr>
      <w:r>
        <w:rPr>
          <w:b/>
          <w:bCs/>
        </w:rPr>
        <w:t>Аутентификация и авторизация:</w:t>
      </w:r>
      <w:r>
        <w:rPr/>
        <w:t xml:space="preserve"> Вход в систему осуществляется строго по паре Логин/Пароль с использованием защищенного модуля Supabase Auth, генерирующего JWT-токены.</w:t>
      </w:r>
    </w:p>
    <w:p>
      <w:pPr>
        <w:pStyle w:val="normal1"/>
        <w:numPr>
          <w:ilvl w:val="0"/>
          <w:numId w:val="8"/>
        </w:numPr>
        <w:shd w:val="clear" w:fill="auto"/>
        <w:ind w:hanging="360" w:left="600"/>
        <w:rPr/>
      </w:pPr>
      <w:r>
        <w:rPr>
          <w:b/>
          <w:bCs/>
        </w:rPr>
        <w:t>Ролевая модель доступа (RBAC):</w:t>
      </w:r>
      <w:r>
        <w:rPr/>
        <w:t xml:space="preserve"> Доступ разграничен на 3 уровня: Администратор (полный доступ), Техник / Системный администратор (управление железом, жизненным циклом и тикетами без прав удаления лицензий), Руководитель (доступ в режиме Read-only).</w:t>
      </w:r>
    </w:p>
    <w:p>
      <w:pPr>
        <w:pStyle w:val="normal1"/>
        <w:numPr>
          <w:ilvl w:val="0"/>
          <w:numId w:val="8"/>
        </w:numPr>
        <w:shd w:val="clear" w:fill="auto"/>
        <w:ind w:hanging="360" w:left="600"/>
        <w:rPr/>
      </w:pPr>
      <w:r>
        <w:rPr>
          <w:b/>
          <w:bCs/>
        </w:rPr>
        <w:t>Политики Row Level Security (RLS): Политики Row Level Security (RLS):</w:t>
      </w:r>
      <w:r>
        <w:rPr/>
        <w:t xml:space="preserve"> Вся защита данных реализована на уровне строк самой СУБД. Прямые SQL-инъекции или несанкционированные запросы в обход интерфейса Next.js блокируются ядром PostgreSQL.</w:t>
      </w:r>
    </w:p>
    <w:p>
      <w:pPr>
        <w:pStyle w:val="normal1"/>
        <w:numPr>
          <w:ilvl w:val="0"/>
          <w:numId w:val="8"/>
        </w:numPr>
        <w:shd w:val="clear" w:fill="auto"/>
        <w:ind w:hanging="360" w:left="600"/>
        <w:rPr/>
      </w:pPr>
      <w:r>
        <w:rPr>
          <w:b/>
          <w:bCs/>
        </w:rPr>
        <w:t>Целостность и каскадность данных:</w:t>
      </w:r>
      <w:r>
        <w:rPr/>
        <w:t xml:space="preserve"> На уровне внешних ключей БД прописаны правила ON DELETE CASCADE для связи «Компьютер — Поломка» и ON DELETE SET NULL для связи «Сотрудник — Рабочее место» (при увольнении сотрудника поле employee_id сбрасывается в NULL, переводя объект в статус «Вакантно»).</w:t>
      </w:r>
    </w:p>
    <w:p>
      <w:pPr>
        <w:pStyle w:val="normal1"/>
        <w:numPr>
          <w:ilvl w:val="0"/>
          <w:numId w:val="8"/>
        </w:numPr>
        <w:shd w:val="clear" w:fill="auto"/>
        <w:ind w:hanging="360" w:left="600"/>
        <w:rPr/>
      </w:pPr>
      <w:r>
        <w:rPr>
          <w:b/>
          <w:bCs/>
        </w:rPr>
        <w:t>Защита от случайных действий:</w:t>
      </w:r>
      <w:r>
        <w:rPr/>
        <w:t xml:space="preserve"> Любая попытка вызова операции удаления обязана триггерить появление UI модального окна для явного подтверждения действия пользователем.</w:t>
      </w:r>
    </w:p>
    <w:p>
      <w:pPr>
        <w:pStyle w:val="Heading3"/>
        <w:shd w:val="clear" w:fill="auto"/>
        <w:spacing w:lineRule="auto" w:line="240" w:before="225" w:after="240"/>
        <w:rPr>
          <w:color w:val="0F172A"/>
          <w:sz w:val="24"/>
          <w:szCs w:val="24"/>
        </w:rPr>
      </w:pPr>
      <w:r>
        <w:rPr>
          <w:color w:val="0F172A"/>
          <w:sz w:val="24"/>
          <w:szCs w:val="24"/>
        </w:rPr>
        <w:t>3.3. Производительность и интерфейс</w:t>
      </w:r>
    </w:p>
    <w:p>
      <w:pPr>
        <w:pStyle w:val="normal1"/>
        <w:numPr>
          <w:ilvl w:val="0"/>
          <w:numId w:val="9"/>
        </w:numPr>
        <w:shd w:val="clear" w:fill="auto"/>
        <w:ind w:hanging="360" w:left="600"/>
        <w:rPr/>
      </w:pPr>
      <w:r>
        <w:rPr>
          <w:b/>
          <w:bCs/>
        </w:rPr>
        <w:t>Скорость отклика:</w:t>
      </w:r>
      <w:r>
        <w:rPr/>
        <w:t xml:space="preserve"> Время выполнения поискового SQL-запроса или фильтрации «на лету» по индексированным полям не должно превышать </w:t>
      </w:r>
      <w:r>
        <w:rPr>
          <w:b/>
          <w:bCs/>
        </w:rPr>
        <w:t>200 мс</w:t>
      </w:r>
      <w:r>
        <w:rPr/>
        <w:t xml:space="preserve"> при масштабировании базы данных до 10 000 единиц устройств.</w:t>
      </w:r>
    </w:p>
    <w:p>
      <w:pPr>
        <w:pStyle w:val="normal1"/>
        <w:numPr>
          <w:ilvl w:val="0"/>
          <w:numId w:val="9"/>
        </w:numPr>
        <w:shd w:val="clear" w:fill="auto"/>
        <w:ind w:hanging="360" w:left="600"/>
        <w:rPr/>
      </w:pPr>
      <w:r>
        <w:rPr>
          <w:b/>
          <w:bCs/>
        </w:rPr>
        <w:t>Адаптивность:</w:t>
      </w:r>
      <w:r>
        <w:rPr/>
        <w:t xml:space="preserve"> Интерфейс системы оптимизирован под Desktop-разрешения экранов мониторов. Таблицы спроектированы в стиле </w:t>
      </w:r>
      <w:r>
        <w:rPr>
          <w:i/>
          <w:iCs/>
        </w:rPr>
        <w:t>scannable</w:t>
      </w:r>
      <w:r>
        <w:rPr/>
        <w:t xml:space="preserve"> — высокая плотность данных, четкие границы, отсутствие отвлекающего графического шума.</w:t>
      </w:r>
    </w:p>
    <w:p>
      <w:pPr>
        <w:pStyle w:val="Heading2"/>
        <w:shd w:val="clear" w:fill="auto"/>
        <w:spacing w:lineRule="auto" w:line="240" w:before="375" w:after="225"/>
        <w:rPr>
          <w:color w:val="1E3A8A"/>
          <w:sz w:val="28"/>
          <w:szCs w:val="28"/>
        </w:rPr>
      </w:pPr>
      <w:r>
        <w:rPr>
          <w:color w:val="1E3A8A"/>
          <w:sz w:val="28"/>
          <w:szCs w:val="28"/>
        </w:rPr>
        <w:t>4. Утвержденный технологический стек проекта</w:t>
      </w:r>
    </w:p>
    <w:p>
      <w:pPr>
        <w:pStyle w:val="normal1"/>
        <w:numPr>
          <w:ilvl w:val="0"/>
          <w:numId w:val="10"/>
        </w:numPr>
        <w:shd w:val="clear" w:fill="auto"/>
        <w:ind w:hanging="360" w:left="600"/>
        <w:rPr/>
      </w:pPr>
      <w:r>
        <w:rPr>
          <w:b/>
          <w:bCs/>
        </w:rPr>
        <w:t>Среда разработки:</w:t>
      </w:r>
      <w:r>
        <w:rPr/>
        <w:t xml:space="preserve"> Visual Studio Code (VS Code), </w:t>
      </w:r>
      <w:r>
        <w:rPr/>
        <w:t>ИИ-агенты</w:t>
      </w:r>
    </w:p>
    <w:p>
      <w:pPr>
        <w:pStyle w:val="normal1"/>
        <w:numPr>
          <w:ilvl w:val="0"/>
          <w:numId w:val="10"/>
        </w:numPr>
        <w:shd w:val="clear" w:fill="auto"/>
        <w:ind w:hanging="360" w:left="600"/>
        <w:rPr/>
      </w:pPr>
      <w:r>
        <w:rPr>
          <w:b/>
          <w:bCs/>
        </w:rPr>
        <w:t>Фронтенд-компоненты:</w:t>
      </w:r>
      <w:r>
        <w:rPr/>
        <w:t xml:space="preserve"> Next.js (React.js), библиотека утилитарных стилей Tailwind CSS.</w:t>
      </w:r>
    </w:p>
    <w:p>
      <w:pPr>
        <w:pStyle w:val="normal1"/>
        <w:numPr>
          <w:ilvl w:val="0"/>
          <w:numId w:val="10"/>
        </w:numPr>
        <w:shd w:val="clear" w:fill="auto"/>
        <w:ind w:hanging="360" w:left="600"/>
        <w:rPr/>
      </w:pPr>
      <w:r>
        <w:rPr>
          <w:b/>
          <w:bCs/>
        </w:rPr>
        <w:t>Бэкенд-платформа:</w:t>
      </w:r>
      <w:r>
        <w:rPr/>
        <w:t xml:space="preserve"> Supabase (облачный PostgreSQL, встроенный REST API, контроллер авторизации Auth).</w:t>
      </w:r>
    </w:p>
    <w:p>
      <w:pPr>
        <w:pStyle w:val="normal1"/>
        <w:numPr>
          <w:ilvl w:val="0"/>
          <w:numId w:val="10"/>
        </w:numPr>
        <w:shd w:val="clear" w:fill="auto"/>
        <w:ind w:hanging="360" w:left="600"/>
        <w:rPr/>
      </w:pPr>
      <w:r>
        <w:rPr>
          <w:b/>
          <w:bCs/>
        </w:rPr>
        <w:t>Управление версиями:</w:t>
      </w:r>
      <w:r>
        <w:rPr/>
        <w:t xml:space="preserve"> Git, удаленный репозиторий на платформе GitHub.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Open Sans">
    <w:charset w:val="01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Georgia">
    <w:charset w:val="01"/>
    <w:family w:val="auto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2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2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0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Tahoma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Droid 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LibreOffice/24.8.4.1$Linux_X86_64 LibreOffice_project/480$Build-1</Application>
  <AppVersion>15.0000</AppVersion>
  <Pages>4</Pages>
  <Words>968</Words>
  <Characters>6974</Characters>
  <CharactersWithSpaces>7857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2026-05-19T14:50:42Z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