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>
          <w:b w:val="0"/>
          <w:caps w:val="0"/>
          <w:sz w:val="28"/>
        </w:rPr>
        <w:t>Автоматизированная система учёта и контроля технических средств тыла</w:t>
      </w:r>
    </w:p>
    <w:p>
      <w:pPr>
        <w:spacing w:before="4000" w:after="240"/>
        <w:ind w:firstLine="0"/>
        <w:jc w:val="center"/>
      </w:pPr>
      <w:r>
        <w:rPr>
          <w:b/>
          <w:caps w:val="0"/>
          <w:sz w:val="40"/>
        </w:rPr>
        <w:t>РЕФЕРАТ</w:t>
      </w:r>
    </w:p>
    <w:p>
      <w:pPr>
        <w:spacing w:before="0" w:after="120"/>
        <w:ind w:firstLine="0"/>
        <w:jc w:val="center"/>
      </w:pPr>
      <w:r>
        <w:rPr>
          <w:b w:val="0"/>
          <w:caps w:val="0"/>
          <w:sz w:val="28"/>
        </w:rPr>
        <w:t>на тему:</w:t>
      </w:r>
    </w:p>
    <w:p>
      <w:pPr>
        <w:spacing w:before="0" w:after="0"/>
        <w:ind w:firstLine="0"/>
        <w:jc w:val="center"/>
      </w:pPr>
      <w:r>
        <w:rPr>
          <w:b/>
          <w:caps w:val="0"/>
          <w:sz w:val="32"/>
        </w:rPr>
        <w:t>«Автоматизированная система учёта и контроля «Регламент-ТСТ»: назначение, архитектура, функциональные возможности»</w:t>
      </w:r>
    </w:p>
    <w:p>
      <w:pPr>
        <w:spacing w:before="5200" w:after="0"/>
        <w:ind w:firstLine="0"/>
        <w:jc w:val="center"/>
      </w:pPr>
      <w:r>
        <w:rPr>
          <w:b w:val="0"/>
          <w:caps w:val="0"/>
          <w:sz w:val="28"/>
        </w:rPr>
        <w:t>2026</w:t>
      </w:r>
    </w:p>
    <w:p>
      <w:r>
        <w:br w:type="page"/>
      </w:r>
    </w:p>
    <w:p>
      <w:pPr>
        <w:spacing w:before="0" w:after="240"/>
        <w:ind w:firstLine="0"/>
        <w:jc w:val="center"/>
      </w:pPr>
      <w:r>
        <w:rPr>
          <w:b/>
          <w:caps w:val="0"/>
          <w:sz w:val="32"/>
        </w:rPr>
        <w:t>СОДЕРЖАНИЕ</w:t>
      </w:r>
    </w:p>
    <w:p>
      <w:pPr>
        <w:tabs>
          <w:tab w:pos="9354" w:val="right" w:leader="dot"/>
        </w:tabs>
        <w:spacing w:line="360" w:lineRule="auto"/>
        <w:ind w:firstLine="0"/>
      </w:pPr>
      <w:r>
        <w:fldChar w:fldCharType="begin"/>
        <w:instrText xml:space="preserve">TOC \o "1-2" \h \z \u</w:instrText>
        <w:fldChar w:fldCharType="separate"/>
      </w:r>
      <w:r>
        <w:t>ВВЕДЕНИЕ</w:t>
        <w:tab/>
        <w:t>3</w:t>
      </w:r>
    </w:p>
    <w:p>
      <w:pPr>
        <w:tabs>
          <w:tab w:pos="9354" w:val="right" w:leader="dot"/>
        </w:tabs>
        <w:spacing w:line="360" w:lineRule="auto"/>
        <w:ind w:firstLine="0"/>
      </w:pPr>
      <w:r>
        <w:t>1. Назначение и область применения</w:t>
        <w:tab/>
        <w:t>3</w:t>
      </w:r>
    </w:p>
    <w:p>
      <w:pPr>
        <w:tabs>
          <w:tab w:pos="9354" w:val="right" w:leader="dot"/>
        </w:tabs>
        <w:spacing w:line="360" w:lineRule="auto"/>
        <w:ind w:firstLine="0"/>
      </w:pPr>
      <w:r>
        <w:t>2. Архитектура</w:t>
        <w:tab/>
        <w:t>5</w:t>
      </w:r>
    </w:p>
    <w:p>
      <w:pPr>
        <w:tabs>
          <w:tab w:pos="9354" w:val="right" w:leader="dot"/>
        </w:tabs>
        <w:spacing w:line="360" w:lineRule="auto"/>
        <w:ind w:firstLine="0"/>
      </w:pPr>
      <w:r>
        <w:t>3. Функциональные разделы</w:t>
        <w:tab/>
        <w:t>7</w:t>
      </w:r>
    </w:p>
    <w:p>
      <w:pPr>
        <w:tabs>
          <w:tab w:pos="9354" w:val="right" w:leader="dot"/>
        </w:tabs>
        <w:spacing w:line="360" w:lineRule="auto"/>
        <w:ind w:firstLine="0"/>
      </w:pPr>
      <w:r>
        <w:t>4. QR-маркировка техники</w:t>
        <w:tab/>
        <w:t>16</w:t>
      </w:r>
    </w:p>
    <w:p>
      <w:pPr>
        <w:tabs>
          <w:tab w:pos="9354" w:val="right" w:leader="dot"/>
        </w:tabs>
        <w:spacing w:line="360" w:lineRule="auto"/>
        <w:ind w:firstLine="0"/>
      </w:pPr>
      <w:r>
        <w:t>5. Сохранность данных</w:t>
        <w:tab/>
        <w:t>17</w:t>
      </w:r>
    </w:p>
    <w:p>
      <w:pPr>
        <w:tabs>
          <w:tab w:pos="9354" w:val="right" w:leader="dot"/>
        </w:tabs>
        <w:spacing w:line="360" w:lineRule="auto"/>
        <w:ind w:firstLine="0"/>
      </w:pPr>
      <w:r>
        <w:t>6. Интерфейс, мобильная версия и установка</w:t>
        <w:tab/>
        <w:t>18</w:t>
      </w:r>
    </w:p>
    <w:p>
      <w:pPr>
        <w:tabs>
          <w:tab w:pos="9354" w:val="right" w:leader="dot"/>
        </w:tabs>
        <w:spacing w:line="360" w:lineRule="auto"/>
        <w:ind w:firstLine="0"/>
      </w:pPr>
      <w:r>
        <w:t>7. Испытания</w:t>
        <w:tab/>
        <w:t>20</w:t>
      </w:r>
    </w:p>
    <w:p>
      <w:pPr>
        <w:tabs>
          <w:tab w:pos="9354" w:val="right" w:leader="dot"/>
        </w:tabs>
        <w:spacing w:line="360" w:lineRule="auto"/>
        <w:ind w:firstLine="0"/>
      </w:pPr>
      <w:r>
        <w:t>8. Ограничения и направления развития</w:t>
        <w:tab/>
        <w:t>21</w:t>
      </w:r>
    </w:p>
    <w:p>
      <w:pPr>
        <w:tabs>
          <w:tab w:pos="9354" w:val="right" w:leader="dot"/>
        </w:tabs>
        <w:spacing w:line="360" w:lineRule="auto"/>
        <w:ind w:firstLine="0"/>
      </w:pPr>
      <w:r>
        <w:t>ЗАКЛЮЧЕНИЕ</w:t>
        <w:tab/>
        <w:t>22</w:t>
      </w:r>
      <w:r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 xml:space="preserve">«Регламент-ТСТ» переводит учёт технических средств тыла из журналов и таблиц в одну программу, которая сама считает сроки ТО, готовность парка и напоминает о сохранности данных. Программа работает без интернета и сервера: это один файл </w:t>
      </w:r>
      <w:r>
        <w:rPr>
          <w:rFonts w:ascii="Courier New" w:hAnsi="Courier New"/>
          <w:sz w:val="24"/>
        </w:rPr>
        <w:t>index.html</w:t>
      </w:r>
      <w:r>
        <w:t>, который открывается в браузере.</w:t>
      </w:r>
    </w:p>
    <w:p>
      <w:pPr>
        <w:keepNext/>
      </w:pPr>
      <w:r>
        <w:t>Актуальность задачи определяется тремя обстоятельствами:</w:t>
      </w:r>
    </w:p>
    <w:p>
      <w:pPr>
        <w:pStyle w:val="ListBullet"/>
      </w:pPr>
      <w:r>
        <w:t>сроки технического обслуживания зависят сразу от наработки (моточасов) и от календаря, и вести их вручную по каждой машине трудоёмко;</w:t>
      </w:r>
    </w:p>
    <w:p>
      <w:pPr>
        <w:pStyle w:val="ListBullet"/>
      </w:pPr>
      <w:r>
        <w:t>командиру нужна картина готовности всего парка на сегодня — по подразделениям, с коэффициентом технической готовности (КТГ);</w:t>
      </w:r>
    </w:p>
    <w:p>
      <w:pPr>
        <w:pStyle w:val="ListBullet"/>
      </w:pPr>
      <w:r>
        <w:t>рабочие места часто не имеют доступа к сети, поэтому программа должна работать полностью автономно.</w:t>
      </w:r>
    </w:p>
    <w:p>
      <w:r>
        <w:rPr>
          <w:b/>
        </w:rPr>
        <w:t>Цель</w:t>
      </w:r>
      <w:r>
        <w:t xml:space="preserve"> — автоматизировать учёт и контроль технического состояния техники служб тыла на автономном рабочем месте.</w:t>
      </w:r>
    </w:p>
    <w:p>
      <w:pPr>
        <w:keepNext/>
      </w:pPr>
      <w:r>
        <w:rPr>
          <w:b/>
        </w:rPr>
        <w:t>Задачи:</w:t>
      </w:r>
    </w:p>
    <w:p>
      <w:pPr>
        <w:ind w:hanging="425" w:left="1134"/>
        <w:jc w:val="left"/>
      </w:pPr>
      <w:r>
        <w:t>1. Вести карточки техники с постоянными идентификаторами.</w:t>
      </w:r>
    </w:p>
    <w:p>
      <w:pPr>
        <w:ind w:hanging="425" w:left="1134"/>
        <w:jc w:val="left"/>
      </w:pPr>
      <w:r>
        <w:t>2. Рассчитывать сроки ТО-1 и ТО-2 по моточасам и календарю.</w:t>
      </w:r>
    </w:p>
    <w:p>
      <w:pPr>
        <w:ind w:hanging="425" w:left="1134"/>
        <w:jc w:val="left"/>
      </w:pPr>
      <w:r>
        <w:t>3. Показывать готовность парка и календарь работ.</w:t>
      </w:r>
    </w:p>
    <w:p>
      <w:pPr>
        <w:ind w:hanging="425" w:left="1134"/>
        <w:jc w:val="left"/>
      </w:pPr>
      <w:r>
        <w:t>4. Формировать печатные документы и отчёты.</w:t>
      </w:r>
    </w:p>
    <w:p>
      <w:pPr>
        <w:ind w:hanging="425" w:left="1134"/>
        <w:jc w:val="left"/>
      </w:pPr>
      <w:r>
        <w:t>5. Маркировать технику QR-кодами.</w:t>
      </w:r>
    </w:p>
    <w:p>
      <w:pPr>
        <w:ind w:hanging="425" w:left="1134"/>
        <w:jc w:val="left"/>
      </w:pPr>
      <w:r>
        <w:t>6. Защищать данные от потери и ошибочных действий.</w:t>
      </w:r>
    </w:p>
    <w:p>
      <w:pPr>
        <w:pStyle w:val="Heading1"/>
      </w:pPr>
      <w:r>
        <w:t>1. Назначение и область применения</w:t>
      </w:r>
    </w:p>
    <w:p>
      <w:r>
        <w:t>Программа предназначена для подразделений материально-технического обеспечения, которые эксплуатируют технические средства служб тыла: полевые кухни и хлебопекарни, автоцистерны, электростанции, авторефрижераторы и другие образцы.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Пользователь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Что получает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Командир, заместитель по тылу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Состояние парка, КТГ по подразделениям, доклад для печати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Начальник службы, техник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Сроки ТО, план-график, задания на ТО, потребность в материалах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Ответственный за единицу техники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Карточку машины, журнал ТО, учёт моточасов и путевых листов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Любой, кто сканирует наклейку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Основные сведения о машине на экране смартфона без интернета</w:t>
            </w:r>
          </w:p>
        </w:tc>
      </w:tr>
    </w:tbl>
    <w:p>
      <w:pPr>
        <w:spacing w:after="120"/>
      </w:pPr>
    </w:p>
    <w:p>
      <w:r>
        <w:t>Программа состоит из трёх рабочих пространств: «Центр управления» (обзор), «Справочник» и «Технические средства тыла» (учёт). Вход — через стартовую страницу.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1-land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1. Стартовая страница программы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2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2. «Центр управления»: сводка по парку и справочнику</w:t>
      </w:r>
    </w:p>
    <w:p>
      <w:pPr>
        <w:pStyle w:val="Heading1"/>
      </w:pPr>
      <w:r>
        <w:t>2. Архитектура</w:t>
      </w:r>
    </w:p>
    <w:p>
      <w:r>
        <w:t xml:space="preserve">Программа — один файл </w:t>
      </w:r>
      <w:r>
        <w:rPr>
          <w:rFonts w:ascii="Courier New" w:hAnsi="Courier New"/>
          <w:sz w:val="24"/>
        </w:rPr>
        <w:t>index.html</w:t>
      </w:r>
      <w:r>
        <w:t xml:space="preserve"> без внешних библиотек, внутри которого выделена модульная платформа. Ядро задаёт правила, модули работают по этим правилам, а данные хранятся в браузере на компьютере пользователя.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Схема 1. Архитектура программы: ядро платформы, модули и локальное хранение данных</w:t>
      </w:r>
    </w:p>
    <w:p>
      <w:pPr>
        <w:pStyle w:val="ListBullet"/>
      </w:pPr>
      <w:r>
        <w:rPr>
          <w:b/>
        </w:rPr>
        <w:t>Реестр модулей.</w:t>
      </w:r>
      <w:r>
        <w:t xml:space="preserve"> Каждый модуль имеет версию, владеет своими коллекциями данных и проверяется самотестами. Чужие данные модуль читает только через публичный интерфейс владельца — поэтому новые функции не ломают уже работающие.</w:t>
      </w:r>
    </w:p>
    <w:p>
      <w:pPr>
        <w:pStyle w:val="ListBullet"/>
      </w:pPr>
      <w:r>
        <w:rPr>
          <w:b/>
        </w:rPr>
        <w:t>Идентификаторы.</w:t>
      </w:r>
      <w:r>
        <w:t xml:space="preserve"> Формат </w:t>
      </w:r>
      <w:r>
        <w:rPr>
          <w:rFonts w:ascii="Courier New" w:hAnsi="Courier New"/>
          <w:sz w:val="24"/>
        </w:rPr>
        <w:t>&lt;префикс&gt;_&lt;время&gt;_&lt;случайная часть&gt;</w:t>
      </w:r>
      <w:r>
        <w:t xml:space="preserve"> (v — техника, m — запись ТО, t — путевой лист и т. д.). Идентификатор присваивается один раз и не меняется: на нём держатся связи, журнал изменений и QR-наклейки.</w:t>
      </w:r>
    </w:p>
    <w:p>
      <w:pPr>
        <w:pStyle w:val="ListBullet"/>
      </w:pPr>
      <w:r>
        <w:rPr>
          <w:b/>
        </w:rPr>
        <w:t>Модель данных.</w:t>
      </w:r>
      <w:r>
        <w:t xml:space="preserve"> Для каждой коллекции описаны обязательные поля и связи (запись ТО, путевой лист, показание моточасов → техника). Проверка целостности находит записи без связи, повторы и недопустимые значения и умеет их исправлять.</w:t>
      </w:r>
    </w:p>
    <w:p>
      <w:pPr>
        <w:pStyle w:val="ListBullet"/>
      </w:pPr>
      <w:r>
        <w:rPr>
          <w:b/>
        </w:rPr>
        <w:t>События.</w:t>
      </w:r>
      <w:r>
        <w:t xml:space="preserve"> Модули сообщают об изменениях через общую шину: сохранение данных, проверка целостности, точка восстановления, миграция, самотесты.</w:t>
      </w:r>
    </w:p>
    <w:p>
      <w:pPr>
        <w:pStyle w:val="ListBullet"/>
      </w:pPr>
      <w:r>
        <w:rPr>
          <w:b/>
        </w:rPr>
        <w:t>Версии.</w:t>
      </w:r>
      <w:r>
        <w:t xml:space="preserve"> Структура данных имеет свой номер (сейчас 2); при обновлении программы данные переводятся на новую структуру автоматически.</w:t>
      </w:r>
    </w:p>
    <w:p>
      <w:pPr>
        <w:pStyle w:val="Heading1"/>
      </w:pPr>
      <w:r>
        <w:t>3. Функциональные разделы</w:t>
      </w:r>
    </w:p>
    <w:p>
      <w:r>
        <w:t>Учёт разделён на одиннадцать разделов в левом меню; первый — «Командный пункт», откуда каждое число ведёт к перечню машин и далее в карточку.</w:t>
      </w:r>
    </w:p>
    <w:p>
      <w:pPr>
        <w:pStyle w:val="Heading2"/>
      </w:pPr>
      <w:r>
        <w:t>3.1 Справочник технических средств</w:t>
      </w:r>
    </w:p>
    <w:p>
      <w:r>
        <w:t>Иерархический каталог: 52 технических средства, 120 карт обслуживания, 766 регламентных действий. Карточка образца содержит характеристики, перечни работ по видам обслуживания (ЕО, СО, ТО-1, ТО-2, ТО-3, НЗ) и раздел «Нормативная база»: в него внесены только подтверждённые сведения с указанием источника, неустановленное помечено как «не установлено». Из карточки видно, сколько техники этого типа стоит на учёте.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4-catalog-c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3. Карточка образца «Кухни автомобильные КА-220 и ПАК-200М», вкладка ТО-1</w:t>
      </w:r>
    </w:p>
    <w:p>
      <w:pPr>
        <w:pStyle w:val="Heading2"/>
      </w:pPr>
      <w:r>
        <w:t>3.2 Командный пункт</w:t>
      </w:r>
    </w:p>
    <w:p>
      <w:r>
        <w:t>Стартовый экран учёта. Показывает техническое состояние (на учёте, исправна, неисправна, в ремонте, хранение и консервация, КТГ), состояние ТО, готовность по подразделениям и календарь работ на сегодня, неделю и месяц. Каждое число открывает перечень машин, из которого можно сформировать печатное «Задание на проведение ТО».</w:t>
      </w:r>
    </w:p>
    <w:p>
      <w:pPr>
        <w:keepNext/>
      </w:pPr>
      <w:r>
        <w:t>Коэффициент технической готовности считается по формуле:</w:t>
      </w:r>
    </w:p>
    <w:p>
      <w:pPr>
        <w:spacing w:before="120" w:after="120"/>
        <w:ind w:firstLine="0"/>
        <w:jc w:val="center"/>
      </w:pPr>
      <w:r>
        <w:rPr>
          <w:i/>
        </w:rPr>
        <w:t>КТГ = (N</w:t>
      </w:r>
      <w:r>
        <w:rPr>
          <w:i/>
          <w:vertAlign w:val="subscript"/>
        </w:rPr>
        <w:t>уч</w:t>
      </w:r>
      <w:r>
        <w:rPr>
          <w:i/>
        </w:rPr>
        <w:t xml:space="preserve"> − N</w:t>
      </w:r>
      <w:r>
        <w:rPr>
          <w:i/>
          <w:vertAlign w:val="subscript"/>
        </w:rPr>
        <w:t>неиспр</w:t>
      </w:r>
      <w:r>
        <w:rPr>
          <w:i/>
        </w:rPr>
        <w:t xml:space="preserve"> − N</w:t>
      </w:r>
      <w:r>
        <w:rPr>
          <w:i/>
          <w:vertAlign w:val="subscript"/>
        </w:rPr>
        <w:t>рем</w:t>
      </w:r>
      <w:r>
        <w:rPr>
          <w:i/>
        </w:rPr>
        <w:t>) / N</w:t>
      </w:r>
      <w:r>
        <w:rPr>
          <w:i/>
          <w:vertAlign w:val="subscript"/>
        </w:rPr>
        <w:t>уч</w:t>
      </w:r>
    </w:p>
    <w:p>
      <w:r>
        <w:t>где Nуч — техника на учёте без списанной. Норматив подразделения — средний норматив КТГ по группам эксплуатации его техники (боевая 0,95; строевая 0,90; учебно-боевая и учебно-строевая 0,85 по умолчанию).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5-comman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4. «Командный пункт»</w:t>
      </w:r>
    </w:p>
    <w:p>
      <w:pPr>
        <w:pStyle w:val="Heading2"/>
      </w:pPr>
      <w:r>
        <w:t>3.3 Парк техники и карточка техники</w:t>
      </w:r>
    </w:p>
    <w:p>
      <w:r>
        <w:t>Реестр с поиском по наименованию, марке, государственному, инвентарному и заводскому номерам, фильтрами по подразделению, ответственному, статусу и состоянию ТО, с режимами «таблица» и «карточки» и групповыми действиями. Карточка единицы техники показывает остаток ресурса до ТО в процентах, моточасы, следующее ТО, журнал ТО и моточасов, связь со справочником, QR-код и журнал изменений карточки.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6-park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5. «Парк техники»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7-vehicl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6. Карточка единицы техники</w:t>
      </w:r>
    </w:p>
    <w:p>
      <w:pPr>
        <w:pStyle w:val="Heading2"/>
      </w:pPr>
      <w:r>
        <w:t>3.4 Ближайшие ТО</w:t>
      </w:r>
    </w:p>
    <w:p>
      <w:r>
        <w:t>Сроки считаются по двум критериям — моточасам и календарю; состояние определяется по худшему. Цветовая индикация: «Скоро ТО» — остаток менее 30 %, «Требуется ТО» — менее 10 %, «ТО просрочено» — ресурс исчерпан (пороги меняются в настройках). Таблица помещается на экран без горизонтальной прокрутки.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8-dashboar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7. «Ближайшие технические обслуживания»</w:t>
      </w:r>
    </w:p>
    <w:p>
      <w:pPr>
        <w:pStyle w:val="Heading2"/>
      </w:pPr>
      <w:r>
        <w:t>3.5 Путевые листы и планирование</w:t>
      </w:r>
    </w:p>
    <w:p>
      <w:r>
        <w:t>Путевой лист фиксирует показания счётчика на начало и конец выхода и автоматически обновляет моточасы машины. Раздел «Планирование» выполняет расчёты по методике планирования эксплуатации и ремонта ВВСТ (ВАМТО, 2025): допустимое число машин в ремонте по группам и КТГ, наличие моторесурса, потребность в ТО и трудозатратах, фонд времени ремонтного подразделения и экономику.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9-tri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8. «Путевые листы»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0-planning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9. «Планирование», вкладка «Группы и КТГ»</w:t>
      </w:r>
    </w:p>
    <w:p>
      <w:pPr>
        <w:pStyle w:val="Heading2"/>
      </w:pPr>
      <w:r>
        <w:t>3.6 Документы, отчёты и печать</w:t>
      </w:r>
    </w:p>
    <w:p>
      <w:r>
        <w:t>Печатные формы: годовой план эксплуатации и ремонта, план-график ТО на месяц, заявка на материалы и специалистов, акты списания моторесурса, внезапной проверки наличия и проверки использования техники, а также восемь табличных отчётов. Окно печати показывает предпросмотр с миниатюрами страниц, масштаб, формат и ориентацию листа, поля, количество копий, колонтитулы и выгрузку в PDF, Word (.docx) и Excel (.xlsx).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1-document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10. «Документы»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2-repor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11. «Отчёты»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6-pri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12. Окно предпросмотра и печати</w:t>
      </w:r>
    </w:p>
    <w:p>
      <w:pPr>
        <w:pStyle w:val="Heading2"/>
      </w:pPr>
      <w:r>
        <w:t>3.7 Настройки и справка</w:t>
      </w:r>
    </w:p>
    <w:p>
      <w:r>
        <w:t>В настройках задаются интервалы ТО по умолчанию (250 мото·ч и 180 дней), пороги цветовой индикации, сроки напоминаний и хранения корзины. Встроенная справка (F1) содержит 12 разделов с поиском, закладками и печатью.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5-setting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13. «Настройки»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7-hel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14. Справка по учёту</w:t>
      </w:r>
    </w:p>
    <w:p>
      <w:pPr>
        <w:pStyle w:val="Heading1"/>
      </w:pPr>
      <w:r>
        <w:t>4. QR-маркировка техники</w:t>
      </w:r>
    </w:p>
    <w:p>
      <w:r>
        <w:t>Каждая единица техники получает постоянный QR-код, который читается камерой любого смартфона без интернета. Генератор QR-кодов написан с нуля по стандарту ISO/IEC 18004 (версии 1–40, уровни коррекции L/M/Q/H) и встроен в файл, внешних библиотек нет.</w:t>
      </w:r>
    </w:p>
    <w:p>
      <w:pPr>
        <w:pStyle w:val="ListBullet"/>
      </w:pPr>
      <w:r>
        <w:rPr>
          <w:b/>
        </w:rPr>
        <w:t>Содержимое кода.</w:t>
      </w:r>
      <w:r>
        <w:t xml:space="preserve"> По умолчанию — карточка контакта (vCard): имя — наименование техники, в заметке — номера, очередное ТО, дата «Сведения на» и служебная строка </w:t>
      </w:r>
      <w:r>
        <w:rPr>
          <w:rFonts w:ascii="Courier New" w:hAnsi="Courier New"/>
          <w:sz w:val="24"/>
        </w:rPr>
        <w:t>TST:1:&lt;идентификатор&gt;</w:t>
      </w:r>
      <w:r>
        <w:t>. Такой вид выбран потому, что камера iPhone показывает обычный текст лишь фрагментом, а карточку контакта открывает целиком.</w:t>
      </w:r>
    </w:p>
    <w:p>
      <w:pPr>
        <w:pStyle w:val="ListBullet"/>
      </w:pPr>
      <w:r>
        <w:rPr>
          <w:b/>
        </w:rPr>
        <w:t>Наклейки:</w:t>
      </w:r>
      <w:r>
        <w:t xml:space="preserve"> 50 × 50, 60 × 40 и 70 × 70 мм для принтера этикеток или лист A4 с линиями реза; размер модуля кода не менее 0,5 мм.</w:t>
      </w:r>
    </w:p>
    <w:p>
      <w:pPr>
        <w:pStyle w:val="ListBullet"/>
      </w:pPr>
      <w:r>
        <w:rPr>
          <w:b/>
        </w:rPr>
        <w:t>Сканирование в программе:</w:t>
      </w:r>
      <w:r>
        <w:t xml:space="preserve"> USB-сканер, веб-камера или фото. Открывается карточка только для просмотра; если сведения на наклейке расходятся с базой, это показывается явно.</w:t>
      </w:r>
    </w:p>
    <w:p>
      <w:pPr>
        <w:pStyle w:val="ListBullet"/>
      </w:pPr>
      <w:r>
        <w:rPr>
          <w:b/>
        </w:rPr>
        <w:t>Безопасность:</w:t>
      </w:r>
      <w:r>
        <w:t xml:space="preserve"> содержимое кода никогда не выполняется, чужие и повреждённые коды отклоняются, ответственное лицо и закрытые сведения в код не записываются.</w:t>
      </w:r>
    </w:p>
    <w:p>
      <w:pPr>
        <w:pStyle w:val="ListBullet"/>
      </w:pPr>
      <w:r>
        <w:rPr>
          <w:b/>
        </w:rPr>
        <w:t>Актуальность:</w:t>
      </w:r>
      <w:r>
        <w:t xml:space="preserve"> после изменения карточки наклейка помечается «Устарела — перепечатайте».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3-qr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15. Раздел «QR-маркировка»: состояние наклеек, сканирование, массовая печать</w:t>
      </w:r>
    </w:p>
    <w:p>
      <w:pPr>
        <w:pStyle w:val="Heading1"/>
      </w:pPr>
      <w:r>
        <w:t>5. Сохранность данных</w:t>
      </w:r>
    </w:p>
    <w:p>
      <w:r>
        <w:t>Данные хранятся только на компьютере пользователя, поэтому защита от потери выделена в отдельную подсистему и раздел «Сохранность данных». Она позволяет вернуть работоспособность после сбоя, ошибочного импорта или неудачного обновления, не теряя весь реестр.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Механизм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Когда срабатывает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Что даёт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Резервная копия (ZIP)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Вручную; напоминание раз в 14 дней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Полная копия с вложениями на флешке; единственная защита от поломки компьютера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Точки восстановления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Ежедневно и перед восстановлением из копии, очисткой, миграцией, исправлением, откатом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Возврат к состоянию до опасной операции одной кнопкой; до 20 автоматических и 20 ручных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Корзина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Любое удаление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Удалённое хранится 30 дней и возвращается с журналом ТО и моточасами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Журнал изменений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Правка важных полей карточки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«Было → стало» по номерам, подразделению, статусу и другим полям; до 3000 записей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Проверка перед импортом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Восстановление из копии и откат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Сравнение «сейчас / будет загружено», ошибки целостности, автоматическое исправление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Версия структуры данных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Обновление программы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Автоматическая миграция с точкой восстановления; данные новой версии не понижаются</w:t>
            </w:r>
          </w:p>
        </w:tc>
      </w:tr>
    </w:tbl>
    <w:p>
      <w:pPr>
        <w:spacing w:after="120"/>
      </w:pPr>
    </w:p>
    <w:p>
      <w:r>
        <w:t>Вложения (PDF, изображения) не удаляются, пока на них ссылается текущая запись, элемент корзины или точка восстановления.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-safet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Рис. 16. Раздел «Сохранность данных»</w:t>
      </w:r>
    </w:p>
    <w:p>
      <w:pPr>
        <w:pStyle w:val="Heading1"/>
      </w:pPr>
      <w:r>
        <w:t>6. Интерфейс, мобильная версия и установка</w:t>
      </w:r>
    </w:p>
    <w:p>
      <w:r>
        <w:t>Интерфейс выполнен в стиле «Liquid Glass» с палитрой оливковых тонов и тремя темами оформления: светлая, тёмная и «как в системе». На компьютере разделы учёта собраны в левое меню, на телефоне — в горизонтальную панель, а таблицы перестраиваются в карточки с подписями. Ширина страницы проверена от 390 до 1920 пикселей: горизонтальной прокрутки нет.</w:t>
      </w:r>
    </w:p>
    <w:p>
      <w:pPr>
        <w:keepNext/>
      </w:pPr>
      <w:r>
        <w:t>Мобильная версия (экран 390 × 844):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2-overview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17. Телефон: «Центр управления»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5-comman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18. Телефон: «Командный пункт»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6-par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19. Телефон: «Парк техники»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7-vehicl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20. Телефон: карточка техники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8-dashboard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21. Телефон: «Ближайшие ТО»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13-qr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22. Телефон: «QR-маркировка»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14-safety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23. Телефон: «Сохранность данных»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7477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16-prin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60"/>
              <w:ind w:firstLine="0"/>
              <w:jc w:val="center"/>
            </w:pPr>
            <w:r>
              <w:rPr>
                <w:sz w:val="20"/>
              </w:rPr>
              <w:t>Рис. 24. Телефон: окно печати</w:t>
            </w:r>
          </w:p>
        </w:tc>
        <w:tc>
          <w:tcPr>
            <w:tcW w:type="dxa" w:w="3118"/>
          </w:tcPr>
          <w:p/>
        </w:tc>
      </w:tr>
    </w:tbl>
    <w:p/>
    <w:p>
      <w:r>
        <w:rPr>
          <w:b/>
        </w:rPr>
        <w:t>Установка на Windows.</w:t>
      </w:r>
      <w:r>
        <w:t xml:space="preserve"> Установщик </w:t>
      </w:r>
      <w:r>
        <w:rPr>
          <w:rFonts w:ascii="Courier New" w:hAnsi="Courier New"/>
          <w:sz w:val="24"/>
        </w:rPr>
        <w:t>install.cmd</w:t>
      </w:r>
      <w:r>
        <w:t xml:space="preserve"> не требует прав администратора и интернета. Он копирует программу в папку пользователя и создаёт ярлыки «Регламент-ТСТ», которые открывают программу в отдельном окне Edge или Chrome без адресной строки. Данные хранятся в собственном профиле браузера. Есть переносной режим для флешки и откат к предыдущей версии (</w:t>
      </w:r>
      <w:r>
        <w:rPr>
          <w:rFonts w:ascii="Courier New" w:hAnsi="Courier New"/>
          <w:sz w:val="24"/>
        </w:rPr>
        <w:t>rollback.cmd</w:t>
      </w:r>
      <w:r>
        <w:t>).</w:t>
      </w:r>
    </w:p>
    <w:p>
      <w:pPr>
        <w:pStyle w:val="Heading1"/>
      </w:pPr>
      <w:r>
        <w:t>7. Испытания</w:t>
      </w:r>
    </w:p>
    <w:p>
      <w:r>
        <w:t>Все автоматические проверки пройдены. Тесты открывают программу в браузере Chromium с заблокированной сетью и подсчитывают любые попытки внешних запросов.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Набор проверок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Что проверяет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Самотесты модулей (в программе)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Идентификаторы, расчёт сроков ТО, КТГ, моточасы, документы, QR, миграции, корзина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16 из 16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Платформа и сохранность (</w:t>
            </w:r>
            <w:r>
              <w:rPr>
                <w:rFonts w:ascii="Courier New" w:hAnsi="Courier New"/>
                <w:sz w:val="24"/>
              </w:rPr>
              <w:t>tests/platform.spec.js</w:t>
            </w:r>
            <w:r>
              <w:rPr>
                <w:sz w:val="24"/>
              </w:rPr>
              <w:t>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Миграция, журнал, корзина, проверка копии, откат, очистка, командный пункт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25 из 25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QR-маркировка и регрессия (</w:t>
            </w:r>
            <w:r>
              <w:rPr>
                <w:rFonts w:ascii="Courier New" w:hAnsi="Courier New"/>
                <w:sz w:val="24"/>
              </w:rPr>
              <w:t>tests/qr.spec.js</w:t>
            </w:r>
            <w:r>
              <w:rPr>
                <w:sz w:val="24"/>
              </w:rPr>
              <w:t>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Уникальность кодов, печать наклеек, сканирование, защита от чужих кодов, работа всех разделов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18 из 18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Распознавание напечатанных наклеек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PDF на 300 и 600 dpi, декодер zxing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Все коды читаются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Сеть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Внешние запросы за весь прогон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0</w:t>
            </w:r>
          </w:p>
        </w:tc>
      </w:tr>
    </w:tbl>
    <w:p>
      <w:pPr>
        <w:spacing w:after="120"/>
      </w:pPr>
    </w:p>
    <w:p>
      <w:r>
        <w:t>Не проверялось на реальных устройствах: установщик на Windows и сканирование наклеек камерой смартфона (сканирование имитировалось снимками с размытием и наклоном).</w:t>
      </w:r>
    </w:p>
    <w:p>
      <w:pPr>
        <w:pStyle w:val="Heading1"/>
      </w:pPr>
      <w:r>
        <w:t>8. Ограничения и направления развития</w:t>
      </w:r>
    </w:p>
    <w:p>
      <w:pPr>
        <w:keepNext/>
      </w:pPr>
      <w:r>
        <w:rPr>
          <w:b/>
        </w:rPr>
        <w:t>Ограничения текущей версии:</w:t>
      </w:r>
    </w:p>
    <w:p>
      <w:pPr>
        <w:pStyle w:val="ListBullet"/>
      </w:pPr>
      <w:r>
        <w:t>один пользователь на одном компьютере; разграничения доступа и обмена данными между рабочими местами нет;</w:t>
      </w:r>
    </w:p>
    <w:p>
      <w:pPr>
        <w:pStyle w:val="ListBullet"/>
      </w:pPr>
      <w:r>
        <w:t>точки восстановления и корзина хранятся в том же браузере, что и данные: от поломки диска защищает только резервная копия на внешнем носителе;</w:t>
      </w:r>
    </w:p>
    <w:p>
      <w:pPr>
        <w:pStyle w:val="ListBullet"/>
      </w:pPr>
      <w:r>
        <w:t>сведения в QR-коде — снимок на дату печати, полная карточка доступна только там, где есть программа с базой;</w:t>
      </w:r>
    </w:p>
    <w:p>
      <w:pPr>
        <w:pStyle w:val="ListBullet"/>
      </w:pPr>
      <w:r>
        <w:t>модуль «Склад (ЗИП, ГСМ)» зарегистрирован в платформе как запланированный, раздела пока нет.</w:t>
      </w:r>
    </w:p>
    <w:p>
      <w:pPr>
        <w:keepNext/>
      </w:pPr>
      <w:r>
        <w:rPr>
          <w:b/>
        </w:rPr>
        <w:t>Направления развития:</w:t>
      </w:r>
    </w:p>
    <w:p>
      <w:pPr>
        <w:ind w:hanging="425" w:left="1134"/>
        <w:jc w:val="left"/>
      </w:pPr>
      <w:r>
        <w:t>1. Модуль склада: учёт ЗИП и расходников, списание при ТО, журнал ГСМ.</w:t>
      </w:r>
    </w:p>
    <w:p>
      <w:pPr>
        <w:ind w:hanging="425" w:left="1134"/>
        <w:jc w:val="left"/>
      </w:pPr>
      <w:r>
        <w:t>2. Работа нескольких пользователей: разграничение доступа и обмен файлами изменений с разрешением конфликтов.</w:t>
      </w:r>
    </w:p>
    <w:p>
      <w:pPr>
        <w:ind w:hanging="425" w:left="1134"/>
        <w:jc w:val="left"/>
      </w:pPr>
      <w:r>
        <w:t>3. Мобильный обход и инвентаризация по QR-наклейкам.</w:t>
      </w:r>
    </w:p>
    <w:p>
      <w:pPr>
        <w:ind w:hanging="425" w:left="1134"/>
        <w:jc w:val="left"/>
      </w:pPr>
      <w:r>
        <w:t>4. Упаковка в самостоятельное Windows-приложение (Electron или WebView2) со собственным установщиком.</w:t>
      </w:r>
    </w:p>
    <w:p>
      <w:pPr>
        <w:pStyle w:val="Heading1"/>
      </w:pPr>
      <w:r>
        <w:t>ЗАКЛЮЧЕНИЕ</w:t>
      </w:r>
    </w:p>
    <w:p>
      <w:r>
        <w:t>«Регламент-ТСТ» решает поставленную цель: учёт техники служб тыла, расчёт сроков ТО, контроль готовности парка и подготовка документов выполняются на автономном рабочем месте без интернета и сервера. Командный пункт даёт картину состояния на одном экране, QR-маркировка переносит основные сведения на саму машину, а подсистема сохранности защищает реестр от ошибок и сбоев.</w:t>
      </w:r>
    </w:p>
    <w:p>
      <w:r>
        <w:t>Модульная архитектура с самотестами и версионированием данных позволяет развивать программу — добавлять склад, работу нескольких пользователей и упаковку в Windows-приложение, не ломая уже работающие функции.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firstLine="0"/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ind w:firstLine="0"/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Реферат: АСУК «Регламент-ТСТ»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