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0"/>
        <w:numPr>
          <w:ilvl w:val="0"/>
          <w:numId w:val="4"/>
        </w:numPr>
        <w:spacing w:after="240" w:before="0" w:line="276" w:lineRule="auto"/>
        <w:ind w:left="709" w:hanging="851"/>
        <w:rPr/>
      </w:pPr>
      <w:bookmarkStart w:colFirst="0" w:colLast="0" w:name="_heading=h.gjdgxs" w:id="0"/>
      <w:bookmarkEnd w:id="0"/>
      <w:r w:rsidDel="00000000" w:rsidR="00000000" w:rsidRPr="00000000">
        <w:rPr>
          <w:smallCaps w:val="1"/>
          <w:sz w:val="28"/>
          <w:szCs w:val="28"/>
          <w:rtl w:val="0"/>
        </w:rPr>
        <w:t xml:space="preserve">СТАТИСТИЧЕСКАЯ ОБРАБОТКА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numPr>
          <w:ilvl w:val="1"/>
          <w:numId w:val="4"/>
        </w:numPr>
        <w:spacing w:after="120" w:before="0" w:line="276" w:lineRule="auto"/>
        <w:ind w:left="709" w:hanging="709"/>
        <w:jc w:val="both"/>
        <w:rPr/>
      </w:pPr>
      <w:bookmarkStart w:colFirst="0" w:colLast="0" w:name="_heading=h.30j0zll" w:id="1"/>
      <w:bookmarkEnd w:id="1"/>
      <w:r w:rsidDel="00000000" w:rsidR="00000000" w:rsidRPr="00000000">
        <w:rPr>
          <w:sz w:val="24"/>
          <w:szCs w:val="24"/>
          <w:rtl w:val="0"/>
        </w:rPr>
        <w:t xml:space="preserve">Программное обеспечение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Статистический анализ будет проводиться с помощью пакета R (версии не ниже 3.6) с использованием специализированного программного обеспечения Rstudio.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numPr>
          <w:ilvl w:val="1"/>
          <w:numId w:val="4"/>
        </w:numPr>
        <w:spacing w:after="120" w:before="0" w:line="276" w:lineRule="auto"/>
        <w:ind w:left="709" w:hanging="709"/>
        <w:jc w:val="both"/>
        <w:rPr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sz w:val="24"/>
          <w:szCs w:val="24"/>
          <w:rtl w:val="0"/>
        </w:rPr>
        <w:t xml:space="preserve">Представление данных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Все количественные показатели будут представлены в виде следующих параметров описательной статистики: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Количество наблюдений;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Среднее арифметическое;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95% доверительный интервал (ДИ) для среднего;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Стандартное отклонение;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Медиана;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Межквартильный размах;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Минимальное значение;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Максимальное значение.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Все порядковые, и качественные показатели будут представлены в виде следующих параметров описательной статистики: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Абсолютная частота (количество наблюдений);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Относительная частота (в процентах).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Все выполненные виды статистического анализа будут идентичны в отношении исследуемого препарата и в группе препарата сравнения. Сопутствующие заболевания и НЯ будут кодироваться с использованием словаря терминов MedDRA текущей версии.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numPr>
          <w:ilvl w:val="1"/>
          <w:numId w:val="4"/>
        </w:numPr>
        <w:spacing w:after="120" w:before="0" w:line="276" w:lineRule="auto"/>
        <w:ind w:left="709" w:hanging="709"/>
        <w:jc w:val="both"/>
        <w:rPr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sz w:val="24"/>
          <w:szCs w:val="24"/>
          <w:rtl w:val="0"/>
        </w:rPr>
        <w:t xml:space="preserve">Демографические и иные исходные данные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Все данные, полученные в группах до начала применения исследуемого препарата или препарата сравнения (демографические данные, лабораторные данные, данные инструментальных и физикальных методов обследования, показатели жизнедеятельности и т. п.) будут сравниваться с целью определения сопоставимости групп для анализа. Для сравнения количественных данных планируется использовать стандартные параметрические критерии: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Z-критерий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для независимых выборок, дисперсионный анализ (ANOVA) для повторных измерений. Сравнение частот показателей между группами лечения будет проводиться с помощью критерия χ2 Пирсона.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 случае, если какие-либо из исходных данных выявят существенную несопоставимость исследовательских групп (статистически и клинически значимые различия в демографических и других исходных данных между группами), будет дополнительно проведен анализ параметров эффективности и безопасности вместе с первичным плановым анализом с использованием многофакторной статистики (линейная или логистическая регрессия в зависимости от типа исследуемого параметра) с поправкой на исходный(ые) показатель(и), по которым  группы исходно различались.</w:t>
        <w:tab/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numPr>
          <w:ilvl w:val="1"/>
          <w:numId w:val="4"/>
        </w:numPr>
        <w:spacing w:after="120" w:before="0" w:line="276" w:lineRule="auto"/>
        <w:ind w:left="709" w:hanging="709"/>
        <w:jc w:val="both"/>
        <w:rPr/>
      </w:pPr>
      <w:bookmarkStart w:colFirst="0" w:colLast="0" w:name="_heading=h.2et92p0" w:id="4"/>
      <w:bookmarkEnd w:id="4"/>
      <w:r w:rsidDel="00000000" w:rsidR="00000000" w:rsidRPr="00000000">
        <w:rPr>
          <w:sz w:val="24"/>
          <w:szCs w:val="24"/>
          <w:rtl w:val="0"/>
        </w:rPr>
        <w:t xml:space="preserve">Анализ первичной конечной точки эффективности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77"/>
          <w:tab w:val="right" w:leader="none" w:pos="9355"/>
        </w:tabs>
        <w:spacing w:after="12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проверки основной гипотезы исследования в качестве первичной конечной точки выбрано среднее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время от появления симптомов ОРВИ (в днях) до улучшения состояния пациента. Критерии улучшения: 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tabs>
          <w:tab w:val="center" w:leader="none" w:pos="4677"/>
          <w:tab w:val="right" w:leader="none" w:pos="9355"/>
        </w:tabs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температура тела ≤37,5°С в течение 24 часов (без последующего повышения в течение периода наблюдения);</w:t>
          </w:r>
        </w:sdtContent>
      </w:sdt>
    </w:p>
    <w:p w:rsidR="00000000" w:rsidDel="00000000" w:rsidP="00000000" w:rsidRDefault="00000000" w:rsidRPr="00000000" w14:paraId="0000001A">
      <w:pPr>
        <w:numPr>
          <w:ilvl w:val="0"/>
          <w:numId w:val="7"/>
        </w:numPr>
        <w:tabs>
          <w:tab w:val="center" w:leader="none" w:pos="4677"/>
          <w:tab w:val="right" w:leader="none" w:pos="9355"/>
        </w:tabs>
        <w:spacing w:after="12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отсутствие симптомов ОРВИ / наличие симптомов ОРВИ по шкале </w:t>
      </w:r>
      <w:r w:rsidDel="00000000" w:rsidR="00000000" w:rsidRPr="00000000">
        <w:rPr>
          <w:rFonts w:ascii="Times New Roman" w:cs="Times New Roman" w:eastAsia="Times New Roman" w:hAnsi="Times New Roman"/>
          <w:color w:val="1b1b1b"/>
          <w:sz w:val="24"/>
          <w:szCs w:val="24"/>
          <w:highlight w:val="white"/>
          <w:rtl w:val="0"/>
        </w:rPr>
        <w:t xml:space="preserve">Symptoms Severity Scale</w:t>
      </w:r>
      <w:r w:rsidDel="00000000" w:rsidR="00000000" w:rsidRPr="00000000">
        <w:rPr>
          <w:rFonts w:ascii="Times New Roman" w:cs="Times New Roman" w:eastAsia="Times New Roman" w:hAnsi="Times New Roman"/>
          <w:color w:val="1b1b1b"/>
          <w:sz w:val="24"/>
          <w:szCs w:val="24"/>
          <w:highlight w:val="white"/>
          <w:vertAlign w:val="superscript"/>
        </w:rPr>
        <w:footnoteReference w:customMarkFollows="0" w:id="0"/>
      </w:r>
      <w:r w:rsidDel="00000000" w:rsidR="00000000" w:rsidRPr="00000000">
        <w:rPr>
          <w:rFonts w:ascii="Times New Roman" w:cs="Times New Roman" w:eastAsia="Times New Roman" w:hAnsi="Times New Roman"/>
          <w:color w:val="1b1b1b"/>
          <w:sz w:val="24"/>
          <w:szCs w:val="24"/>
          <w:highlight w:val="white"/>
          <w:rtl w:val="0"/>
        </w:rPr>
        <w:t xml:space="preserve"> </w:t>
      </w: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≤ 3 баллов.</w:t>
          </w:r>
        </w:sdtContent>
      </w:sdt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77"/>
          <w:tab w:val="right" w:leader="none" w:pos="9355"/>
        </w:tabs>
        <w:spacing w:after="12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Для оценки превосходства препарата предполагается использование стандартного асимптотического Z-критерия для разности средних для обеспечения наибольшей мощности в связи с большими размерами выборок.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анализа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размера эффекта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планируется построение одностороннего 97.5% доверительного интервала для разницы в средних (двустороннего 95% ДИ) с последующим сравнением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границы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границей превосходства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(один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день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numPr>
          <w:ilvl w:val="1"/>
          <w:numId w:val="4"/>
        </w:numPr>
        <w:spacing w:after="120" w:before="0" w:line="276" w:lineRule="auto"/>
        <w:ind w:left="709" w:hanging="709"/>
        <w:jc w:val="both"/>
        <w:rPr>
          <w:sz w:val="24"/>
          <w:szCs w:val="24"/>
        </w:rPr>
      </w:pPr>
      <w:bookmarkStart w:colFirst="0" w:colLast="0" w:name="_heading=h.tyjcwt" w:id="5"/>
      <w:bookmarkEnd w:id="5"/>
      <w:r w:rsidDel="00000000" w:rsidR="00000000" w:rsidRPr="00000000">
        <w:rPr>
          <w:sz w:val="24"/>
          <w:szCs w:val="24"/>
          <w:rtl w:val="0"/>
        </w:rPr>
        <w:t xml:space="preserve">Анализ вторичных конечных точек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исследовании выбраны следующие вторичные конечные точки: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rtl w:val="0"/>
            </w:rPr>
            <w:t xml:space="preserve">Время до снижения температуры тела (температура в подмышечной впадине ≤ 37,5°С в течение 24 часов, без последующего повышения в течение периода наблюдения).</w:t>
          </w:r>
        </w:sdtContent>
      </w:sdt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Время до облегчения гриппоподобных неспецифических симптомов  (отсутствие гриппоподобных неспецифических симптомов/наличие одного легкого гриппоподобного неспецифического симптома).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Время до облегчения респираторных симптомов (отсутствие респираторных симптомов/наличие одного легкого респираторного симптома).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color="000000" w:space="3" w:sz="0" w:val="none"/>
          <w:bottom w:color="000000" w:space="3" w:sz="0" w:val="none"/>
          <w:right w:color="000000" w:space="12" w:sz="0" w:val="none"/>
          <w:between w:color="000000" w:space="3" w:sz="0" w:val="none"/>
        </w:pBdr>
        <w:shd w:fill="ffffff" w:val="clear"/>
        <w:spacing w:after="0" w:line="276" w:lineRule="auto"/>
        <w:ind w:left="720" w:hanging="360"/>
        <w:rPr>
          <w:rFonts w:ascii="Times New Roman" w:cs="Times New Roman" w:eastAsia="Times New Roman" w:hAnsi="Times New Roman"/>
          <w:color w:val="1b1b1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b1b"/>
          <w:sz w:val="24"/>
          <w:szCs w:val="24"/>
          <w:rtl w:val="0"/>
        </w:rPr>
        <w:t xml:space="preserve">Количество случаев развития осложнений и (или) ухудшения течения заболевания по данным осмотра / телефонного контакта с пациентом.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color="000000" w:space="3" w:sz="0" w:val="none"/>
          <w:bottom w:color="000000" w:space="3" w:sz="0" w:val="none"/>
          <w:right w:color="000000" w:space="12" w:sz="0" w:val="none"/>
          <w:between w:color="000000" w:space="3" w:sz="0" w:val="none"/>
        </w:pBdr>
        <w:shd w:fill="ffffff" w:val="clear"/>
        <w:spacing w:after="0" w:line="276" w:lineRule="auto"/>
        <w:ind w:left="720" w:hanging="360"/>
        <w:rPr>
          <w:rFonts w:ascii="Times New Roman" w:cs="Times New Roman" w:eastAsia="Times New Roman" w:hAnsi="Times New Roman"/>
          <w:color w:val="1b1b1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b1b"/>
          <w:sz w:val="24"/>
          <w:szCs w:val="24"/>
          <w:rtl w:val="0"/>
        </w:rPr>
        <w:t xml:space="preserve">Динамика лабораторных показателей в течение периода наблюдения (Визит 1, Визит 5): абсолютное количество лейкоцитов и субпопуляций, относительный процент субпопуляций, СОЭ, СРБ.</w:t>
      </w:r>
    </w:p>
    <w:p w:rsidR="00000000" w:rsidDel="00000000" w:rsidP="00000000" w:rsidRDefault="00000000" w:rsidRPr="00000000" w14:paraId="0000002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анализе вторичных конечных точек будут использованы следующие методы: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сравнение временных переменных будет производиться с помощью асимптотического Z-критерия для разности средних;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сравнение частотных переменных будет производиться с помощью критерия хи-квадрат с расчетом отношения шансов;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сравнение динамики </w:t>
      </w:r>
      <w:r w:rsidDel="00000000" w:rsidR="00000000" w:rsidRPr="00000000">
        <w:rPr>
          <w:rFonts w:ascii="Times New Roman" w:cs="Times New Roman" w:eastAsia="Times New Roman" w:hAnsi="Times New Roman"/>
          <w:color w:val="1b1b1b"/>
          <w:sz w:val="24"/>
          <w:szCs w:val="24"/>
          <w:rtl w:val="0"/>
        </w:rPr>
        <w:t xml:space="preserve">лабораторных показателей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будет производиться с помощью two-way Repeated-Measures</w:t>
      </w:r>
      <w:r w:rsidDel="00000000" w:rsidR="00000000" w:rsidRPr="00000000">
        <w:rPr>
          <w:rFonts w:ascii="Times New Roman" w:cs="Times New Roman" w:eastAsia="Times New Roman" w:hAnsi="Times New Roman"/>
          <w:color w:val="005595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ANOVA, где в качестве независимых переменных будет группа и номер визита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описании всех оцениваемых величин, будут представлены как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-значения, так и точечные оценки с соответствующими 95% доверительными интервалами.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numPr>
          <w:ilvl w:val="1"/>
          <w:numId w:val="4"/>
        </w:numPr>
        <w:spacing w:after="120" w:line="276" w:lineRule="auto"/>
        <w:ind w:left="709" w:hanging="709"/>
        <w:jc w:val="both"/>
        <w:rPr>
          <w:sz w:val="24"/>
          <w:szCs w:val="24"/>
        </w:rPr>
      </w:pPr>
      <w:bookmarkStart w:colFirst="0" w:colLast="0" w:name="_heading=h.1t3h5sf" w:id="7"/>
      <w:bookmarkEnd w:id="7"/>
      <w:r w:rsidDel="00000000" w:rsidR="00000000" w:rsidRPr="00000000">
        <w:rPr>
          <w:sz w:val="24"/>
          <w:szCs w:val="24"/>
          <w:rtl w:val="0"/>
        </w:rPr>
        <w:t xml:space="preserve">Анализ параметров безопасности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Оценка безопасности будет включать в себя определение общего количества, частоты и степени тяжести: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Нежелательных явлений (НЯ), независимо от их взаимосвязи с лечением;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НЯ, связанных или возможно связанных с применением препарата;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НЯ, требующих прекращения терапии.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Неблагоприятные события будут закодированы с помощью номенклатуры MedDRA в последней версии. Они будут представлены предпочтительным термином (PT) и классом системного органа (SOC).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Для представления результатов будут использованы методы описательной статистики. Сравнение частоты новых случаев НЯ в исследуемых группах будет проводиться с использованием точного критерия Фишера или критерия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Пирсона</w:t>
      </w: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highlight w:val="white"/>
              <w:u w:val="none"/>
              <w:vertAlign w:val="baseline"/>
              <w:rtl w:val="0"/>
            </w:rPr>
            <w:t xml:space="preserve"> в зависимости от количества наблюдений в одной ячейке (&lt;5 или ≥5). 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Изменения результатов лабораторных исследований с течением времени и частота патологических отклонений результатов исследований от нормы (исходя из референсных значений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лабораторий исследовательских центров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 будут обобщены по группам, а также будет проведено сравнение между группами с помощью соответствующих тестов для количественных и качественных данных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numPr>
          <w:ilvl w:val="1"/>
          <w:numId w:val="4"/>
        </w:numPr>
        <w:spacing w:after="120" w:before="0" w:line="276" w:lineRule="auto"/>
        <w:ind w:left="709" w:hanging="709"/>
        <w:jc w:val="both"/>
        <w:rPr/>
      </w:pPr>
      <w:bookmarkStart w:colFirst="0" w:colLast="0" w:name="_heading=h.4d34og8" w:id="8"/>
      <w:bookmarkEnd w:id="8"/>
      <w:r w:rsidDel="00000000" w:rsidR="00000000" w:rsidRPr="00000000">
        <w:rPr>
          <w:sz w:val="24"/>
          <w:szCs w:val="24"/>
          <w:rtl w:val="0"/>
        </w:rPr>
        <w:t xml:space="preserve">Промежуточный анализ данных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Промежуточный анализ данных не планируется в настоящем исследовании</w:t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numPr>
          <w:ilvl w:val="1"/>
          <w:numId w:val="4"/>
        </w:numPr>
        <w:spacing w:after="120" w:before="0" w:line="276" w:lineRule="auto"/>
        <w:ind w:left="709" w:hanging="709"/>
        <w:jc w:val="both"/>
        <w:rPr/>
      </w:pPr>
      <w:bookmarkStart w:colFirst="0" w:colLast="0" w:name="_heading=h.2s8eyo1" w:id="9"/>
      <w:bookmarkEnd w:id="9"/>
      <w:r w:rsidDel="00000000" w:rsidR="00000000" w:rsidRPr="00000000">
        <w:rPr>
          <w:sz w:val="24"/>
          <w:szCs w:val="24"/>
          <w:rtl w:val="0"/>
        </w:rPr>
        <w:t xml:space="preserve">Расчет объема выборки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Статистической целью настоящего исследования является доказательство превосходства препарата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Эргоферон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®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над плацебо.</w:t>
      </w:r>
    </w:p>
    <w:p w:rsidR="00000000" w:rsidDel="00000000" w:rsidP="00000000" w:rsidRDefault="00000000" w:rsidRPr="00000000" w14:paraId="0000003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оценки превосходства препарата предполагается использование стандартного асимптотического Z-критерия для разности средних для обеспечения наибольшей мощности в связи с большими размерами выборок.</w:t>
      </w:r>
    </w:p>
    <w:p w:rsidR="00000000" w:rsidDel="00000000" w:rsidP="00000000" w:rsidRDefault="00000000" w:rsidRPr="00000000" w14:paraId="0000003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качестве исходных параметров были взяты следующие значения:</w:t>
      </w:r>
    </w:p>
    <w:p w:rsidR="00000000" w:rsidDel="00000000" w:rsidP="00000000" w:rsidRDefault="00000000" w:rsidRPr="00000000" w14:paraId="0000003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работы [1] следует, что уменьшение времени до облегчения всех симптомов ОРВИ для препарата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Эргоферон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®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составляет в среднем 4.5 дня, а в группе плацебо 5.2 дня. Было принято априорное предположение о различной эффективности сравниваемых препаратов, </w:t>
      </w:r>
      <m:oMath>
        <m:r>
          <m:t>ε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-0.7 дней до облегчения всех симптомов ОРВИ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Граница превосходства </w:t>
      </w:r>
      <m:oMath>
        <m:r>
          <m:t>δ</m:t>
        </m:r>
        <m:r>
          <w:rPr>
            <w:rFonts w:ascii="Times New Roman" w:cs="Times New Roman" w:eastAsia="Times New Roman" w:hAnsi="Times New Roman"/>
            <w:sz w:val="40"/>
            <w:szCs w:val="40"/>
            <w:vertAlign w:val="subscript"/>
          </w:rPr>
          <m:t xml:space="preserve"> = -1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день (время для облегчения всех симптомов ОРВИ), клинически значимой разницей решено считать разницу между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Эргоферон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®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плацебо в 1 день.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данных работ [1] также следует, что стандартное отклонение для времени облегчения всех симптомов ОРВИ в днях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 </w:t>
      </w:r>
      <m:oMath>
        <m:r>
          <m:t>σ</m:t>
        </m:r>
        <m:r>
          <w:rPr>
            <w:rFonts w:ascii="Times New Roman" w:cs="Times New Roman" w:eastAsia="Times New Roman" w:hAnsi="Times New Roman"/>
            <w:sz w:val="24"/>
            <w:szCs w:val="24"/>
            <w:vertAlign w:val="subscript"/>
          </w:rPr>
          <m:t xml:space="preserve">=1.7</m:t>
        </m:r>
        <m:r>
          <w:rPr>
            <w:rFonts w:ascii="Times New Roman" w:cs="Times New Roman" w:eastAsia="Times New Roman" w:hAnsi="Times New Roman"/>
            <w:sz w:val="40"/>
            <w:szCs w:val="40"/>
            <w:vertAlign w:val="subscript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Эргоферон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®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m:oMath>
        <m:r>
          <m:t>σ</m:t>
        </m:r>
        <m:r>
          <w:rPr>
            <w:rFonts w:ascii="Times New Roman" w:cs="Times New Roman" w:eastAsia="Times New Roman" w:hAnsi="Times New Roman"/>
            <w:sz w:val="40"/>
            <w:szCs w:val="40"/>
            <w:vertAlign w:val="subscript"/>
          </w:rPr>
          <m:t xml:space="preserve">=2.2</m:t>
        </m:r>
      </m:oMath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плацебо.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Вероятность ошибки I рода: 0.025, мощность: 80%.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Основная статистическая гипотеза при использовании одностороннего ДИ: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ind w:left="360" w:firstLine="0"/>
        <w:jc w:val="center"/>
        <w:rPr>
          <w:rFonts w:ascii="Times New Roman" w:cs="Times New Roman" w:eastAsia="Times New Roman" w:hAnsi="Times New Roman"/>
          <w:sz w:val="40"/>
          <w:szCs w:val="40"/>
          <w:vertAlign w:val="subscript"/>
        </w:rPr>
      </w:pPr>
      <m:oMath>
        <m:r>
          <w:rPr>
            <w:rFonts w:ascii="Times New Roman" w:cs="Times New Roman" w:eastAsia="Times New Roman" w:hAnsi="Times New Roman"/>
            <w:sz w:val="40"/>
            <w:szCs w:val="40"/>
            <w:vertAlign w:val="subscript"/>
          </w:rPr>
          <m:t xml:space="preserve">H0: </m:t>
        </m:r>
        <m:r>
          <w:rPr>
            <w:rFonts w:ascii="Times New Roman" w:cs="Times New Roman" w:eastAsia="Times New Roman" w:hAnsi="Times New Roman"/>
            <w:sz w:val="40"/>
            <w:szCs w:val="40"/>
            <w:vertAlign w:val="subscript"/>
          </w:rPr>
          <m:t>μ</m:t>
        </m:r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T</m:t>
        </m:r>
        <m:r>
          <w:rPr>
            <w:rFonts w:ascii="Times New Roman" w:cs="Times New Roman" w:eastAsia="Times New Roman" w:hAnsi="Times New Roman"/>
            <w:sz w:val="40"/>
            <w:szCs w:val="40"/>
            <w:vertAlign w:val="subscript"/>
          </w:rPr>
          <m:t xml:space="preserve">-</m:t>
        </m:r>
        <m:r>
          <w:rPr>
            <w:rFonts w:ascii="Times New Roman" w:cs="Times New Roman" w:eastAsia="Times New Roman" w:hAnsi="Times New Roman"/>
            <w:sz w:val="40"/>
            <w:szCs w:val="40"/>
            <w:vertAlign w:val="subscript"/>
          </w:rPr>
          <m:t>μ</m:t>
        </m:r>
        <m:r>
          <w:rPr>
            <w:rFonts w:ascii="Times New Roman" w:cs="Times New Roman" w:eastAsia="Times New Roman" w:hAnsi="Times New Roman"/>
            <w:sz w:val="40"/>
            <w:szCs w:val="40"/>
          </w:rPr>
          <m:t xml:space="preserve">R</m:t>
        </m:r>
        <m:r>
          <w:rPr>
            <w:rFonts w:ascii="Times New Roman" w:cs="Times New Roman" w:eastAsia="Times New Roman" w:hAnsi="Times New Roman"/>
            <w:sz w:val="40"/>
            <w:szCs w:val="40"/>
            <w:vertAlign w:val="subscript"/>
          </w:rPr>
          <m:t xml:space="preserve"> </m:t>
        </m:r>
        <m:r>
          <w:rPr>
            <w:rFonts w:ascii="Times New Roman" w:cs="Times New Roman" w:eastAsia="Times New Roman" w:hAnsi="Times New Roman"/>
            <w:sz w:val="40"/>
            <w:szCs w:val="40"/>
            <w:vertAlign w:val="subscript"/>
          </w:rPr>
          <m:t>≥</m:t>
        </m:r>
        <m:r>
          <w:rPr>
            <w:rFonts w:ascii="Times New Roman" w:cs="Times New Roman" w:eastAsia="Times New Roman" w:hAnsi="Times New Roman"/>
            <w:sz w:val="40"/>
            <w:szCs w:val="40"/>
            <w:vertAlign w:val="subscript"/>
          </w:rPr>
          <m:t>δ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ind w:left="360" w:firstLine="0"/>
        <w:jc w:val="center"/>
        <w:rPr>
          <w:rFonts w:ascii="Times New Roman" w:cs="Times New Roman" w:eastAsia="Times New Roman" w:hAnsi="Times New Roman"/>
          <w:sz w:val="40"/>
          <w:szCs w:val="40"/>
          <w:vertAlign w:val="subscript"/>
        </w:rPr>
      </w:pPr>
      <m:oMath>
        <m:r>
          <w:rPr>
            <w:rFonts w:ascii="Times New Roman" w:cs="Times New Roman" w:eastAsia="Times New Roman" w:hAnsi="Times New Roman"/>
            <w:sz w:val="40"/>
            <w:szCs w:val="40"/>
            <w:vertAlign w:val="subscript"/>
          </w:rPr>
          <m:t xml:space="preserve">Ha: </m:t>
        </m:r>
        <m:r>
          <w:rPr>
            <w:rFonts w:ascii="Times New Roman" w:cs="Times New Roman" w:eastAsia="Times New Roman" w:hAnsi="Times New Roman"/>
            <w:sz w:val="40"/>
            <w:szCs w:val="40"/>
            <w:vertAlign w:val="subscript"/>
          </w:rPr>
          <m:t>μ</m:t>
        </m:r>
        <m:r>
          <w:rPr>
            <w:rFonts w:ascii="Times New Roman" w:cs="Times New Roman" w:eastAsia="Times New Roman" w:hAnsi="Times New Roman"/>
            <w:sz w:val="40"/>
            <w:szCs w:val="40"/>
            <w:vertAlign w:val="subscript"/>
          </w:rPr>
          <m:t xml:space="preserve">T-</m:t>
        </m:r>
        <m:r>
          <w:rPr>
            <w:rFonts w:ascii="Times New Roman" w:cs="Times New Roman" w:eastAsia="Times New Roman" w:hAnsi="Times New Roman"/>
            <w:sz w:val="40"/>
            <w:szCs w:val="40"/>
            <w:vertAlign w:val="subscript"/>
          </w:rPr>
          <m:t>μ</m:t>
        </m:r>
        <m:r>
          <w:rPr>
            <w:rFonts w:ascii="Times New Roman" w:cs="Times New Roman" w:eastAsia="Times New Roman" w:hAnsi="Times New Roman"/>
            <w:sz w:val="20"/>
            <w:szCs w:val="20"/>
            <w:vertAlign w:val="subscript"/>
          </w:rPr>
          <m:t xml:space="preserve">R</m:t>
        </m:r>
        <m:r>
          <w:rPr>
            <w:rFonts w:ascii="Times New Roman" w:cs="Times New Roman" w:eastAsia="Times New Roman" w:hAnsi="Times New Roman"/>
            <w:sz w:val="40"/>
            <w:szCs w:val="40"/>
            <w:vertAlign w:val="subscript"/>
          </w:rPr>
          <m:t xml:space="preserve">&lt;</m:t>
        </m:r>
        <m:r>
          <w:rPr>
            <w:rFonts w:ascii="Times New Roman" w:cs="Times New Roman" w:eastAsia="Times New Roman" w:hAnsi="Times New Roman"/>
            <w:sz w:val="40"/>
            <w:szCs w:val="40"/>
            <w:vertAlign w:val="subscript"/>
          </w:rPr>
          <m:t>δ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Была использована стандартная формула для оценки объема выборки из работы [2].</w:t>
      </w:r>
    </w:p>
    <w:p w:rsidR="00000000" w:rsidDel="00000000" w:rsidP="00000000" w:rsidRDefault="00000000" w:rsidRPr="00000000" w14:paraId="0000004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</w:rPr>
        <w:drawing>
          <wp:inline distB="114300" distT="114300" distL="114300" distR="114300">
            <wp:extent cx="1432560" cy="5619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Здесь:</w:t>
      </w:r>
    </w:p>
    <w:p w:rsidR="00000000" w:rsidDel="00000000" w:rsidP="00000000" w:rsidRDefault="00000000" w:rsidRPr="00000000" w14:paraId="0000004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количества пациентов в 1 и 2 группах;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</w:rPr>
        <w:drawing>
          <wp:inline distB="0" distT="0" distL="114300" distR="114300">
            <wp:extent cx="165100" cy="2222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22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</w:rPr>
        <w:drawing>
          <wp:inline distB="0" distT="0" distL="114300" distR="114300">
            <wp:extent cx="165100" cy="2476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квантили стандартного нормального распределения.</w:t>
        <w:tab/>
        <w:t xml:space="preserve">При расчете по формуле было использовано округление вверх до ближайшего целого.</w:t>
      </w:r>
    </w:p>
    <w:p w:rsidR="00000000" w:rsidDel="00000000" w:rsidP="00000000" w:rsidRDefault="00000000" w:rsidRPr="00000000" w14:paraId="00000048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Таким образом, получено, что минимально необходимый объем выборки для проведения исследования равен 1354 (по 677 пациенту в каждую группу). С учетом 25% выбываемости, объем выборки составит 1694 пациента (по 847 пациентов в каждую группу).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numPr>
          <w:ilvl w:val="1"/>
          <w:numId w:val="4"/>
        </w:numPr>
        <w:spacing w:after="120" w:before="0" w:line="276" w:lineRule="auto"/>
        <w:ind w:left="709" w:hanging="709"/>
        <w:jc w:val="both"/>
        <w:rPr>
          <w:sz w:val="24"/>
          <w:szCs w:val="24"/>
        </w:rPr>
      </w:pPr>
      <w:bookmarkStart w:colFirst="0" w:colLast="0" w:name="_heading=h.17dp8vu" w:id="10"/>
      <w:bookmarkEnd w:id="10"/>
      <w:r w:rsidDel="00000000" w:rsidR="00000000" w:rsidRPr="00000000">
        <w:rPr>
          <w:sz w:val="24"/>
          <w:szCs w:val="24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line="276" w:lineRule="auto"/>
        <w:ind w:left="585" w:hanging="49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Geppe, N. A., Blokhin, B. M., Shamsheva, O. V., Abdrakhmanova, S. T., Alikhanova, K. A., &amp; Myrzabekova, G. T. Efficacy and Safety of Ergoferon in Children from 6 Months to 6 Years Old with Acute Respiratory Viral Infections in Contemporary Outpatient Practice: A Multicenter, Double-Blind, Placebo-Controlled Randomized Trial. Canadian respiratory journal, 2021.</w:t>
      </w:r>
    </w:p>
    <w:p w:rsidR="00000000" w:rsidDel="00000000" w:rsidP="00000000" w:rsidRDefault="00000000" w:rsidRPr="00000000" w14:paraId="0000004C">
      <w:pPr>
        <w:spacing w:after="0" w:line="276" w:lineRule="auto"/>
        <w:ind w:left="58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lineRule="auto"/>
        <w:ind w:left="585" w:hanging="49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Chow S, Shao J, Wang H. Sample Size Calculations in Clinical Research. 2nd Ed. Chapman &amp; Hall/CRC Biostatistics Series, 2008.</w:t>
      </w:r>
    </w:p>
    <w:p w:rsidR="00000000" w:rsidDel="00000000" w:rsidP="00000000" w:rsidRDefault="00000000" w:rsidRPr="00000000" w14:paraId="0000004E">
      <w:pPr>
        <w:spacing w:after="240" w:lineRule="auto"/>
        <w:ind w:left="58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numPr>
          <w:ilvl w:val="1"/>
          <w:numId w:val="4"/>
        </w:numPr>
        <w:spacing w:after="120" w:before="0" w:line="276" w:lineRule="auto"/>
        <w:ind w:left="709" w:hanging="709"/>
        <w:jc w:val="both"/>
        <w:rPr/>
      </w:pPr>
      <w:bookmarkStart w:colFirst="0" w:colLast="0" w:name="_heading=h.3rdcrjn" w:id="11"/>
      <w:bookmarkEnd w:id="11"/>
      <w:r w:rsidDel="00000000" w:rsidR="00000000" w:rsidRPr="00000000">
        <w:rPr>
          <w:sz w:val="24"/>
          <w:szCs w:val="24"/>
          <w:rtl w:val="0"/>
        </w:rPr>
        <w:t xml:space="preserve">Применяемый уровень значимости клинического исследования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статистические тесты в настоящем исследовании будут проводиться при 95% уровне доверия (пороговое значение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для подтверждения статистической значимости – 0.05).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numPr>
          <w:ilvl w:val="1"/>
          <w:numId w:val="4"/>
        </w:numPr>
        <w:spacing w:after="120" w:before="0" w:line="276" w:lineRule="auto"/>
        <w:ind w:left="709" w:hanging="709"/>
        <w:jc w:val="both"/>
        <w:rPr>
          <w:sz w:val="24"/>
          <w:szCs w:val="24"/>
        </w:rPr>
      </w:pPr>
      <w:bookmarkStart w:colFirst="0" w:colLast="0" w:name="_heading=h.26in1rg" w:id="12"/>
      <w:bookmarkEnd w:id="12"/>
      <w:r w:rsidDel="00000000" w:rsidR="00000000" w:rsidRPr="00000000">
        <w:rPr>
          <w:sz w:val="24"/>
          <w:szCs w:val="24"/>
          <w:rtl w:val="0"/>
        </w:rPr>
        <w:t xml:space="preserve">Процедуры учета отсутствующих, не подлежащих анализу и сомнительных данных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ходе мониторинговых визитов в клинический центр специалисты по клиническим исследованиям (мониторы), уполномоченные спонсором, проведут анализ ИРК субъектов исследования на предмет отсутствия в них необходимых данных. В случае отсутствия данных в ИРК и наличия соответствующей информации в первичной документации, будут сформулированы запросы к исследователям и предписания по устранению несоответствий. 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Менеджеры по контролю и обработке данных при проверке базы данных результатов исследования проведут анализ на предмет наличия сомнительных, пропущенных и не подлежащих анализу данных, по результатам которого могут быть также сформулированы запросы к исследователям. Исследователи, по возможности, устранят выявленные ошибки в ИРК и проинформируют об этом главного исследователя и уполномоченных представителей спонсора. Если выявленные ошибки в данных будет невозможно устранить после завершения участия пациентов в исследовании, в ходе статистического анализа данных будет проводиться анализ чувствительности результирующих параметров к наличию сомнительных данных. 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Информация о пропущенных, сомнительных и не подлежащих анализу данных будет представлена в финальном отчете о клиническом исследовании. Для всех видов конечных точек и иных параметров анализ будет проведен только на фактически доступной информации, без восполнения данных методами предсказательной статистики (т.н. imputation).</w:t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numPr>
          <w:ilvl w:val="1"/>
          <w:numId w:val="4"/>
        </w:numPr>
        <w:spacing w:after="120" w:before="0" w:line="276" w:lineRule="auto"/>
        <w:ind w:left="709" w:hanging="709"/>
        <w:jc w:val="both"/>
        <w:rPr>
          <w:sz w:val="24"/>
          <w:szCs w:val="24"/>
        </w:rPr>
      </w:pPr>
      <w:bookmarkStart w:colFirst="0" w:colLast="0" w:name="_heading=h.lnxbz9" w:id="13"/>
      <w:bookmarkEnd w:id="13"/>
      <w:r w:rsidDel="00000000" w:rsidR="00000000" w:rsidRPr="00000000">
        <w:rPr>
          <w:sz w:val="24"/>
          <w:szCs w:val="24"/>
          <w:rtl w:val="0"/>
        </w:rPr>
        <w:t xml:space="preserve">Процедуры сообщения о любых отклонениях от первоначального статистического плана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Все отклонения от первоначального статистического плана должны быть описаны и обоснованы в поправке к протоколу и/или финальном отчете об исследовании (в последнем случае, план статистического анализа, разрабатываемый до начала проведения финального статистического анализа, должен содержать список данных отклонений с обоснованием причин для отклонения от статистического плана по протоколу).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numPr>
          <w:ilvl w:val="1"/>
          <w:numId w:val="4"/>
        </w:numPr>
        <w:spacing w:after="120" w:before="0" w:line="276" w:lineRule="auto"/>
        <w:ind w:left="709" w:hanging="709"/>
        <w:jc w:val="both"/>
        <w:rPr>
          <w:sz w:val="24"/>
          <w:szCs w:val="24"/>
        </w:rPr>
      </w:pPr>
      <w:bookmarkStart w:colFirst="0" w:colLast="0" w:name="_heading=h.35nkun2" w:id="14"/>
      <w:bookmarkEnd w:id="14"/>
      <w:r w:rsidDel="00000000" w:rsidR="00000000" w:rsidRPr="00000000">
        <w:rPr>
          <w:sz w:val="24"/>
          <w:szCs w:val="24"/>
          <w:rtl w:val="0"/>
        </w:rPr>
        <w:t xml:space="preserve">Исследуемые популяции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проведения анализа будут использованы следующие популяции добровольцев: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Популяция всех включенных пациентов (intention-to-treat, ITT): все рандомизированные субъекты, применившие хотя бы одну дозу исследуемого препарата/плацебо и завершившие хотя </w:t>
        <w:tab/>
        <w:t xml:space="preserve">бы один визит оценки параметров эффективности.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Популяция пациентов, завершивших исследование согласно протоколу (per protocol, PP): все рандомизированные субъекты, которые завершили участие в исследовании в соответствии с протоколом (закончили предписанный период лечения и наблюдения без существенных отклонений от протокола).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Популяция безопасности (TS): все рандомизированные субъекты,  применившие хотя бы одну дозу исследуемого препарата/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плацебо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. В отличие от популяции ITT, популяция TS будет анализироваться в зависимости от фактически полученного, а не назначенного лечения (в случае, если будут выявлены отличия между назначенным и фактически полученным лечением).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  <w:font w:name="Gungsuh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5D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Проводилась оценка 4 гриппоподобных неспецифических симптомов (снижение активности/слабость, плохой аппетит/отказ от еды, болезненный внешний вид и нарушение сна) и 6 симптомов из носа/горла/грудной клетки (насморк, заложенность носа/заложенность носа, чихание, охриплость голоса, боль в горле и кашель) по 4-балльной шкале (0 = отсутствие симптома, 1 = легкий симптом, 2 = умеренный симптом и 3 = тяжелый симптом). Максимальный балл - 30.</w:t>
      </w:r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85" w:hanging="495"/>
      </w:pPr>
      <w:rPr>
        <w:b w:val="1"/>
      </w:rPr>
    </w:lvl>
    <w:lvl w:ilvl="1">
      <w:start w:val="1"/>
      <w:numFmt w:val="lowerLetter"/>
      <w:lvlText w:val="%2."/>
      <w:lvlJc w:val="left"/>
      <w:pPr>
        <w:ind w:left="1170" w:hanging="360"/>
      </w:pPr>
      <w:rPr/>
    </w:lvl>
    <w:lvl w:ilvl="2">
      <w:start w:val="1"/>
      <w:numFmt w:val="lowerRoman"/>
      <w:lvlText w:val="%3."/>
      <w:lvlJc w:val="right"/>
      <w:pPr>
        <w:ind w:left="1890" w:hanging="180"/>
      </w:pPr>
      <w:rPr/>
    </w:lvl>
    <w:lvl w:ilvl="3">
      <w:start w:val="1"/>
      <w:numFmt w:val="decimal"/>
      <w:lvlText w:val="%4."/>
      <w:lvlJc w:val="left"/>
      <w:pPr>
        <w:ind w:left="2610" w:hanging="360"/>
      </w:pPr>
      <w:rPr/>
    </w:lvl>
    <w:lvl w:ilvl="4">
      <w:start w:val="1"/>
      <w:numFmt w:val="lowerLetter"/>
      <w:lvlText w:val="%5."/>
      <w:lvlJc w:val="left"/>
      <w:pPr>
        <w:ind w:left="3330" w:hanging="360"/>
      </w:pPr>
      <w:rPr/>
    </w:lvl>
    <w:lvl w:ilvl="5">
      <w:start w:val="1"/>
      <w:numFmt w:val="lowerRoman"/>
      <w:lvlText w:val="%6."/>
      <w:lvlJc w:val="right"/>
      <w:pPr>
        <w:ind w:left="4050" w:hanging="180"/>
      </w:pPr>
      <w:rPr/>
    </w:lvl>
    <w:lvl w:ilvl="6">
      <w:start w:val="1"/>
      <w:numFmt w:val="decimal"/>
      <w:lvlText w:val="%7."/>
      <w:lvlJc w:val="left"/>
      <w:pPr>
        <w:ind w:left="4770" w:hanging="360"/>
      </w:pPr>
      <w:rPr/>
    </w:lvl>
    <w:lvl w:ilvl="7">
      <w:start w:val="1"/>
      <w:numFmt w:val="lowerLetter"/>
      <w:lvlText w:val="%8."/>
      <w:lvlJc w:val="left"/>
      <w:pPr>
        <w:ind w:left="5490" w:hanging="360"/>
      </w:pPr>
      <w:rPr/>
    </w:lvl>
    <w:lvl w:ilvl="8">
      <w:start w:val="1"/>
      <w:numFmt w:val="lowerRoman"/>
      <w:lvlText w:val="%9."/>
      <w:lvlJc w:val="right"/>
      <w:pPr>
        <w:ind w:left="621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9"/>
      <w:numFmt w:val="decimal"/>
      <w:lvlText w:val="%1."/>
      <w:lvlJc w:val="right"/>
      <w:pPr>
        <w:ind w:left="2880" w:hanging="360"/>
      </w:pPr>
      <w:rPr>
        <w:sz w:val="28"/>
        <w:szCs w:val="28"/>
        <w:u w:val="none"/>
      </w:rPr>
    </w:lvl>
    <w:lvl w:ilvl="1">
      <w:start w:val="1"/>
      <w:numFmt w:val="decimal"/>
      <w:lvlText w:val="%1.%2."/>
      <w:lvlJc w:val="right"/>
      <w:pPr>
        <w:ind w:left="3600" w:hanging="360"/>
      </w:pPr>
      <w:rPr>
        <w:b w:val="1"/>
        <w:sz w:val="24"/>
        <w:szCs w:val="24"/>
        <w:u w:val="none"/>
      </w:rPr>
    </w:lvl>
    <w:lvl w:ilvl="2">
      <w:start w:val="1"/>
      <w:numFmt w:val="decimal"/>
      <w:lvlText w:val="%1.%2.%3."/>
      <w:lvlJc w:val="right"/>
      <w:pPr>
        <w:ind w:left="4320" w:hanging="360"/>
      </w:pPr>
      <w:rPr>
        <w:sz w:val="24"/>
        <w:szCs w:val="24"/>
        <w:u w:val="none"/>
      </w:rPr>
    </w:lvl>
    <w:lvl w:ilvl="3">
      <w:start w:val="1"/>
      <w:numFmt w:val="decimal"/>
      <w:lvlText w:val="%1.%2.%3.%4."/>
      <w:lvlJc w:val="right"/>
      <w:pPr>
        <w:ind w:left="504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720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864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5GGVO8SUZA+P5RO6wQ61kClSVA==">CgMxLjAaJQoBMBIgCh4IB0IaCg9UaW1lcyBOZXcgUm9tYW4SB0d1bmdzdWgaJQoBMRIgCh4IB0IaCg9UaW1lcyBOZXcgUm9tYW4SB0d1bmdzdWgaJQoBMhIgCh4IB0IaCg9UaW1lcyBOZXcgUm9tYW4SB0d1bmdzdWgaJQoBMxIgCh4IB0IaCg9UaW1lcyBOZXcgUm9tYW4SB0d1bmdzdWgyCGguZ2pkZ3hzMgloLjMwajB6bGwyCWguMWZvYjl0ZTIJaC4zem55c2g3MgloLjJldDkycDAyCGgudHlqY3d0MgloLjNkeTZ2a20yCWguMXQzaDVzZjIJaC40ZDM0b2c4MgloLjJzOGV5bzEyCWguMTdkcDh2dTIJaC4zcmRjcmpuMgloLjI2aW4xcmcyCGgubG54Yno5MgloLjM1bmt1bjI4AHIhMVRPeGZlWDN4eS1oY0JkZGRORkROaUtBNFdwUXFvS3U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