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Статистический отчет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Код исследования: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ERGO_2024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Спонсор: ООО «НПФ «Материа Медика Холдинг»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Исследуемый препарат: Эргоферон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®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Препарат сравнения: Плацебо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 исследовании приняли участие 1694 пациента (847 человек в группе Плацебо, 847 человек к группе Эргоферон). Все участники закончили исследование по Протоколу. Таким образом, популяция всех включенных пациентов (intention-to-treat, ITT), популяция пациентов, завершивших исследование согласно протоколу (per protocol, PP) и популяция безопасности (TS) совпадают.</w:t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ind w:left="720" w:hanging="360"/>
        <w:jc w:val="both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Базовые характеристики пациентов и их сравнение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i w:val="1"/>
          <w:rtl w:val="0"/>
        </w:rPr>
        <w:t xml:space="preserve"> Таблице 1</w:t>
      </w:r>
      <w:r w:rsidDel="00000000" w:rsidR="00000000" w:rsidRPr="00000000">
        <w:rPr>
          <w:rtl w:val="0"/>
        </w:rPr>
        <w:t xml:space="preserve"> представлены описательные статистики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количественных переменных: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Количество наблюдений;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Среднее арифметическое;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95% доверительный интервал (ДИ) для среднего;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Стандартное отклонение;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Медиана;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Межквартильный размах;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Минимальное значение;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Максимальное значение.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порядковых и качественных показателей: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Абсолютная частота (количество наблюдений);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Относительная частота (в процентах).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80" w:before="180" w:lineRule="auto"/>
        <w:rPr/>
      </w:pPr>
      <w:r w:rsidDel="00000000" w:rsidR="00000000" w:rsidRPr="00000000">
        <w:rPr>
          <w:b w:val="1"/>
          <w:rtl w:val="0"/>
        </w:rPr>
        <w:t xml:space="preserve">Таблица 1.</w:t>
      </w:r>
      <w:r w:rsidDel="00000000" w:rsidR="00000000" w:rsidRPr="00000000">
        <w:rPr>
          <w:rtl w:val="0"/>
        </w:rPr>
        <w:t xml:space="preserve"> Базовые характеристики анализируемой совокупности</w:t>
      </w:r>
    </w:p>
    <w:tbl>
      <w:tblPr>
        <w:tblStyle w:val="Table1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1725"/>
        <w:tblGridChange w:id="0">
          <w:tblGrid>
            <w:gridCol w:w="4500"/>
            <w:gridCol w:w="1725"/>
          </w:tblGrid>
        </w:tblGridChange>
      </w:tblGrid>
      <w:tr>
        <w:trPr>
          <w:cantSplit w:val="0"/>
          <w:trHeight w:val="469.8919999999999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N = 1,694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Группа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Плацебо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847 (50%)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Эргоферон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847 (50%)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Пол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Женский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893 (53%)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Мужской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801 (47%)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Возраст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26-31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Время_до_улучшения, дни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5.13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4.78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4.34-5.54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10.64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Лейкоциты_Визит_1, 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6.01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1.32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4.90-7.00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9.00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Эритроциты_Визит_1, 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0.56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4.50-5.50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Гемоглобин_Визит_1, г/л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127-140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Гематокрит_Визит_1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0.413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0.410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0.390-0.430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0.380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0.500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Тромбоциты_Визит_1,х10^9/л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301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280-320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198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398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Нейтрофилы_Визит_1,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3.47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1.01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3.30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2.60-4.20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Лимфоциты_Визит_1,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1.51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0.32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1.50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1.30-1.70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2.70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Моноциты_Визит_1,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 (0.1%)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1,692 (100%)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Эозинофилы_Визит_1,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1,694 (100%)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Базофилы_Визит_1,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1,650 (97%)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44 (2.6%)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Отклонения_ЭКГ_Визит_1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1,653 (98%)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41 (2.4%)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Отклонения_Физ_осмотр_Визит_1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1,656 (98%)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38 (2.2%)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Отклонения_Вит_показатели_Визит_1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1,677 (99%)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17 (1.0%)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Лейкоциты_Визит_2, 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5.97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1.33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4.80-6.90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9.00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Эритроциты_Визит_2, 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0.57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4.50-5.50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Гемоглобин_Визит_2, г/л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133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127-140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120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150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Гематокрит_Визит_2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1,694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0.412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0.410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0.390-0.430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0.380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0.500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Тромбоциты_Визит_2,х10^9/л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299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279-321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184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398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Нейтрофилы_Визит_2,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3.47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1.01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3.30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2.60-4.20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6.00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Лимфоциты_Визит_2,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1.51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0.32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Median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1.50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25%-75%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1.30-1.70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Minimum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1.00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Maximum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2.50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Моноциты_Визит_2,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3 (0.2%)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1,691 (100%)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Эозинофилы_Визит_2,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 (0.3%)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1,689 (100%)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Базофилы_Визит_2,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1,666 (98%)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28 (1.7%)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Отклонения_ЭКГ_Визит_2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1,654 (98%)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40 (2.4%)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Отклонения_Физ_осмотр_Визит_2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1,646 (97%)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48 (2.8%)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Отклонения_Вит_показатели_Визит_2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1,676 (99%)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18 (1.1%)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 (%)</w:t>
            </w:r>
          </w:p>
        </w:tc>
      </w:tr>
    </w:tbl>
    <w:p w:rsidR="00000000" w:rsidDel="00000000" w:rsidP="00000000" w:rsidRDefault="00000000" w:rsidRPr="00000000" w14:paraId="00000150">
      <w:pPr>
        <w:spacing w:after="180" w:before="18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i w:val="1"/>
          <w:rtl w:val="0"/>
        </w:rPr>
        <w:t xml:space="preserve">Таблице 1</w:t>
      </w:r>
      <w:r w:rsidDel="00000000" w:rsidR="00000000" w:rsidRPr="00000000">
        <w:rPr>
          <w:rtl w:val="0"/>
        </w:rPr>
        <w:t xml:space="preserve"> представлены 95% ДИ для среднего в случае количественных данных и 95% ДИ Уилсона для порядковых и качественных показателей.</w:t>
      </w:r>
    </w:p>
    <w:p w:rsidR="00000000" w:rsidDel="00000000" w:rsidP="00000000" w:rsidRDefault="00000000" w:rsidRPr="00000000" w14:paraId="00000151">
      <w:pPr>
        <w:spacing w:after="180" w:before="1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Таблица 2.</w:t>
      </w:r>
      <w:r w:rsidDel="00000000" w:rsidR="00000000" w:rsidRPr="00000000">
        <w:rPr>
          <w:rtl w:val="0"/>
        </w:rPr>
        <w:t xml:space="preserve"> Базовые характеристики и их 95% доверительные интервалы</w:t>
      </w: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1275"/>
        <w:gridCol w:w="1155"/>
        <w:gridCol w:w="1365"/>
        <w:gridCol w:w="1110"/>
        <w:gridCol w:w="1545"/>
        <w:gridCol w:w="1275"/>
        <w:tblGridChange w:id="0">
          <w:tblGrid>
            <w:gridCol w:w="1950"/>
            <w:gridCol w:w="1275"/>
            <w:gridCol w:w="1155"/>
            <w:gridCol w:w="1365"/>
            <w:gridCol w:w="1110"/>
            <w:gridCol w:w="1545"/>
            <w:gridCol w:w="127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Overall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1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 = 1,694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95% CI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Плацебо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, N = 847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95% CI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Эргоферон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, N = 847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95% CI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  <w:rtl w:val="0"/>
              </w:rPr>
              <w:t xml:space="preserve">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Пол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Женский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893 / 1,694 (53%)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50%, 55%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446 / 847 (53%)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49%, 56%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447 / 847 (53%)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49%, 56%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Мужской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801 / 1,694 (47%)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45%, 50%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401 / 847 (47%)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44%, 51%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400 / 847 (47%)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44%, 51%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Возраст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29 (4)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29 (4)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28, 29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29 (4)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29, 29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Время_до_улучшения, дни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5.13 (1.10)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5.14 (1.09)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5.1, 5.2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5.12 (1.12)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5.0, 5.2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Лейкоциты_</w:t>
            </w:r>
          </w:p>
          <w:p w:rsidR="00000000" w:rsidDel="00000000" w:rsidP="00000000" w:rsidRDefault="00000000" w:rsidRPr="00000000" w14:paraId="000001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Визит_1, 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6.01 (1.32)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5.96 (1.32)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5.9, 6.1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6.05 (1.31)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6.0, 6.1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Эритроциты_</w:t>
            </w:r>
          </w:p>
          <w:p w:rsidR="00000000" w:rsidDel="00000000" w:rsidP="00000000" w:rsidRDefault="00000000" w:rsidRPr="00000000" w14:paraId="000001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Визит_1, 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5.00 (0.56)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5.00 (0.56)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5.0, 5.0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5.00 (0.57)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5.0, 5.0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Гемоглобин_</w:t>
            </w:r>
          </w:p>
          <w:p w:rsidR="00000000" w:rsidDel="00000000" w:rsidP="00000000" w:rsidRDefault="00000000" w:rsidRPr="00000000" w14:paraId="000001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Визит_1, г/л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133 (8)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134 (8)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133, 134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133 (8)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133, 134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Гематокрит_</w:t>
            </w:r>
          </w:p>
          <w:p w:rsidR="00000000" w:rsidDel="00000000" w:rsidP="00000000" w:rsidRDefault="00000000" w:rsidRPr="00000000" w14:paraId="000001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0.413 (0.022)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0.413 (0.023)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0.41, 0.41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0.412 (0.022)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0.41, 0.41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Тромбоциты_</w:t>
            </w:r>
          </w:p>
          <w:p w:rsidR="00000000" w:rsidDel="00000000" w:rsidP="00000000" w:rsidRDefault="00000000" w:rsidRPr="00000000" w14:paraId="0000019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Визит_1,х10^9/л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301 (30)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301 (31)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299, 303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300 (29)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298, 302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Нейтрофилы_</w:t>
            </w:r>
          </w:p>
          <w:p w:rsidR="00000000" w:rsidDel="00000000" w:rsidP="00000000" w:rsidRDefault="00000000" w:rsidRPr="00000000" w14:paraId="000001A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3.47 (1.01)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3.51 (1.03)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3.4, 3.6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3.42 (0.98)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3.4, 3.5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Лимфоциты_</w:t>
            </w:r>
          </w:p>
          <w:p w:rsidR="00000000" w:rsidDel="00000000" w:rsidP="00000000" w:rsidRDefault="00000000" w:rsidRPr="00000000" w14:paraId="000001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1.51 (0.32)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1.51 (0.31)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1.5, 1.5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1.52 (0.33)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1.5, 1.5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Моноциты_</w:t>
            </w:r>
          </w:p>
          <w:p w:rsidR="00000000" w:rsidDel="00000000" w:rsidP="00000000" w:rsidRDefault="00000000" w:rsidRPr="00000000" w14:paraId="000001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0.0999 (0.0034)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0.0998 (0.0049)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0.1000 (0.0000)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Эозинофилы_</w:t>
            </w:r>
          </w:p>
          <w:p w:rsidR="00000000" w:rsidDel="00000000" w:rsidP="00000000" w:rsidRDefault="00000000" w:rsidRPr="00000000" w14:paraId="000001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0.1000 (0.0000)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0.1000 (0.0000)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0.1000 (0.0000)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Базофилы_</w:t>
            </w:r>
          </w:p>
          <w:p w:rsidR="00000000" w:rsidDel="00000000" w:rsidP="00000000" w:rsidRDefault="00000000" w:rsidRPr="00000000" w14:paraId="000001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Визит_1,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0.0026 (0.0159)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0.0026 (0.0159)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0.00, 0.00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0.0026 (0.0159)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0.00, 0.00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Отклонения_</w:t>
            </w:r>
          </w:p>
          <w:p w:rsidR="00000000" w:rsidDel="00000000" w:rsidP="00000000" w:rsidRDefault="00000000" w:rsidRPr="00000000" w14:paraId="000001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ЭКГ_Визит_1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1,653 / 1,694 (98%)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97%, 98%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829 / 847 (98%)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97%, 99%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824 / 847 (97%)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96%, 98%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41 / 1,694 (2.4%)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1.8%, 3.3%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18 / 847 (2.1%)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1.3%, 3.4%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23 / 847 (2.7%)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1.8%, 4.1%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Отклонения_Физ_осмотр_Визит_1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1,656 / 1,694 (98%)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97%, 98%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829 / 847 (98%)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97%, 99%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827 / 847 (98%)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96%, 99%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38 / 1,694 (2.2%)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1.6%, 3.1%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18 / 847 (2.1%)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1.3%, 3.4%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20 / 847 (2.4%)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1.5%, 3.7%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Отклонения_Вит_показатели_Визит_1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1,677 / 1,694 (99%)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98%, 99%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839 / 847 (99%)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98%, 100%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838 / 847 (99%)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98%, 99%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17 / 1,694 (1.0%)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0.60%, 1.6%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 / 847 (0.9%)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0.44%, 1.9%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 / 847 (1.1%)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0.52%, 2.1%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Лейкоциты_</w:t>
            </w:r>
          </w:p>
          <w:p w:rsidR="00000000" w:rsidDel="00000000" w:rsidP="00000000" w:rsidRDefault="00000000" w:rsidRPr="00000000" w14:paraId="000002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Визит_2, 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5.97 (1.33)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5.96 (1.32)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5.9, 6.0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5.98 (1.35)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5.9, 6.1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Эритроциты_</w:t>
            </w:r>
          </w:p>
          <w:p w:rsidR="00000000" w:rsidDel="00000000" w:rsidP="00000000" w:rsidRDefault="00000000" w:rsidRPr="00000000" w14:paraId="0000021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Визит_2, 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5.00 (0.57)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5.00 (0.58)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5.0, 5.0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5.00 (0.57)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5.0, 5.0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Гемоглобин_</w:t>
            </w:r>
          </w:p>
          <w:p w:rsidR="00000000" w:rsidDel="00000000" w:rsidP="00000000" w:rsidRDefault="00000000" w:rsidRPr="00000000" w14:paraId="000002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Визит_2, г/л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134 (8)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134 (8)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133, 134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133 (8)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133, 134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Гематокрит_</w:t>
            </w:r>
          </w:p>
          <w:p w:rsidR="00000000" w:rsidDel="00000000" w:rsidP="00000000" w:rsidRDefault="00000000" w:rsidRPr="00000000" w14:paraId="000002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0.412 (0.022)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0.412 (0.022)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0.41, 0.41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0.411 (0.022)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0.41, 0.41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Тромбоциты_</w:t>
            </w:r>
          </w:p>
          <w:p w:rsidR="00000000" w:rsidDel="00000000" w:rsidP="00000000" w:rsidRDefault="00000000" w:rsidRPr="00000000" w14:paraId="000002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Визит_2,х10^9/л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300 (31)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301 (29)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299, 303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300 (32)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297, 302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Нейтрофилы_</w:t>
            </w:r>
          </w:p>
          <w:p w:rsidR="00000000" w:rsidDel="00000000" w:rsidP="00000000" w:rsidRDefault="00000000" w:rsidRPr="00000000" w14:paraId="000002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3.47 (1.01)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3.41 (1.01)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3.3, 3.5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3.53 (1.02)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3.5, 3.6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Лимфоциты_</w:t>
            </w:r>
          </w:p>
          <w:p w:rsidR="00000000" w:rsidDel="00000000" w:rsidP="00000000" w:rsidRDefault="00000000" w:rsidRPr="00000000" w14:paraId="000002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1.51 (0.32)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1.51 (0.32)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1.5, 1.5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1.51 (0.32)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1.5, 1.5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Моноциты_</w:t>
            </w:r>
          </w:p>
          <w:p w:rsidR="00000000" w:rsidDel="00000000" w:rsidP="00000000" w:rsidRDefault="00000000" w:rsidRPr="00000000" w14:paraId="000002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0.0998 (0.0042)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0.0998 (0.0049)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0.10, 0.10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0.0999 (0.0034)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0.10, 0.10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Эозинофилы_</w:t>
            </w:r>
          </w:p>
          <w:p w:rsidR="00000000" w:rsidDel="00000000" w:rsidP="00000000" w:rsidRDefault="00000000" w:rsidRPr="00000000" w14:paraId="000002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0.0997 (0.0054)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0.0998 (0.0049)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0.10, 0.10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0.0996 (0.0059)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0.10, 0.10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Базофилы_Визит_2, х 10^9/л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0.0017 (0.0128)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0.0014 (0.0118)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0.00, 0.00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0.0019 (0.0136)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0.00, 0.00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Отклонения_ЭКГ_Визит_2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1,654 / 1,694 (98%)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97%, 98%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830 / 847 (98%)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97%, 99%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824 / 847 (97%)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96%, 98%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40 / 1,694 (2.4%)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1.7%, 3.2%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17 / 847 (2.0%)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1.2%, 3.3%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23 / 847 (2.7%)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1.8%, 4.1%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Отклонения_Физ_осмотр_Визит_2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1,646 / 1,694 (97%)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96%, 98%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822 / 847 (97%)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96%, 98%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824 / 847 (97%)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96%, 98%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48 / 1,694 (2.8%)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2.1%, 3.8%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25 / 847 (3.0%)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2.0%, 4.4%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23 / 847 (2.7%)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1.8%, 4.1%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Отклонения_Вит_показатели_Визит_2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1,676 / 1,694 (99%)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98%, 99%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835 / 847 (99%)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97%, 99%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841 / 847 (99%)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98%, 100%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18 / 1,694 (1.1%)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0.65%, 1.7%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12 / 847 (1.4%)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0.77%, 2.5%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6 / 847 (0.7%)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0.29%, 1.6%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gridSpan w:val="7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 / N (%); Mean (SD)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7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 = Confidence Interval (</w:t>
            </w:r>
            <w:r w:rsidDel="00000000" w:rsidR="00000000" w:rsidRPr="00000000">
              <w:rPr>
                <w:rtl w:val="0"/>
              </w:rPr>
              <w:t xml:space="preserve">95% ДИ для среднего в случае количественных данных и 95% ДИ Уилсона для порядковых и качественных показателей)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spacing w:after="180" w:before="18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b w:val="1"/>
          <w:rtl w:val="0"/>
        </w:rPr>
        <w:t xml:space="preserve">Таблица 3.</w:t>
      </w:r>
      <w:r w:rsidDel="00000000" w:rsidR="00000000" w:rsidRPr="00000000">
        <w:rPr>
          <w:rtl w:val="0"/>
        </w:rPr>
        <w:t xml:space="preserve"> Сравнение групп Плацебо и Эргоферон по демографическим и другим исходным данным</w:t>
      </w:r>
    </w:p>
    <w:tbl>
      <w:tblPr>
        <w:tblStyle w:val="Table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0"/>
        <w:gridCol w:w="1680"/>
        <w:gridCol w:w="1965"/>
        <w:gridCol w:w="1020"/>
        <w:tblGridChange w:id="0">
          <w:tblGrid>
            <w:gridCol w:w="4230"/>
            <w:gridCol w:w="1680"/>
            <w:gridCol w:w="1965"/>
            <w:gridCol w:w="102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A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N = 847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Эргоферон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2B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N = 847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100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p-value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Пол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&gt;0.9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Женский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446 (52.7%)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447 (52.8%)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3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Мужской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401 (47.3%)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 (47.2%)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Возраст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28.7 (3.8)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28.8 (3.9)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Лейкоциты_Визит_1, х10^9/л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 (1.3)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6.0 (1.3)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Эритроциты_Визит_1, х10^9/л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 (0.6)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5.0 (0.6)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Гемоглобин_Визит_1, г/л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133.6 (8.1)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133.2 (7.8)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Гематокрит_Визит_1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 (0.0)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 (0.0)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Тромбоциты_Визит_1,х10^9/л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300.6 (30.6)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300.4 (29.2)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Нейтрофилы_Визит_1, х 10^9/л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 (1.0)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 (1.0)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0.072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Лимфоциты_Визит_1, х 10^9/л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(0.3)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 (0.3)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Моноциты_Визит_1, х 10^9/л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 (0.0)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 (0.0)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Эозинофилы_Визит_1, х 10^9/л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 (0.0)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 (0.0)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Базофилы_Визит_1, х 10^9/л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(0.0)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 (0.0)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&gt;0.9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Отклонения_ЭКГ_Визит_1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(2.1%)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(2.7%)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Отклонения_Физ_осмотр_Визит_1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(2.1%)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(2.4%)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Отклонения_Вит_показатели_Визит_1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(0.9%)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(1.1%)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&gt;0.9</w:t>
            </w:r>
          </w:p>
        </w:tc>
      </w:tr>
      <w:tr>
        <w:trPr>
          <w:cantSplit w:val="0"/>
          <w:trHeight w:val="295.92529296874994" w:hRule="atLeast"/>
          <w:tblHeader w:val="0"/>
        </w:trPr>
        <w:tc>
          <w:tcPr>
            <w:gridSpan w:val="4"/>
            <w:tcBorders>
              <w:top w:color="000000" w:space="0" w:sz="5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n (%); Mean (SD)</w:t>
            </w:r>
          </w:p>
        </w:tc>
      </w:tr>
      <w:tr>
        <w:trPr>
          <w:cantSplit w:val="0"/>
          <w:trHeight w:val="661.059570312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Pearson's Chi-squared test; Welch Two Sample t-test (поправки на множественные сравнения не производились)</w:t>
            </w:r>
          </w:p>
        </w:tc>
      </w:tr>
    </w:tbl>
    <w:p w:rsidR="00000000" w:rsidDel="00000000" w:rsidP="00000000" w:rsidRDefault="00000000" w:rsidRPr="00000000" w14:paraId="000002F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Как видно, из </w:t>
      </w:r>
      <w:r w:rsidDel="00000000" w:rsidR="00000000" w:rsidRPr="00000000">
        <w:rPr>
          <w:i w:val="1"/>
          <w:rtl w:val="0"/>
        </w:rPr>
        <w:t xml:space="preserve">Таблицы 3</w:t>
      </w:r>
      <w:r w:rsidDel="00000000" w:rsidR="00000000" w:rsidRPr="00000000">
        <w:rPr>
          <w:rtl w:val="0"/>
        </w:rPr>
        <w:t xml:space="preserve"> при сравнении групп Плацебо и Эргоферон по возрасту, полу, данным клинического анализа крови на Визите 1, наличию отклонений по результатам ЭКГ, физикального осмотра и оценки витальных показателей статистически значимых различий не обнаружено.</w:t>
      </w:r>
    </w:p>
    <w:p w:rsidR="00000000" w:rsidDel="00000000" w:rsidP="00000000" w:rsidRDefault="00000000" w:rsidRPr="00000000" w14:paraId="000002FF">
      <w:pPr>
        <w:pStyle w:val="Heading2"/>
        <w:numPr>
          <w:ilvl w:val="0"/>
          <w:numId w:val="2"/>
        </w:numPr>
        <w:ind w:left="720" w:hanging="36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Анализ первичной конечной точки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Для проверки основной гипотезы исследования в качестве первичной конечной точки выбрано среднее время от появления симптомов ОРВИ (в днях) до улучшения состояния пациента. В ходе анализа конечной точки статистически значимых различий выявлено не было, H0 не отвергается, то есть на основании имеющихся данных мы не можем сделать вывод о различии эффектов препарата Эргоферон и плацебо на время от появления симптомов ОРВИ (в днях) до улучшения состояния пациента.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200"/>
        <w:gridCol w:w="1215"/>
        <w:gridCol w:w="1095"/>
        <w:gridCol w:w="1065"/>
        <w:gridCol w:w="1170"/>
        <w:gridCol w:w="1185"/>
        <w:gridCol w:w="1215"/>
        <w:tblGridChange w:id="0">
          <w:tblGrid>
            <w:gridCol w:w="1275"/>
            <w:gridCol w:w="1200"/>
            <w:gridCol w:w="1215"/>
            <w:gridCol w:w="1095"/>
            <w:gridCol w:w="1065"/>
            <w:gridCol w:w="1170"/>
            <w:gridCol w:w="1185"/>
            <w:gridCol w:w="121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666666" w:space="0" w:sz="12" w:val="single"/>
              <w:left w:color="000000" w:space="0" w:sz="8" w:val="single"/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estimate1</w:t>
            </w:r>
          </w:p>
        </w:tc>
        <w:tc>
          <w:tcPr>
            <w:tcBorders>
              <w:top w:color="666666" w:space="0" w:sz="12" w:val="single"/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estimate2</w:t>
            </w:r>
          </w:p>
        </w:tc>
        <w:tc>
          <w:tcPr>
            <w:tcBorders>
              <w:top w:color="666666" w:space="0" w:sz="12" w:val="single"/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statistic</w:t>
            </w:r>
          </w:p>
        </w:tc>
        <w:tc>
          <w:tcPr>
            <w:tcBorders>
              <w:top w:color="666666" w:space="0" w:sz="12" w:val="single"/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p.value</w:t>
            </w:r>
          </w:p>
        </w:tc>
        <w:tc>
          <w:tcPr>
            <w:tcBorders>
              <w:top w:color="666666" w:space="0" w:sz="12" w:val="single"/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conf.low</w:t>
            </w:r>
          </w:p>
        </w:tc>
        <w:tc>
          <w:tcPr>
            <w:tcBorders>
              <w:top w:color="666666" w:space="0" w:sz="12" w:val="single"/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conf.high</w:t>
            </w:r>
          </w:p>
        </w:tc>
        <w:tc>
          <w:tcPr>
            <w:tcBorders>
              <w:top w:color="666666" w:space="0" w:sz="12" w:val="single"/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method</w:t>
            </w:r>
          </w:p>
        </w:tc>
        <w:tc>
          <w:tcPr>
            <w:tcBorders>
              <w:top w:color="666666" w:space="0" w:sz="12" w:val="single"/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alternative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left w:color="000000" w:space="0" w:sz="8" w:val="single"/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5.125</w:t>
            </w:r>
          </w:p>
        </w:tc>
        <w:tc>
          <w:tcPr>
            <w:tcBorders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5.141</w:t>
            </w:r>
          </w:p>
        </w:tc>
        <w:tc>
          <w:tcPr>
            <w:tcBorders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-0.173</w:t>
            </w:r>
          </w:p>
        </w:tc>
        <w:tc>
          <w:tcPr>
            <w:tcBorders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0.863</w:t>
            </w:r>
          </w:p>
        </w:tc>
        <w:tc>
          <w:tcPr>
            <w:tcBorders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-0.204</w:t>
            </w:r>
          </w:p>
        </w:tc>
        <w:tc>
          <w:tcPr>
            <w:tcBorders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righ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0.171</w:t>
            </w:r>
          </w:p>
        </w:tc>
        <w:tc>
          <w:tcPr>
            <w:tcBorders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Two-sample z-Test</w:t>
            </w:r>
          </w:p>
        </w:tc>
        <w:tc>
          <w:tcPr>
            <w:tcBorders>
              <w:bottom w:color="666666" w:space="0" w:sz="12" w:val="single"/>
              <w:right w:color="000000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two.sided</w:t>
            </w:r>
          </w:p>
        </w:tc>
      </w:tr>
    </w:tbl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В ходе оценки эффективности препарата сделан вывод об отсутствии превосходящего эффекта препарата Эргоферон над плацебо, поскольку правая граница 95% ДИ не пересекла заданную границу превосходства в -1 день, то есть клинически значимый эффект отсутствует.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Оценка безопасности </w:t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Нежелательными явлениями считались отклонения, развившиеся после приема исследуемого препарата, при отсутствии изменений на скрининге, а также изменение степени тяжести отклонений, выявленных на скрининге. В ходе исследования не было зарегистрировано серьезных нежелательных явлений, а также данных о токсических, аллергических, неврологических осложнениях.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Случаи досрочного прекращения участия добровольцев в исследовании вследствие развития НЯ/СНЯ, связанных с применением препаратов исследования отсутствуют.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Данные о НЯ по лабораторным показателям отсутствуют.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В ходе исследования НЯ тяжелой степени (2 балла по шкале) не были выявлены.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Все имеющиеся данные об отклонениях представлены в </w:t>
      </w:r>
      <w:r w:rsidDel="00000000" w:rsidR="00000000" w:rsidRPr="00000000">
        <w:rPr>
          <w:i w:val="1"/>
          <w:rtl w:val="0"/>
        </w:rPr>
        <w:t xml:space="preserve">Таблице 4.</w:t>
      </w:r>
    </w:p>
    <w:p w:rsidR="00000000" w:rsidDel="00000000" w:rsidP="00000000" w:rsidRDefault="00000000" w:rsidRPr="00000000" w14:paraId="000003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Таблица 4. </w:t>
      </w:r>
      <w:r w:rsidDel="00000000" w:rsidR="00000000" w:rsidRPr="00000000">
        <w:rPr>
          <w:rtl w:val="0"/>
        </w:rPr>
        <w:t xml:space="preserve">Данные об отклонениях легкой степени тяжести (1 балл по шкале) на Визите 1 и 2 в исследуемых группах:</w:t>
      </w:r>
    </w:p>
    <w:tbl>
      <w:tblPr>
        <w:tblStyle w:val="Table5"/>
        <w:tblpPr w:leftFromText="180" w:rightFromText="180" w:topFromText="180" w:bottomFromText="180" w:vertAnchor="text" w:horzAnchor="text" w:tblpX="120" w:tblpY="251.46484375000114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95"/>
        <w:gridCol w:w="1770"/>
        <w:gridCol w:w="2055"/>
        <w:gridCol w:w="1050"/>
        <w:tblGridChange w:id="0">
          <w:tblGrid>
            <w:gridCol w:w="4095"/>
            <w:gridCol w:w="1770"/>
            <w:gridCol w:w="2055"/>
            <w:gridCol w:w="10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3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N = 847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Эргоферон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3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N = 847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right="100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p-value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Визит 1: отклонения по ЭКГ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(2.1%)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(2.7%)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Визит 1: отклонения по данным осмотра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 (2.1%)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(2.4%)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Визит 1: отклонения по данным витальных показателей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(0.9%)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(1.1%)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&gt;0.9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Визит 2: отклонения по ЭКГ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(2.0%)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(2.7%)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Визит 2: отклонения по данным осмотра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(3.0%)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(2.7%)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Визит 2: отклонения по данным витальных показателей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(1.4%)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(0.7%)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rHeight w:val="445.92529296874994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both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n (%)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both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Pearson's Chi-squared test (поправки на множественные сравнения не производились)</w:t>
            </w:r>
          </w:p>
          <w:p w:rsidR="00000000" w:rsidDel="00000000" w:rsidP="00000000" w:rsidRDefault="00000000" w:rsidRPr="00000000" w14:paraId="000003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Проведено сравнение количества НЯ между исследуемыми группами (</w:t>
            </w:r>
            <w:r w:rsidDel="00000000" w:rsidR="00000000" w:rsidRPr="00000000">
              <w:rPr>
                <w:i w:val="1"/>
                <w:rtl w:val="0"/>
              </w:rPr>
              <w:t xml:space="preserve">Таблица 5</w:t>
            </w:r>
            <w:r w:rsidDel="00000000" w:rsidR="00000000" w:rsidRPr="00000000">
              <w:rPr>
                <w:rtl w:val="0"/>
              </w:rPr>
              <w:t xml:space="preserve">):</w:t>
            </w:r>
          </w:p>
        </w:tc>
      </w:tr>
    </w:tbl>
    <w:p w:rsidR="00000000" w:rsidDel="00000000" w:rsidP="00000000" w:rsidRDefault="00000000" w:rsidRPr="00000000" w14:paraId="0000034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Таблица 5. </w:t>
      </w:r>
      <w:r w:rsidDel="00000000" w:rsidR="00000000" w:rsidRPr="00000000">
        <w:rPr>
          <w:rtl w:val="0"/>
        </w:rPr>
        <w:t xml:space="preserve">Количество НЯ в исследуемых группах</w:t>
      </w:r>
    </w:p>
    <w:p w:rsidR="00000000" w:rsidDel="00000000" w:rsidP="00000000" w:rsidRDefault="00000000" w:rsidRPr="00000000" w14:paraId="0000034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5"/>
        <w:gridCol w:w="1815"/>
        <w:gridCol w:w="2100"/>
        <w:gridCol w:w="1050"/>
        <w:tblGridChange w:id="0">
          <w:tblGrid>
            <w:gridCol w:w="4005"/>
            <w:gridCol w:w="1815"/>
            <w:gridCol w:w="2100"/>
            <w:gridCol w:w="105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Characteristic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Плацебо</w:t>
            </w:r>
            <w:r w:rsidDel="00000000" w:rsidR="00000000" w:rsidRPr="00000000">
              <w:rPr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3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N = 847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Эргоферон</w:t>
            </w:r>
            <w:r w:rsidDel="00000000" w:rsidR="00000000" w:rsidRPr="00000000">
              <w:rPr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100" w:right="100" w:firstLine="0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 N = 847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0" w:right="100" w:firstLine="0"/>
              <w:jc w:val="left"/>
              <w:rPr>
                <w:sz w:val="36"/>
                <w:szCs w:val="36"/>
                <w:vertAlign w:val="superscript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p-value</w:t>
            </w: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НЯ: отклонения по ЭКГ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(2.0%)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(2.7%)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НЯ: отклонения по данным осмотра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(2.8%)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(2.5%)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rPr/>
            </w:pPr>
            <w:r w:rsidDel="00000000" w:rsidR="00000000" w:rsidRPr="00000000">
              <w:rPr>
                <w:rtl w:val="0"/>
              </w:rPr>
              <w:t xml:space="preserve">НЯ: отклонения по данным витальных показателей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(1.4%)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(0.7%)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both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n (%)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00" w:before="100" w:lineRule="auto"/>
              <w:ind w:left="100" w:right="100" w:firstLine="0"/>
              <w:jc w:val="both"/>
              <w:rPr/>
            </w:pPr>
            <w:r w:rsidDel="00000000" w:rsidR="00000000" w:rsidRPr="00000000">
              <w:rPr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Pearson's Chi-squared test (поправки на множественные сравнения не производились)</w:t>
            </w:r>
          </w:p>
        </w:tc>
      </w:tr>
    </w:tbl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Статистически значимых различий (при уровне значимости 0.05) в количестве НЯ между группами не выявлено.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w7rPw+kkLxuMu2U4pq6tStUjw==">CgMxLjAyCGguZ2pkZ3hzMgloLjMwajB6bGwyCWguMWZvYjl0ZTIJaC4zem55c2g3OAByITFwY3QwV3k0QWV5UmE4eV9XcmVTQlN5VkR5LW00am9nRw==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