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adagvhd == 960 строк (острая РТПХ)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Identifier – ID исследования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Study Site Identifier – ID центра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Unique Subject Identifier – ID участника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of GVHD diagnosis established – как выставлялся диагноз (MAGIC, subjectivly, IBMTR, Gluckberg)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Grade of acute GVHD at the time of diagnosis – стадия о тпх во время установки диагноза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Acute GVHD localisation – пораженный орган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Acute GVHD localisation (N) – то же в числовом виде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Acute GVHD stage – стадия о тпх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Acute GVHD stage (N) – стадия о тпх в числовом виде (опять?)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Was refractoriness to steroids determinated? – рефрактерность к стероидам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line of therapy, which stated refractoriness – линия терапии, на которой была установлена рефрактерность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Рефрактивность к Стероидам Флаг – то же, в формате да-нет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Flag of Cross Syndrome – синдром перекреста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adcgvhd == 1970 строк (хроническая РТПХ)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Study Identifier – ID исследования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Study Site Identifier – ID центра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Unique Subject Identifier – ID участника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of GVHD diagnosis established – как выставлялся диагноз (NIH2014, subjectivly)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status of the patient at the time of examination (как это оценивалось?) – функциональный статус во время обследования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Еще раз (зачем?)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Type of chronic GVHD severity assessment – как определяли тяжесть хрони (NIH2014, subjectivly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Severity of chronic GVHD at the time of diagnosis – тяжесть хрони на момент диагноза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Severity of chronic GVHD at the time of diagnosis – то же, в числовом виде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NIH 2014 criteria – какие-то органы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Chronic GVHD localisation (N) – то же в числовом виде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of the degree of damage according to the NIH 2014 criteria – степень урона по критериям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Assessment of the degree of damage according to the NIH 2014 criteria (N) – то же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Flag of Cross Syndrome – был ли кросс-синдром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Рефрактивность к Стероидам Флаг – есть ли рефрактерность к стероидам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ADCM_A == 235 строк (терапия ОРТПХ)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USUBJID – ID участника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Drug name – имя препарата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ATC name – название лекарственной группы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Indication – показание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Therapy line – линия терапии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Indication (N) – показание в числовом виде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LOTn – линия терапии (повтор)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date of therapy – начало терапии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date of therapy – конец терапии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therapy was completed – флаг, была ли терапия завершена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Tretment Result Progression Flag – была ли прогрессия во время терапии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Иммуносупрессант – флаг, является ли препарат иммуносупрессантом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 Continue Flag – надо уточнить, что это значит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Therapy Outcome – исход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ADCM_C == 211 строк (терапия ХРТПХ)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USUBJID – ID участника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Drug name – имя препарата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ATC name – название лекарственной группы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Indication – показание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Therapy line – линия терапии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Indication (N) – показание в числовом виде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LOTn – линия терапии (повтор)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Start date of therapy – начало терапии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date of therapy – конец терапии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therapy was completed – флаг, была ли терапия завершена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Tretment Result Progression Flag – была ли прогрессия во время терапии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Иммуносупрессант – флаг, является ли препарат иммуносупрессантом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 Continue Flag – надо уточнить, что это значит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Therapy Outcome – исход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ADCM_X == 14 строк (терапия оверлапа)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USUBJID – ID участника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Drug name – имя препарата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ATC name – название лекарственной группы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Indication – показание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Therapy line – линия терапии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Indication (N) – показание в числовом виде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LOTn – линия терапии (повтор)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 date of therapy – начало терапии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 date of therapy – конец терапии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therapy was completed – флаг, была ли терапия завершена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Tretment Result Progression Flag – была ли прогрессия во время терапии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Иммуносупрессант – флаг, является ли препарат иммуносупрессантом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 Continue Flag – надо уточнить, что это значит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Therapy Outcome – исход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ADSL == 343 строки (сборная солянка)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Study Identifier – ID исследования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Study Site Identifier – ID центра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Subject Identifier for the Study – порядковый номер участника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Unique Subject Identifier – ID участника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Sex – пол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Sex(n) – пол в числовой кодировке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Date/Time of Birth – дата рождения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ICD-10 Code – МКБ-10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Age at Transplantation – возраст на момент трансплантации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Age at Transplantation Group – категориальное обозначение возраста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Number of allogenic transplant after which GVHD was registered – количество алло-ТГСК, после которых была зарегистрирована РТПХ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Allogeneic transplant type – тип алло-тгск (MMUD, MRD, MUD, Haplo)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Date of Transplantation – дата пересадки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Allogenic transplant source – источник трансплантата (BSC, BM)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Conditioning scheme – схема лечения (с этим надо что-то делать)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Other conditioning scheme – схема лечения, если other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Conditioning type –  тип лечения (RIC и MAC)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Death Flag – погиб ли пациент (когда закончили наблюдение?)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Date of Death – дата гибели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Relapse Flag – наличие рецидива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Relapse Date – дата рецидива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Treatment Failure Flag for Acute GVHD – было ли лечение неудачным (при ОРТПХ)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Date of Treatment Failure for Acute GVHD – дата неудачного лечения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Treatment Failure Flag for Chronic GVHD – было ли лечение неудачным (при ХРТПХ)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Date of Treatment Failure for Chronic GVHD – дата неудачного лечения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Last Contact Date – дата последнего взаимодействия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Flag of Acute GVHD – наличие ОРТПХ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Date of Acute GVHD Diagnosis – дата выставления диагноза ОРТПХ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Age at Acute GVHD Diagnosis – возраст выставления диагноза ОРТПХ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Flag of Chronic GVHD – наличие ХРТПХ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Date of Chronic GVHD Diagnosis – дата выставления диагноза ХРТПХ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Age at Chronic GVHD Diagnosis – возраст выставления диагноза ХРТПХ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Flag of Cross Syndrome – наличие оверлап-синдрома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Лечение РТПХ Флаг – лечили ли пациента (???)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Immunosupress Therapy was refused – отказ от иммуносупрессантов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GVHD_FORM</w:t>
      </w:r>
      <w:r w:rsidDel="00000000" w:rsidR="00000000" w:rsidRPr="00000000">
        <w:rPr>
          <w:i w:val="1"/>
          <w:sz w:val="28"/>
          <w:szCs w:val="28"/>
          <w:rtl w:val="0"/>
        </w:rPr>
        <w:t xml:space="preserve"> == 756 наблюдений (список всех людей с трансплантацией)  – нужны ли нам эти данные?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Study Site Identifier – ID центра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Subject Identifier for the Study – порядковый номер участника (NA, если нет РТПХ)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Unique Subject Identifier – ID участника (NA, если нет РТПХ)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Date of Birth – дата рождения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Date of Transplantation – дата пересадки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Age at Transplantation – возраст на момент трансплантации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GVHD Flag – развилась ли у пациента РТПХ (NA, если нет РТПХ)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gvhd_type</w:t>
      </w:r>
      <w:r w:rsidDel="00000000" w:rsidR="00000000" w:rsidRPr="00000000">
        <w:rPr>
          <w:i w:val="1"/>
          <w:sz w:val="28"/>
          <w:szCs w:val="28"/>
          <w:rtl w:val="0"/>
        </w:rPr>
        <w:t xml:space="preserve"> == 415 наблюдений (эзотерический датасет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лист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 – порядковый номер (не факт, что он совпадает)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Дата рождения – самоочевидно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Дата проведения АТГСК – самоочевидно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Развитие острой или хронической РТПХ – перекодировать в нормальные обозначения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 пациента в эИРК – уточнить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вид тгск – самоочевидно (родственная_гаплоидентичная, аллогенная_неродственная, аллогенная_родственная)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лист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то же для части наблюдений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имеется, видимо, дата рождения донора – последняя колонка с датой; и дата выписки (операции?) – предпоследняя колонка с датой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лист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как лист 2, но заполнен аккуратнее, и есть заполненные пропуски из листа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AGVHD_20230119_120304 – 1200 наблюдений (характеристика острой РТПХ) (</w:t>
      </w:r>
      <w:r w:rsidDel="00000000" w:rsidR="00000000" w:rsidRPr="00000000">
        <w:rPr>
          <w:u w:val="single"/>
          <w:shd w:fill="93c47d" w:val="clear"/>
          <w:rtl w:val="0"/>
        </w:rPr>
        <w:t xml:space="preserve">двойные названия столбцов!</w:t>
      </w:r>
      <w:r w:rsidDel="00000000" w:rsidR="00000000" w:rsidRPr="00000000">
        <w:rPr>
          <w:shd w:fill="93c47d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AGVHDOCC – факт наличия ОРТПХ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AGVHDGR – стадия ОРТПХ в момент диагноза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AGVHDLOC – пораженный орган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AGVHDST – стадия для органа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hd w:fill="b6d7a8" w:val="clear"/>
          <w:rtl w:val="0"/>
        </w:rPr>
        <w:t xml:space="preserve">CGVHD_20230119_120304 – 2167 наблюдений (характеристика хронической РТПХ)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двойные названия столбцов!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CGVHDOCC – факт наличия ХРТПХ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PTSTAT – состояние пациента в момент обследования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SEVTYPE – как устанавливали ХРТПХ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TYPEOTH –просто столбец с NA (убираем)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SEVGRADE – степень тяжести в момент установления диагноза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CGVHDLOC – критерий NIH 2014 criteria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DAMDEG – степень повреждения для каждого из критериев NIH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CM_20230119_120304 –  583 наблюдения (характеристики лечения)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GVHDTRYN – получал ли пациент лечение? (а почему не получал?)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REPDRUG – сообщенное название препарата (грохнем колонку?)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DRUGC – название препарата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DRUGN – название препарата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INGR – состав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ATCC – код по ATC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ATCN – группа ATC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TRIND – показание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LOT – линия терапии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TRSTDTC – дата начала терапии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TRENDTC – дата окончания терапии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TRONG –  уточнить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TRRESP – ответ на терапию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RESPEV – оценка исхода терапии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DM_20230119_120304 – 343 наблюдений (демография)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BIRTHDTC – дата рождения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SEX – пол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GVHD_20230119_120304 – 1029 наблюдений (факт РТПХ)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GVHDCAT – тип РТПХ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GVHDYN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был ли установлен диагноз РТПХ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GVHDDTC – дата диагноза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GVHDAGE – возраст на момент установления диагноза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GVHDMETH – метод установления диагноза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GVHDOTHM – колонка с NA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PREV_20230119_120304 – 343 наблюдения (профилактика)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PRSTDTC – начало профилактики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PRSCHEM – схема профилактики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SCHEMOTH – другая схема профилактики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TIMGDOSE – суммарная доза тимоглобулина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HATGDOSE – доза лошадинного ATG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PRENDTC – конец профилактики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RS_20230119_120304 – 434 наблюдений (рефрактерность к ГКС)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REFSTYN – определение рефрактерности к стероидам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REFSTDTC – определение даты рефрактерности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REFSTLOT – линия терапии, в которой была зафиксирована рефрактерность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STAT_20230119_120304 – 343 наблюдения (общая выживаемость и рецедивы)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rtl w:val="0"/>
        </w:rPr>
        <w:t xml:space="preserve">PTSTAT – жив пациент или умер </w:t>
      </w:r>
      <w:r w:rsidDel="00000000" w:rsidR="00000000" w:rsidRPr="00000000">
        <w:rPr>
          <w:u w:val="single"/>
          <w:rtl w:val="0"/>
        </w:rPr>
        <w:t xml:space="preserve">(переименовано в ALIVE из-за свопадения названия)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LCDTC – дата, к которой относится последний контакт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DEATHDTC – дата гибели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RELAPYN – был ли рецидив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RELAPDTC – дата рецидива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TR_20230119_120304 –  343 наблюдения (технология трансплантации)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TRNUM – после скольки трансплантаций развилась GVHD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TRTYPE – тип трансплантата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TRDTC – дата алло-тгск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TRSOURCE – источник трансплантата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COND – схема лечения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CONDOTH – другая схема лечения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CONDTYPE – тип лечения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TU_20230119_120304 – 343 наблюдения (основной диагноз)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SITE – ID центра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SUBJID – иной ID участника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ICD – МКБ-10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TUTERM – основной диагноз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LLTC – код LLT (что это?)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LLTN (почти не отличается от TUTERM)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PTC – код PTC (что это?)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PTN – третий вариант написания диагноза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PSOCC – SOC код (что это?)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PSOCN – группа заболеваний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