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d'analyse stratégique — exercice 2024</w:t>
      </w:r>
    </w:p>
    <w:p>
      <w:pPr>
        <w:spacing w:after="40"/>
      </w:pPr>
      <w:r>
        <w:rPr>
          <w:i/>
          <w:color w:val="595959"/>
          <w:sz w:val="16"/>
        </w:rPr>
        <w:t>Établie le 11/10/2026 ; 5 évolutions retenues ; 603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00563B"/>
              </w:rPr>
              <w:t>Chiffres clés</w:t>
            </w:r>
          </w:p>
          <w:p>
            <w:pPr>
              <w:pStyle w:val="ListBullet"/>
            </w:pPr>
            <w:r>
              <w:t>Le stock de PME : 443 524 (+12,8 % par rapport à 2023).</w:t>
            </w:r>
          </w:p>
          <w:p>
            <w:pPr>
              <w:pStyle w:val="ListBullet"/>
            </w:pPr>
            <w:r>
              <w:t>Les créations de PME dans les CFCE : 21 132 (+7,5 % par rapport à 2023).</w:t>
            </w:r>
          </w:p>
          <w:p>
            <w:pPr>
              <w:pStyle w:val="ListBullet"/>
            </w:pPr>
            <w:r>
              <w:t>Les OES enregistrées : 3 909 (+1,1 % par rapport à 2023).</w:t>
            </w:r>
          </w:p>
          <w:p>
            <w:pPr>
              <w:pStyle w:val="ListBullet"/>
            </w:pPr>
            <w:r>
              <w:t>Les UPA enregistrées : 3 602 (+1,3 % par rapport à 2023).</w:t>
            </w:r>
          </w:p>
          <w:p>
            <w:pPr>
              <w:pStyle w:val="ListBullet"/>
            </w:pPr>
            <w:r>
              <w:t>La valeur ajoutée des PME : 7 291 millions de Francs CFA (+11,8 % par rapport à 2023).</w:t>
            </w:r>
          </w:p>
        </w:tc>
      </w:tr>
    </w:tbl>
    <w:p/>
    <w:p>
      <w:pPr>
        <w:pStyle w:val="Heading1"/>
      </w:pPr>
      <w:r>
        <w:t>Messages clés</w:t>
      </w:r>
    </w:p>
    <w:p>
      <w:pPr>
        <w:pStyle w:val="ListBullet"/>
      </w:pPr>
      <w:r>
        <w:t>En 2024, le stock de PME atteint 443 524, en hausse de 12,8 % par rapport à 2023.</w:t>
      </w:r>
    </w:p>
    <w:p>
      <w:pPr>
        <w:pStyle w:val="ListBullet"/>
      </w:pPr>
      <w:r>
        <w:t>La dynamique la plus forte concerne « TPE » (répartition par typologie) pour la valeur ajoutée des PME : +12,1 % de la valeur ajoutée en un an.</w:t>
      </w:r>
    </w:p>
    <w:p>
      <w:pPr>
        <w:pStyle w:val="ListBullet"/>
      </w:pPr>
      <w:r>
        <w:t>Point de vigilance : les UPA enregistrées reculent pour « Masculin » (répartition par sexe), avec une baisse de 3,9 % de l'effectif par rapport à 2023.</w:t>
      </w:r>
    </w:p>
    <w:p>
      <w:pPr>
        <w:pStyle w:val="Heading1"/>
      </w:pPr>
      <w:r>
        <w:t>Évolutions marquantes</w:t>
      </w:r>
    </w:p>
    <w:p>
      <w:r>
        <w:t>Le stock de PME — Par rapport à 2023, ce total progresse de 12,8 %. Historique trop court pour qualifier une tendance. Aucun objectif documenté dans le corpus.</w:t>
      </w:r>
    </w:p>
    <w:p>
      <w:r>
        <w:t>Les créations de PME dans les CFCE — Par rapport à 2023, ce total progresse de 7,5 %. Par rapport à 2023, dans la répartition par secteur d’activité, l'évolution la plus marquée concerne « Bamenda / Tertiaire » (hausse de 7,9 % de l'effectif). Historique trop court pour qualifier une tendance. Aucun objectif documenté dans le corpus.</w:t>
      </w:r>
    </w:p>
    <w:p>
      <w:r>
        <w:t>La valeur ajoutée des PME — Par rapport à 2023, « VA des PME » progresse de 11,8 %. Par rapport à 2023, dans la répartition par typologie, l'évolution la plus marquée concerne « TPE » (hausse de 12,1 % de la valeur ajoutée). Tendance à la hausse confirmée sur les trois derniers intervalles disponibles. Aucun objectif documenté dans le corpus.</w:t>
      </w:r>
    </w:p>
    <w:p>
      <w:r>
        <w:t>Les OES enregistrées — Par rapport à 2023, ce total progresse de 1,1 %. Par rapport à 2023, dans la répartition par région, l'évolution la plus marquée concerne « Nord-Ouest » (hausse de 5,1 % de l'effectif). Historique trop court pour qualifier une tendance. Aucun objectif documenté dans le corpus.</w:t>
      </w:r>
    </w:p>
    <w:p>
      <w:r>
        <w:t>Les UPA enregistrées — Par rapport à 2023, ce total progresse de 1,3 %. Par rapport à 2023, dans la répartition par sexe, l'évolution la plus marquée concerne « Masculin » (baisse de 3,9 % de l'effectif). Variation ponctuelle (pas de tendance de même sens sur trois intervalles).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Malgré la progression d'ensemble des UPA enregistrées, recul pour « Masculin » (3,9 % de l'effectif).</w:t>
      </w:r>
    </w:p>
    <w:p>
      <w:pPr>
        <w:pStyle w:val="ListBullet"/>
      </w:pPr>
      <w:r>
        <w:t>13 commentaire(s)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Suivre : fixer un objectif de référence pour le stock de PME afin d'apprécier les prochaines évolutions.</w:t>
      </w:r>
    </w:p>
    <w:p>
      <w:pPr>
        <w:pStyle w:val="ListBullet"/>
      </w:pPr>
      <w:r>
        <w:t>Cibler : examiner la situation de « Bamenda / Tertiaire » pour les créations de PME dans les CFCE, afin d'identifier les facteurs locaux de la dynamique observée.</w:t>
      </w:r>
    </w:p>
    <w:p>
      <w:pPr>
        <w:pStyle w:val="ListBullet"/>
      </w:pPr>
      <w:r>
        <w:t>Approfondir : documenter les facteurs de la hausse durable observée pour la valeur ajoutée des PME, afin d'en tirer des enseignements pour l'action publique.</w:t>
      </w:r>
    </w:p>
    <w:p>
      <w:pPr>
        <w:pStyle w:val="ListBullet"/>
      </w:pPr>
      <w:r>
        <w:t>Cibler : examiner la situation de « Nord-Ouest » pour les OES enregistrées, afin d'identifier les facteurs locaux de la dynamique observée.</w:t>
      </w:r>
    </w:p>
    <w:p>
      <w:pPr>
        <w:pStyle w:val="ListBullet"/>
      </w:pPr>
      <w:r>
        <w:t>Suivre : fixer un objectif de référence pour les UPA enregistrées afin d'apprécier les prochaines évolutions.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 2024, tableau 4, p. 18</w:t>
      </w:r>
    </w:p>
    <w:p>
      <w:pPr>
        <w:pStyle w:val="ListBullet"/>
      </w:pPr>
      <w:r>
        <w:t>Annuaire 2024, tableau 8, p. 20</w:t>
      </w:r>
    </w:p>
    <w:p>
      <w:pPr>
        <w:pStyle w:val="ListBullet"/>
      </w:pPr>
      <w:r>
        <w:t>Annuaire 2024, tableau 16, p. 27</w:t>
      </w:r>
    </w:p>
    <w:p>
      <w:pPr>
        <w:pStyle w:val="ListBullet"/>
      </w:pPr>
      <w:r>
        <w:t>Annuaire 2024, tableau 21, p. 30</w:t>
      </w:r>
    </w:p>
    <w:p>
      <w:pPr>
        <w:pStyle w:val="ListBullet"/>
      </w:pPr>
      <w:r>
        <w:t>Annuaire 2024, tableau 29, p. 38</w:t>
      </w:r>
    </w:p>
    <w:p>
      <w:pPr>
        <w:pStyle w:val="ListBullet"/>
      </w:pPr>
      <w:r>
        <w:t>Commentaire de l'indicateur « Répartition du stock des PME en 2024 par région (en %) » — non encore validé</w:t>
      </w:r>
    </w:p>
    <w:p>
      <w:pPr>
        <w:pStyle w:val="ListBullet"/>
      </w:pPr>
      <w:r>
        <w:t>Commentaire de l'indicateur « Répartition et évolution de la proportion PME créées dans les CFCE par secteur d’activité de 2022 à 2024 (en %) » — non encore validé</w:t>
      </w:r>
    </w:p>
    <w:p>
      <w:pPr>
        <w:pStyle w:val="ListBullet"/>
      </w:pPr>
      <w:r>
        <w:t>Commentaire de l'indicateur « Évolution de la VA des PME entre 2018 et 2024 par typologie » — non encore validé</w:t>
      </w:r>
    </w:p>
    <w:p>
      <w:pPr>
        <w:pStyle w:val="ListBullet"/>
      </w:pPr>
      <w:r>
        <w:t>Commentaire de l'indicateur « Évolution du nombre des OES créées de 2020 à 2024 » — non encore validé</w:t>
      </w:r>
    </w:p>
    <w:p>
      <w:pPr>
        <w:pStyle w:val="ListBullet"/>
      </w:pPr>
      <w:r>
        <w:t>Commentaire de l'indicateur « Évolution du nombre d’UPA enregistrées dans les BCA de 2019 à 2024 » — non encore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473710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3710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595959"/>
        <w:sz w:val="18"/>
      </w:rPr>
      <w:t>ANALYS'PME — MINPMEESA — Cellule des Statistiques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6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56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