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595959"/>
          <w:sz w:val="18"/>
        </w:rPr>
        <w:t>MINPMEESA — Cellule des Statistiques</w:t>
      </w:r>
    </w:p>
    <w:p>
      <w:pPr>
        <w:pStyle w:val="Title"/>
      </w:pPr>
      <w:r>
        <w:t>Note d'analyse stratégique — exercice 2023</w:t>
      </w:r>
    </w:p>
    <w:p>
      <w:pPr>
        <w:spacing w:after="40"/>
      </w:pPr>
      <w:r>
        <w:rPr>
          <w:i/>
          <w:color w:val="595959"/>
          <w:sz w:val="16"/>
        </w:rPr>
        <w:t>Établie le 28/09/2026 ; 2 évolutions retenues ; 255 mots ; modèle : extractif (sans modèle de langage)</w:t>
      </w:r>
    </w:p>
    <w:p>
      <w:r>
        <w:rPr>
          <w:b/>
          <w:color w:val="A01E1E"/>
          <w:sz w:val="18"/>
        </w:rPr>
        <w:t>⚠ Texte produit en MODE EXTRACTIF (sans modèle de langage) : gabarits déterministes.</w:t>
      </w:r>
    </w:p>
    <w:p>
      <w:r>
        <w:rPr>
          <w:b/>
          <w:color w:val="A01E1E"/>
          <w:sz w:val="18"/>
        </w:rPr>
        <w:t>⚠ PROVISOIRE : appariement indicateur / tableau non encore validé par double lecture.</w:t>
      </w:r>
    </w:p>
    <w:p>
      <w:r>
        <w:rPr>
          <w:b/>
          <w:color w:val="A01E1E"/>
          <w:sz w:val="18"/>
        </w:rPr>
        <w:t>⚠ Commentaires non encore validés par la Cellule : document à relire.</w:t>
      </w:r>
    </w:p>
    <w:p>
      <w:pPr>
        <w:pStyle w:val="Heading1"/>
      </w:pPr>
      <w:r>
        <w:t>Messages clés</w:t>
      </w:r>
    </w:p>
    <w:p>
      <w:pPr>
        <w:pStyle w:val="ListBullet"/>
      </w:pPr>
      <w:r>
        <w:t>Par rapport à 2022, l'évolution la plus marquée concerne « Féminin » (baisse de 40,0 %).</w:t>
      </w:r>
    </w:p>
    <w:p>
      <w:pPr>
        <w:pStyle w:val="ListBullet"/>
      </w:pPr>
      <w:r>
        <w:t>Par rapport à 2022, l'évolution la plus marquée concerne « Secondaire » (hausse de 25,9 %).</w:t>
      </w:r>
    </w:p>
    <w:p>
      <w:pPr>
        <w:pStyle w:val="Heading1"/>
      </w:pPr>
      <w:r>
        <w:t>Évolutions marquantes</w:t>
      </w:r>
    </w:p>
    <w:p>
      <w:r>
        <w:t>Evolution des UPA enregistrées dans les BC par sexe du promoteur de 2018 à 2023 (en %) : Par rapport à 2022, l'évolution la plus marquée concerne « Féminin » (baisse de 40,0 %). Variation ponctuelle (pas de tendance de même sens sur trois intervalles). Aucun objectif documenté dans le corpus.</w:t>
      </w:r>
    </w:p>
    <w:p>
      <w:r>
        <w:t>Evolution du stock de PME selon le secteur d'activité de 2016 à 2023 (en %) : Par rapport à 2022, l'évolution la plus marquée concerne « Secondaire » (hausse de 25,9 %). Tendance à la hausse confirmée sur les trois derniers intervalles disponibles. Aucun objectif documenté dans le corpus.</w:t>
      </w:r>
    </w:p>
    <w:p>
      <w:pPr>
        <w:pStyle w:val="Heading1"/>
      </w:pPr>
      <w:r>
        <w:t>Points d'attention</w:t>
      </w:r>
    </w:p>
    <w:p>
      <w:pPr>
        <w:pStyle w:val="ListBullet"/>
      </w:pPr>
      <w:r>
        <w:t>Recul observé pour « Evolution des UPA enregistrées dans les BC par sexe du promoteur de 2018 à 2023 (en %) ».</w:t>
      </w:r>
    </w:p>
    <w:p>
      <w:pPr>
        <w:pStyle w:val="ListBullet"/>
      </w:pPr>
      <w:r>
        <w:t>S) mobilisé(s) n'ont pas encore été validés par la Cellule : la note est à relire.</w:t>
      </w:r>
    </w:p>
    <w:p>
      <w:pPr>
        <w:pStyle w:val="Heading1"/>
      </w:pPr>
      <w:r>
        <w:t>Pistes pour la décision</w:t>
      </w:r>
    </w:p>
    <w:p>
      <w:pPr>
        <w:pStyle w:val="ListBullet"/>
      </w:pPr>
      <w:r>
        <w:t>Examiner les causes du recul de « Evolution des UPA enregistrées dans les BC par sexe du promoteur de 2018 à 2023 (en %) » et envisager des mesures d'accompagnement ciblées.</w:t>
      </w:r>
    </w:p>
    <w:p>
      <w:pPr>
        <w:pStyle w:val="ListBullet"/>
      </w:pPr>
      <w:r>
        <w:t>Poursuivre le suivi de « Evolution du stock de PME selon le secteur d'activité de 2016 à 2023 (en %) » et préciser, le cas échéant, un objectif de référence.</w:t>
      </w:r>
    </w:p>
    <w:p>
      <w:pPr>
        <w:pStyle w:val="Heading1"/>
      </w:pPr>
      <w:r>
        <w:t>Sources</w:t>
      </w:r>
    </w:p>
    <w:p>
      <w:pPr>
        <w:pStyle w:val="ListBullet"/>
      </w:pPr>
      <w:r>
        <w:t>annuaire_2023, tableau 1, p. 15</w:t>
      </w:r>
    </w:p>
    <w:p>
      <w:pPr>
        <w:pStyle w:val="ListBullet"/>
      </w:pPr>
      <w:r>
        <w:t>annuaire_2023, tableau 27, p. 32</w:t>
      </w:r>
    </w:p>
    <w:p>
      <w:pPr>
        <w:pStyle w:val="ListBullet"/>
      </w:pPr>
      <w:r>
        <w:t>Commentaire n° 720 (upa-enregistrees-dans-bureaux-communaux-sexe) — non validé</w:t>
      </w:r>
    </w:p>
    <w:p>
      <w:pPr>
        <w:pStyle w:val="ListBullet"/>
      </w:pPr>
      <w:r>
        <w:t>Commentaire n° 711 (stock-pme-secteur-activite) — non validé</w:t>
      </w:r>
    </w:p>
    <w:p>
      <w:pPr>
        <w:jc w:val="right"/>
      </w:pPr>
      <w:r>
        <w:rPr>
          <w:i/>
          <w:sz w:val="16"/>
        </w:rPr>
        <w:t>Chaque valeur est tracée jusqu'au tableau et à la page (voir le fichier de traçabilité).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