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595959"/>
          <w:sz w:val="18"/>
        </w:rPr>
        <w:t>MINPMEESA — Cellule des Statistiques</w:t>
      </w:r>
    </w:p>
    <w:p>
      <w:pPr>
        <w:pStyle w:val="Title"/>
      </w:pPr>
      <w:r>
        <w:t>Note d'analyse stratégique — exercice 2024</w:t>
      </w:r>
    </w:p>
    <w:p>
      <w:pPr>
        <w:spacing w:after="40"/>
      </w:pPr>
      <w:r>
        <w:rPr>
          <w:i/>
          <w:color w:val="595959"/>
          <w:sz w:val="16"/>
        </w:rPr>
        <w:t>Établie le 28/09/2026 ; 6 évolutions retenues ; 689 mots ; modèle : extractif (sans modèle de langage)</w:t>
      </w:r>
    </w:p>
    <w:p>
      <w:r>
        <w:rPr>
          <w:b/>
          <w:color w:val="A01E1E"/>
          <w:sz w:val="18"/>
        </w:rPr>
        <w:t>⚠ Texte produit en MODE EXTRACTIF (sans modèle de langage) : gabarits déterministes.</w:t>
      </w:r>
    </w:p>
    <w:p>
      <w:r>
        <w:rPr>
          <w:b/>
          <w:color w:val="A01E1E"/>
          <w:sz w:val="18"/>
        </w:rPr>
        <w:t>⚠ PROVISOIRE : appariement indicateur / tableau non encore validé par double lecture.</w:t>
      </w:r>
    </w:p>
    <w:p>
      <w:r>
        <w:rPr>
          <w:b/>
          <w:color w:val="A01E1E"/>
          <w:sz w:val="18"/>
        </w:rPr>
        <w:t>⚠ Commentaires non encore validés par la Cellule : document à relire.</w:t>
      </w:r>
    </w:p>
    <w:p>
      <w:pPr>
        <w:pStyle w:val="Heading1"/>
      </w:pPr>
      <w:r>
        <w:t>Messages clés</w:t>
      </w:r>
    </w:p>
    <w:p>
      <w:pPr>
        <w:pStyle w:val="ListBullet"/>
      </w:pPr>
      <w:r>
        <w:t>Par rapport à 2023, l'évolution la plus marquée concerne « Stock des PME » (hausse de 12,8 %).</w:t>
      </w:r>
    </w:p>
    <w:p>
      <w:pPr>
        <w:pStyle w:val="ListBullet"/>
      </w:pPr>
      <w:r>
        <w:t>Par rapport à 2023, l'évolution la plus marquée concerne « Primaire » (hausse de 12,1 %).</w:t>
      </w:r>
    </w:p>
    <w:p>
      <w:pPr>
        <w:pStyle w:val="ListBullet"/>
      </w:pPr>
      <w:r>
        <w:t>Par rapport à 2023, l'évolution la plus marquée concerne « Secondaire » (hausse de 26,1 %).</w:t>
      </w:r>
    </w:p>
    <w:p>
      <w:pPr>
        <w:pStyle w:val="Heading1"/>
      </w:pPr>
      <w:r>
        <w:t>Évolutions marquantes</w:t>
      </w:r>
    </w:p>
    <w:p>
      <w:r>
        <w:t>Évolution de la VA des PME entre 2018 et 2024 par typologie : Par rapport à 2023, l'évolution la plus marquée concerne « Stock des PME » (hausse de 12,8 %). Tendance à la hausse confirmée sur les trois derniers intervalles disponibles. Aucun objectif documenté dans le corpus.</w:t>
      </w:r>
    </w:p>
    <w:p>
      <w:r>
        <w:t>Évolution de la VA des PME entre 2018 et 2024 selon le secteur d’activité : Par rapport à 2023, l'évolution la plus marquée concerne « Primaire » (hausse de 12,1 %). Tendance à la hausse confirmée sur les trois derniers intervalles disponibles. Aucun objectif documenté dans le corpus.</w:t>
      </w:r>
    </w:p>
    <w:p>
      <w:r>
        <w:t>Évolution du stock des PME selon le secteur d’activité de 2016 à 2024 (en %) : Par rapport à 2023, l'évolution la plus marquée concerne « Secondaire » (hausse de 26,1 %). Tendance à la hausse confirmée sur les trois derniers intervalles disponibles. Objectif documenté : « Ainsi, l’atteinte des objectifs fixés dans le cadre de l’implémentation du mix import/substitution et promotion des exportations demeure tributaire de la dynamique du secteur privé, majoritairement dominé par les PME qui représentent 99,8 % du stock des entreprises du pays. » (Note de perspective n°001/2024 : compétitivité des PME camerounaises, p. 3).</w:t>
      </w:r>
    </w:p>
    <w:p>
      <w:r>
        <w:t>Évolution du nombre de PME crées dans les CFCE de 2019 à 2024 : Par rapport à 2023, l'évolution la plus marquée concerne « Ebolowa » (hausse de 8,4 %). Variation ponctuelle (pas de tendance de même sens sur trois intervalles). Aucun objectif documenté dans le corpus.</w:t>
      </w:r>
    </w:p>
    <w:p>
      <w:r>
        <w:t>Évolution du nombre d’UPA enregistrées dans les BCA de 2019 à 2024 : Par rapport à 2023, l'évolution la plus marquée concerne « Masculin » (baisse de 3,9 %). Tendance à la baisse confirmée sur les trois derniers intervalles disponibles. Aucun objectif documenté dans le corpus.</w:t>
      </w:r>
    </w:p>
    <w:p>
      <w:r>
        <w:t>Répartition de la proportion d’UPA enregistrées par typologie d’artisanat et par région (en %) : Par rapport à 2023, l'évolution la plus marquée concerne « Art » (baisse de 3,5 %). Variation ponctuelle (pas de tendance de même sens sur trois intervalles). Aucun objectif documenté dans le corpus.</w:t>
      </w:r>
    </w:p>
    <w:p>
      <w:pPr>
        <w:pStyle w:val="Heading1"/>
      </w:pPr>
      <w:r>
        <w:t>Points d'attention</w:t>
      </w:r>
    </w:p>
    <w:p>
      <w:pPr>
        <w:pStyle w:val="ListBullet"/>
      </w:pPr>
      <w:r>
        <w:t>Recul observé pour « Évolution du nombre d’UPA enregistrées dans les BCA de 2019 à 2024 ».</w:t>
      </w:r>
    </w:p>
    <w:p>
      <w:pPr>
        <w:pStyle w:val="ListBullet"/>
      </w:pPr>
      <w:r>
        <w:t>Recul observé pour « Répartition de la proportion d’UPA enregistrées par typologie d’artisanat et par région (en %) ».</w:t>
      </w:r>
    </w:p>
    <w:p>
      <w:pPr>
        <w:pStyle w:val="ListBullet"/>
      </w:pPr>
      <w:r>
        <w:t>13 commentaire(s) mobilisé(s) n'ont pas encore été validés par la Cellule : la note est à relire.</w:t>
      </w:r>
    </w:p>
    <w:p>
      <w:pPr>
        <w:pStyle w:val="Heading1"/>
      </w:pPr>
      <w:r>
        <w:t>Pistes pour la décision</w:t>
      </w:r>
    </w:p>
    <w:p>
      <w:pPr>
        <w:pStyle w:val="ListBullet"/>
      </w:pPr>
      <w:r>
        <w:t>Poursuivre le suivi de « Évolution de la VA des PME entre 2018 et 2024 par typologie » et préciser, le cas échéant, un objectif de référence.</w:t>
      </w:r>
    </w:p>
    <w:p>
      <w:pPr>
        <w:pStyle w:val="ListBullet"/>
      </w:pPr>
      <w:r>
        <w:t>Poursuivre le suivi de « Évolution de la VA des PME entre 2018 et 2024 selon le secteur d’activité » et préciser, le cas échéant, un objectif de référence.</w:t>
      </w:r>
    </w:p>
    <w:p>
      <w:pPr>
        <w:pStyle w:val="ListBullet"/>
      </w:pPr>
      <w:r>
        <w:t>Consolider les actions qui soutiennent « Évolution du stock des PME selon le secteur d’activité de 2016 à 2024 (en %) », en cohérence avec l'objectif documenté.</w:t>
      </w:r>
    </w:p>
    <w:p>
      <w:pPr>
        <w:pStyle w:val="ListBullet"/>
      </w:pPr>
      <w:r>
        <w:t>Poursuivre le suivi de « Évolution du nombre de PME crées dans les CFCE de 2019 à 2024 » et préciser, le cas échéant, un objectif de référence.</w:t>
      </w:r>
    </w:p>
    <w:p>
      <w:pPr>
        <w:pStyle w:val="ListBullet"/>
      </w:pPr>
      <w:r>
        <w:t>Examiner les causes du recul de « Évolution du nombre d’UPA enregistrées dans les BCA de 2019 à 2024 » et envisager des mesures d'accompagnement ciblées.</w:t>
      </w:r>
    </w:p>
    <w:p>
      <w:pPr>
        <w:pStyle w:val="ListBullet"/>
      </w:pPr>
      <w:r>
        <w:t>Examiner les causes du recul de « Répartition de la proportion d’UPA enregistrées par typologie d’artisanat et par région (en %) » et envisager des mesures d'accompagnement ciblées.</w:t>
      </w:r>
    </w:p>
    <w:p>
      <w:pPr>
        <w:pStyle w:val="Heading1"/>
      </w:pPr>
      <w:r>
        <w:t>Sources</w:t>
      </w:r>
    </w:p>
    <w:p>
      <w:pPr>
        <w:pStyle w:val="ListBullet"/>
      </w:pPr>
      <w:r>
        <w:t>annuaire_2024, tableau 2, p. 17</w:t>
      </w:r>
    </w:p>
    <w:p>
      <w:pPr>
        <w:pStyle w:val="ListBullet"/>
      </w:pPr>
      <w:r>
        <w:t>annuaire_2024, tableau 7, p. 19</w:t>
      </w:r>
    </w:p>
    <w:p>
      <w:pPr>
        <w:pStyle w:val="ListBullet"/>
      </w:pPr>
      <w:r>
        <w:t>annuaire_2024, tableau 16, p. 27</w:t>
      </w:r>
    </w:p>
    <w:p>
      <w:pPr>
        <w:pStyle w:val="ListBullet"/>
      </w:pPr>
      <w:r>
        <w:t>annuaire_2024, tableau 17, p. 27</w:t>
      </w:r>
    </w:p>
    <w:p>
      <w:pPr>
        <w:pStyle w:val="ListBullet"/>
      </w:pPr>
      <w:r>
        <w:t>annuaire_2024, tableau 29, p. 38</w:t>
      </w:r>
    </w:p>
    <w:p>
      <w:pPr>
        <w:pStyle w:val="ListBullet"/>
      </w:pPr>
      <w:r>
        <w:t>annuaire_2024, tableau 30, p. 38</w:t>
      </w:r>
    </w:p>
    <w:p>
      <w:pPr>
        <w:pStyle w:val="ListBullet"/>
      </w:pPr>
      <w:r>
        <w:t>Note de perspective n°001/2024 : compétitivité des PME camerounaises, p. 3 (objectif documenté)</w:t>
      </w:r>
    </w:p>
    <w:p>
      <w:pPr>
        <w:pStyle w:val="ListBullet"/>
      </w:pPr>
      <w:r>
        <w:t>Commentaire n° 707 (pme-typologie) — non validé</w:t>
      </w:r>
    </w:p>
    <w:p>
      <w:pPr>
        <w:pStyle w:val="ListBullet"/>
      </w:pPr>
      <w:r>
        <w:t>Commentaire n° 708 (pme-secteur-activite) — non validé</w:t>
      </w:r>
    </w:p>
    <w:p>
      <w:pPr>
        <w:pStyle w:val="ListBullet"/>
      </w:pPr>
      <w:r>
        <w:t>Commentaire n° 697 (stock-pme-secteur-activite) — non validé</w:t>
      </w:r>
    </w:p>
    <w:p>
      <w:pPr>
        <w:pStyle w:val="ListBullet"/>
      </w:pPr>
      <w:r>
        <w:t>Commentaire n° 699 (pme-creees-sur-periode) — non validé</w:t>
      </w:r>
    </w:p>
    <w:p>
      <w:pPr>
        <w:pStyle w:val="ListBullet"/>
      </w:pPr>
      <w:r>
        <w:t>Commentaire n° 704 (upa-enregistrees-dans-bureaux-communaux-region) — non validé</w:t>
      </w:r>
    </w:p>
    <w:p>
      <w:pPr>
        <w:pStyle w:val="ListBullet"/>
      </w:pPr>
      <w:r>
        <w:t>Commentaire n° 706 (upa-enregistrees-typologie-artisanat-region) — non validé</w:t>
      </w:r>
    </w:p>
    <w:p>
      <w:pPr>
        <w:jc w:val="right"/>
      </w:pPr>
      <w:r>
        <w:rPr>
          <w:i/>
          <w:sz w:val="16"/>
        </w:rPr>
        <w:t>Chaque valeur est tracée jusqu'au tableau et à la page (voir le fichier de traçabilité).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