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95959"/>
          <w:sz w:val="18"/>
        </w:rPr>
        <w:t>MINPMEESA — Cellule des Statistiques</w:t>
      </w:r>
    </w:p>
    <w:p>
      <w:pPr>
        <w:pStyle w:val="Title"/>
      </w:pPr>
      <w:r>
        <w:t>Note d'analyse stratégique — exercice 2023</w:t>
      </w:r>
    </w:p>
    <w:p>
      <w:pPr>
        <w:spacing w:after="40"/>
      </w:pPr>
      <w:r>
        <w:rPr>
          <w:i/>
          <w:color w:val="595959"/>
          <w:sz w:val="16"/>
        </w:rPr>
        <w:t>Établie le 29/09/2026 ; 2 évolutions retenues ; 258 mots ; modèle : api:groq:openai/gpt-oss-20b</w:t>
      </w:r>
    </w:p>
    <w:p>
      <w:r>
        <w:rPr>
          <w:b/>
          <w:color w:val="A01E1E"/>
          <w:sz w:val="18"/>
        </w:rPr>
        <w:t>⚠ PROVISOIRE : appariement indicateur / tableau non encore validé par double lecture.</w:t>
      </w:r>
    </w:p>
    <w:p>
      <w:r>
        <w:rPr>
          <w:b/>
          <w:color w:val="A01E1E"/>
          <w:sz w:val="18"/>
        </w:rPr>
        <w:t>⚠ Commentaires non encore validés par la Cellule : document à relire.</w:t>
      </w:r>
    </w:p>
    <w:p>
      <w:pPr>
        <w:pStyle w:val="Heading1"/>
      </w:pPr>
      <w:r>
        <w:t>Messages clés</w:t>
      </w:r>
    </w:p>
    <w:p>
      <w:pPr>
        <w:pStyle w:val="ListBullet"/>
      </w:pPr>
      <w:r>
        <w:t>La baisse des UPA enregistrées dans les bureaux communaux indique un recul des activités locales.</w:t>
      </w:r>
    </w:p>
    <w:p>
      <w:pPr>
        <w:pStyle w:val="ListBullet"/>
      </w:pPr>
      <w:r>
        <w:t>Le secteur secondaire montre une croissance soutenue, signe d’une dynamique industrielle.</w:t>
      </w:r>
    </w:p>
    <w:p>
      <w:pPr>
        <w:pStyle w:val="ListBullet"/>
      </w:pPr>
      <w:r>
        <w:t>Les tendances observées exigent des actions ciblées pour soutenir les acteurs concernés.</w:t>
      </w:r>
    </w:p>
    <w:p>
      <w:pPr>
        <w:pStyle w:val="Heading1"/>
      </w:pPr>
      <w:r>
        <w:t>Évolutions marquantes</w:t>
      </w:r>
    </w:p>
    <w:p>
      <w:r>
        <w:t>Evolution des UPA enregistrées dans les BC par sexe du promoteur de 2018 à 2023 (en %) : La variation relative du nombre total d’UPA enregistrées en 2023 par rapport à 2022 est de -39,8 % tendance à la baisse confirmée sur les trois derniers intervalles disponibles Aucun objectif documenté dans le corpus.</w:t>
      </w:r>
    </w:p>
    <w:p>
      <w:r>
        <w:t>Evolution du stock de PME selon le secteur d'activité de 2016 à 2023 (en %) : Le secteur secondaire a connu une croissance de 25,9 % en effectif entre 2022 et 2023 tendance à la hausse confirmée sur les trois derniers intervalles disponibles Aucun objectif documenté dans le corpus.</w:t>
      </w:r>
    </w:p>
    <w:p>
      <w:pPr>
        <w:pStyle w:val="Heading1"/>
      </w:pPr>
      <w:r>
        <w:t>Points d'attention</w:t>
      </w:r>
    </w:p>
    <w:p>
      <w:pPr>
        <w:pStyle w:val="ListBullet"/>
      </w:pPr>
      <w:r>
        <w:t>Impact potentiel sur la disponibilité des services publics locaux.</w:t>
      </w:r>
    </w:p>
    <w:p>
      <w:pPr>
        <w:pStyle w:val="ListBullet"/>
      </w:pPr>
      <w:r>
        <w:t>Besoin d’adapter les politiques de soutien aux PME du secteur secondaire.</w:t>
      </w:r>
    </w:p>
    <w:p>
      <w:pPr>
        <w:pStyle w:val="ListBullet"/>
      </w:pPr>
      <w:r>
        <w:t>S) mobilisé(s) n'ont pas encore été validés par la Cellule : la note est à relire.</w:t>
      </w:r>
    </w:p>
    <w:p>
      <w:pPr>
        <w:pStyle w:val="ListBullet"/>
      </w:pPr>
      <w:r>
        <w:t>Certains indicateurs n'ont pas pu être commentés faute de sources suffisantes ; ils sont à commenter manuellement.</w:t>
      </w:r>
    </w:p>
    <w:p>
      <w:pPr>
        <w:pStyle w:val="Heading1"/>
      </w:pPr>
      <w:r>
        <w:t>Pistes pour la décision</w:t>
      </w:r>
    </w:p>
    <w:p>
      <w:pPr>
        <w:pStyle w:val="ListBullet"/>
      </w:pPr>
      <w:r>
        <w:t>Envisager des mesures de soutien aux promoteurs de UPA pour stabiliser les activités locales.</w:t>
      </w:r>
    </w:p>
    <w:p>
      <w:pPr>
        <w:pStyle w:val="ListBullet"/>
      </w:pPr>
      <w:r>
        <w:t>Renforcer les incitations et les programmes de financement pour les PME du secteur secondaire.</w:t>
      </w:r>
    </w:p>
    <w:p>
      <w:pPr>
        <w:pStyle w:val="ListBullet"/>
      </w:pPr>
      <w:r>
        <w:t>Évaluer l’efficacité des interventions actuelles et ajuster les stratégies en fonction des résultats.</w:t>
      </w:r>
    </w:p>
    <w:p>
      <w:pPr>
        <w:pStyle w:val="Heading1"/>
      </w:pPr>
      <w:r>
        <w:t>Sources</w:t>
      </w:r>
    </w:p>
    <w:p>
      <w:pPr>
        <w:pStyle w:val="ListBullet"/>
      </w:pPr>
      <w:r>
        <w:t>annuaire_2023, tableau 1, p. 15</w:t>
      </w:r>
    </w:p>
    <w:p>
      <w:pPr>
        <w:pStyle w:val="ListBullet"/>
      </w:pPr>
      <w:r>
        <w:t>annuaire_2023, tableau 27, p. 32</w:t>
      </w:r>
    </w:p>
    <w:p>
      <w:pPr>
        <w:pStyle w:val="ListBullet"/>
      </w:pPr>
      <w:r>
        <w:t>Commentaire n° 352 (upa-enregistrees-dans-bureaux-communaux-sexe) — non validé</w:t>
      </w:r>
    </w:p>
    <w:p>
      <w:pPr>
        <w:pStyle w:val="ListBullet"/>
      </w:pPr>
      <w:r>
        <w:t>Commentaire n° 343 (stock-pme-secteur-activite) — non validé</w:t>
      </w:r>
    </w:p>
    <w:p>
      <w:pPr>
        <w:jc w:val="right"/>
      </w:pPr>
      <w:r>
        <w:rPr>
          <w:i/>
          <w:sz w:val="16"/>
        </w:rPr>
        <w:t>Chaque valeur est tracée jusqu'au tableau et à la page (voir le fichier de traçabilité).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