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95959"/>
          <w:sz w:val="18"/>
        </w:rPr>
        <w:t>MINPMEESA — Cellule des Statistiques</w:t>
      </w:r>
    </w:p>
    <w:p>
      <w:pPr>
        <w:pStyle w:val="Title"/>
      </w:pPr>
      <w:r>
        <w:t>Note d'analyse stratégique — exercice 2024</w:t>
      </w:r>
    </w:p>
    <w:p>
      <w:pPr>
        <w:spacing w:after="40"/>
      </w:pPr>
      <w:r>
        <w:rPr>
          <w:i/>
          <w:color w:val="595959"/>
          <w:sz w:val="16"/>
        </w:rPr>
        <w:t>Établie le 29/09/2026 ; 7 évolutions retenues ; 776 mots ; modèle : api:groq:openai/gpt-oss-20b</w:t>
      </w:r>
    </w:p>
    <w:p>
      <w:r>
        <w:rPr>
          <w:b/>
          <w:color w:val="A01E1E"/>
          <w:sz w:val="18"/>
        </w:rPr>
        <w:t>⚠ PROVISOIRE : appariement indicateur / tableau non encore validé par double lecture.</w:t>
      </w:r>
    </w:p>
    <w:p>
      <w:r>
        <w:rPr>
          <w:b/>
          <w:color w:val="A01E1E"/>
          <w:sz w:val="18"/>
        </w:rPr>
        <w:t>⚠ Commentaires non encore validés par la Cellule : document à relire.</w:t>
      </w:r>
    </w:p>
    <w:p>
      <w:pPr>
        <w:pStyle w:val="Heading1"/>
      </w:pPr>
      <w:r>
        <w:t>Messages clés</w:t>
      </w:r>
    </w:p>
    <w:p>
      <w:pPr>
        <w:pStyle w:val="ListBullet"/>
      </w:pPr>
      <w:r>
        <w:t>Le stock des PME a progressé de 12,8 % entre 2023 et 2024.</w:t>
      </w:r>
    </w:p>
    <w:p>
      <w:pPr>
        <w:pStyle w:val="ListBullet"/>
      </w:pPr>
      <w:r>
        <w:t>Le secteur primaire a enregistré une hausse de 12,1 % en 2024 par rapport à 2023.</w:t>
      </w:r>
    </w:p>
    <w:p>
      <w:pPr>
        <w:pStyle w:val="ListBullet"/>
      </w:pPr>
      <w:r>
        <w:t>Ainsi, l’atteinte des objectifs fixés dans le cadre de l’implémentation du mix import/substitution et promotion des exportations demeure tributaire de la dynamique du secteur privé, majoritairement dominé par les PME qui représentent 99,8 % du stock des entreprises du pays.</w:t>
      </w:r>
    </w:p>
    <w:p>
      <w:pPr>
        <w:pStyle w:val="Heading1"/>
      </w:pPr>
      <w:r>
        <w:t>Évolutions marquantes</w:t>
      </w:r>
    </w:p>
    <w:p>
      <w:r>
        <w:t>Évolution de la VA des PME entre 2018 et 2024 par typologie : Le stock des PME a progressé de 12,8 % entre 2023 et 2024. La tendance à la hausse confirmée sur les trois derniers intervalles disponibles souligne une dynamique soutenue du stock des PME. Aucun objectif documenté dans le corpus.</w:t>
      </w:r>
    </w:p>
    <w:p>
      <w:r>
        <w:t>Évolution de la VA des PME entre 2018 et 2024 selon le secteur d’activité : Le secteur primaire a enregistré une hausse de 12,1 % en 2024 par rapport à 2023. La tendance à la hausse confirmée sur les trois derniers intervalles disponibles indique une croissance soutenue du secteur primaire. Aucun objectif documenté dans le corpus.</w:t>
      </w:r>
    </w:p>
    <w:p>
      <w:r>
        <w:t>Évolution du stock des PME selon le secteur d’activité de 2016 à 2024 (en %) : Le stock total de PME a augmenté de 12,8 % en 2024 par rapport à 2023, passant de 393 175 à 443 524 entreprises. La tendance à la hausse confirmée sur les trois derniers intervalles disponibles confirme l’augmentation du stock total de PME, passant de 393 175 à 443 524 entreprises. Objectif documenté : « Ainsi, l’atteinte des objectifs fixés dans le cadre de l’implémentation du mix import/substitution et promotion des exportations demeure tributaire de la dynamique du secteur privé, majoritairement dominé par les PME qui représentent 99,8 % du stock des entreprises du pays. » (Note de perspective n°001/2024 : compétitivité des PME camerounaises, p. 3).</w:t>
      </w:r>
    </w:p>
    <w:p>
      <w:r>
        <w:t>Répartition de la proportion d’UPA enregistrées par typologie d’artisanat et par région (en %) : La proportion d’UPA d’art en 2024 est de 25,8 %, en baisse de 4,9 % par rapport à 27,13 % en 2023. La variation ponctuelle sans tendance claire met en évidence une baisse de la proportion d’UPA d’artisanat. Aucun objectif documenté dans le corpus.</w:t>
      </w:r>
    </w:p>
    <w:p>
      <w:r>
        <w:t>Évolution du nombre de PME crées dans les CFCE de 2019 à 2024 : À Ebolowa, 142 PME ont été créées en 2024, soit une variation relative de 8,4 % par rapport à 2023. La variation ponctuelle sans tendance claire reflète une hausse de 8,4 % du nombre de PME créées à Ebolowa. Aucun objectif documenté dans le corpus.</w:t>
      </w:r>
    </w:p>
    <w:p>
      <w:r>
        <w:t>Évolution du nombre d’UPA enregistrées dans les BCA de 2019 à 2024 : Le nombre d'UPA masculines enregistrées en 2024 est de 1 668, représentant 46,3 % du total, soit une diminution de 67 unités par rapport à 2023, soit une variation relative de -3,9 %. La tendance à la baisse confirmée sur les trois derniers intervalles disponibles indique une diminution du nombre d’UPA masculines enregistrées. Aucun objectif documenté dans le corpus.</w:t>
      </w:r>
    </w:p>
    <w:p>
      <w:r>
        <w:t>Évolution de la proportion des UPA enregistrées dans les BCA selon le genre du promoteur de 2019 à 2024 (en %) : Le total d'UPA enregistrées en 2024 est de 3 602, soit une variation relative de 1,3 % par rapport à 2023. La variation ponctuelle sans tendance claire reflète une légère hausse de 1,3 % de la proportion d’UPA enregistrées en 2024. Aucun objectif documenté dans le corpus.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Baisse de la proportion d’UPA d’artisanat (25,8 % en 2024, baisse de 4,9 %).</w:t>
      </w:r>
    </w:p>
    <w:p>
      <w:pPr>
        <w:pStyle w:val="ListBullet"/>
      </w:pPr>
      <w:r>
        <w:t>Tendance à la baisse du nombre d’UPA masculines enregistrées (1 668 en 2024, diminution de 67 unités).</w:t>
      </w:r>
    </w:p>
    <w:p>
      <w:pPr>
        <w:pStyle w:val="ListBullet"/>
      </w:pPr>
      <w:r>
        <w:t>Variations ponctuelles sans tendance claire pour la création de PME et la proportion d’UPA enregistrées.</w:t>
      </w:r>
    </w:p>
    <w:p>
      <w:pPr>
        <w:pStyle w:val="ListBullet"/>
      </w:pPr>
      <w:r>
        <w:t>13 commentaire(s) mobilisé(s) n'ont pas encore été validés par la Cellule : la note est à relire.</w:t>
      </w:r>
    </w:p>
    <w:p>
      <w:pPr>
        <w:pStyle w:val="Heading1"/>
      </w:pPr>
      <w:r>
        <w:t>Pistes pour la décision</w:t>
      </w:r>
    </w:p>
    <w:p>
      <w:pPr>
        <w:pStyle w:val="ListBullet"/>
      </w:pPr>
      <w:r>
        <w:t>Envisager des mesures de soutien ciblées aux UPA d’artisanat pour contrer la baisse de leur proportion.</w:t>
      </w:r>
    </w:p>
    <w:p>
      <w:pPr>
        <w:pStyle w:val="ListBullet"/>
      </w:pPr>
      <w:r>
        <w:t>Renforcer les programmes de formation et d’accompagnement pour les UPA masculines afin de stabiliser leur nombre.</w:t>
      </w:r>
    </w:p>
    <w:p>
      <w:pPr>
        <w:pStyle w:val="ListBullet"/>
      </w:pPr>
      <w:r>
        <w:t>Encourager la création de PME dans les CFCE en offrant des incitations et un accompagnement adapté.</w:t>
      </w:r>
    </w:p>
    <w:p>
      <w:pPr>
        <w:pStyle w:val="ListBullet"/>
      </w:pPr>
      <w:r>
        <w:t>Développer des initiatives de promotion des exportations pour soutenir la dynamique du secteur privé.</w:t>
      </w:r>
    </w:p>
    <w:p>
      <w:pPr>
        <w:pStyle w:val="Heading1"/>
      </w:pPr>
      <w:r>
        <w:t>Sources</w:t>
      </w:r>
    </w:p>
    <w:p>
      <w:pPr>
        <w:pStyle w:val="ListBullet"/>
      </w:pPr>
      <w:r>
        <w:t>annuaire_2024, tableau 2, p. 17</w:t>
      </w:r>
    </w:p>
    <w:p>
      <w:pPr>
        <w:pStyle w:val="ListBullet"/>
      </w:pPr>
      <w:r>
        <w:t>annuaire_2024, tableau 7, p. 19</w:t>
      </w:r>
    </w:p>
    <w:p>
      <w:pPr>
        <w:pStyle w:val="ListBullet"/>
      </w:pPr>
      <w:r>
        <w:t>annuaire_2024, tableau 16, p. 27</w:t>
      </w:r>
    </w:p>
    <w:p>
      <w:pPr>
        <w:pStyle w:val="ListBullet"/>
      </w:pPr>
      <w:r>
        <w:t>annuaire_2024, tableau 17, p. 27</w:t>
      </w:r>
    </w:p>
    <w:p>
      <w:pPr>
        <w:pStyle w:val="ListBullet"/>
      </w:pPr>
      <w:r>
        <w:t>annuaire_2024, tableau 29, p. 38</w:t>
      </w:r>
    </w:p>
    <w:p>
      <w:pPr>
        <w:pStyle w:val="ListBullet"/>
      </w:pPr>
      <w:r>
        <w:t>annuaire_2024, tableau 30, p. 38</w:t>
      </w:r>
    </w:p>
    <w:p>
      <w:pPr>
        <w:pStyle w:val="ListBullet"/>
      </w:pPr>
      <w:r>
        <w:t>Note de perspective n°001/2024 : compétitivité des PME camerounaises, p. 3 (objectif documenté)</w:t>
      </w:r>
    </w:p>
    <w:p>
      <w:pPr>
        <w:pStyle w:val="ListBullet"/>
      </w:pPr>
      <w:r>
        <w:t>Commentaire n° 325 (pme-typologie) — non validé</w:t>
      </w:r>
    </w:p>
    <w:p>
      <w:pPr>
        <w:pStyle w:val="ListBullet"/>
      </w:pPr>
      <w:r>
        <w:t>Commentaire n° 326 (pme-secteur-activite) — non validé</w:t>
      </w:r>
    </w:p>
    <w:p>
      <w:pPr>
        <w:pStyle w:val="ListBullet"/>
      </w:pPr>
      <w:r>
        <w:t>Commentaire n° 315 (stock-pme-secteur-activite) — non validé</w:t>
      </w:r>
    </w:p>
    <w:p>
      <w:pPr>
        <w:pStyle w:val="ListBullet"/>
      </w:pPr>
      <w:r>
        <w:t>Commentaire n° 324 (upa-enregistrees-typologie-artisanat-region) — non validé</w:t>
      </w:r>
    </w:p>
    <w:p>
      <w:pPr>
        <w:pStyle w:val="ListBullet"/>
      </w:pPr>
      <w:r>
        <w:t>Commentaire n° 317 (pme-creees-sur-periode) — non validé</w:t>
      </w:r>
    </w:p>
    <w:p>
      <w:pPr>
        <w:pStyle w:val="ListBullet"/>
      </w:pPr>
      <w:r>
        <w:t>Commentaire n° 322 (upa-enregistrees-dans-bureaux-communaux-region) — non validé</w:t>
      </w:r>
    </w:p>
    <w:p>
      <w:pPr>
        <w:pStyle w:val="ListBullet"/>
      </w:pPr>
      <w:r>
        <w:t>Commentaire n° 323 (proportion-upa-enregistrees-dans-bca-genre) — non validé</w:t>
      </w:r>
    </w:p>
    <w:p>
      <w:pPr>
        <w:jc w:val="right"/>
      </w:pPr>
      <w:r>
        <w:rPr>
          <w:i/>
          <w:sz w:val="16"/>
        </w:rPr>
        <w:t>Chaque valeur est tracée jusqu'au tableau et à la page (voir le fichier de traçabilité).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