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181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181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7A5E"/>
          <w:sz w:val="60"/>
        </w:rPr>
        <w:t>ANALYS'PME</w:t>
      </w:r>
    </w:p>
    <w:p>
      <w:pPr>
        <w:jc w:val="center"/>
      </w:pPr>
      <w:r>
        <w:rPr>
          <w:sz w:val="26"/>
        </w:rPr>
        <w:t>Assistant d'analyse des publications statistiques des PMEESA</w:t>
        <w:br/>
        <w:t>MINPMEESA — Cellule des Statistiques</w:t>
      </w:r>
    </w:p>
    <w:p>
      <w:pPr>
        <w:jc w:val="center"/>
      </w:pPr>
      <w:r>
        <w:rPr>
          <w:b/>
          <w:sz w:val="36"/>
        </w:rPr>
        <w:br/>
        <w:t>Résultats, tableaux, figures et captures</w:t>
        <w:br/>
        <w:t>pour la finalisation du mémoire</w:t>
      </w:r>
    </w:p>
    <w:p>
      <w:pPr>
        <w:jc w:val="center"/>
      </w:pPr>
      <w:r>
        <w:rPr>
          <w:i/>
          <w:sz w:val="22"/>
        </w:rPr>
        <w:br/>
        <w:t>Conception et évaluation d'un système RAG hybride à restitution contrôlée, appliqué aux publications statistiques du MINPMEESA</w:t>
        <w:br/>
        <w:br/>
        <w:t>Ivan Leny — Master 2, ISSEA</w:t>
        <w:br/>
        <w:t>Version du 11/10/2026</w:t>
      </w:r>
    </w:p>
    <w:p>
      <w:r>
        <w:br w:type="page"/>
      </w:r>
    </w:p>
    <w:p>
      <w:pPr>
        <w:pStyle w:val="Heading1"/>
      </w:pPr>
      <w:r>
        <w:rPr>
          <w:color w:val="007A5E"/>
        </w:rPr>
        <w:t>Mode d'emploi de ce document</w:t>
      </w:r>
    </w:p>
    <w:p>
      <w:r>
        <w:rPr>
          <w:b w:val="0"/>
          <w:i w:val="0"/>
        </w:rPr>
        <w:t xml:space="preserve">Ce document rassemble </w:t>
      </w:r>
      <w:r>
        <w:rPr>
          <w:b/>
          <w:i w:val="0"/>
        </w:rPr>
        <w:t>toutes les valeurs mesurées</w:t>
      </w:r>
      <w:r>
        <w:rPr>
          <w:b w:val="0"/>
          <w:i w:val="0"/>
        </w:rPr>
        <w:t xml:space="preserve"> par le prototype ANALYS'PME, sous forme de tableaux et de figures prêts à copier dans le mémoire, avec les captures de l'interface. Chaque tableau et chaque figure indique le fichier dont il provient : rien n'est saisi à la main ni estimé.</w:t>
      </w:r>
    </w:p>
    <w:p>
      <w:r>
        <w:rPr>
          <w:b w:val="0"/>
          <w:i w:val="0"/>
        </w:rPr>
        <w:t>Les tableaux sont numérotés R1, R2… (R pour « résultats ») ; renumérotez-les selon le mémoire. Pour chaque section, le numéro de section ou de tableau du mémoire visé est indiqué dans le titre. Les encadrés « Texte proposé » peuvent être repris tels quels ou adaptés.</w:t>
      </w:r>
    </w:p>
    <w:p>
      <w:pPr>
        <w:pStyle w:val="Heading2"/>
      </w:pPr>
      <w:r>
        <w:rPr>
          <w:color w:val="007A5E"/>
        </w:rPr>
        <w:t>Sources des résultats</w:t>
      </w:r>
    </w:p>
    <w:p>
      <w:r>
        <w:rPr>
          <w:b/>
          <w:sz w:val="20"/>
        </w:rPr>
        <w:t>Tableau R1 — Exécutions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Exécution</w:t>
            </w:r>
          </w:p>
        </w:tc>
        <w:tc>
          <w:tcPr>
            <w:tcW w:type="dxa" w:w="32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Environnement</w:t>
            </w:r>
          </w:p>
        </w:tc>
        <w:tc>
          <w:tcPr>
            <w:tcW w:type="dxa" w:w="32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Sert pour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data/results/2026-09-30_bge-m3_sans-llm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Google Colab (CPU), encodeur bge-m3, sans modèle de langage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H1 récupération, abstention, Tableau 3.3</w:t>
            </w:r>
          </w:p>
        </w:tc>
      </w:tr>
      <w:tr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data/results/2026-09-30_encodeurs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Google Colab (CPU), 5 encodeurs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Tableau 3.3 (comparaison)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data/results/2026-09-28_api_gpt-oss-20b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PC Windows 10, moteur Groq openai/gpt-oss-20b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H1 ancrage, H2, Tableau 3.2, gabarits vs LLM</w:t>
            </w:r>
          </w:p>
        </w:tc>
      </w:tr>
      <w:tr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data/results/2026-10-01_apres-plan-AB_sans-llm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Poste de développement, après les améliorations A et B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Gabarits après amélioration, temps système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data/outputs/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Poste de développement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Note stratégique 2024, traçabilité, captures</w:t>
            </w:r>
          </w:p>
        </w:tc>
      </w:tr>
    </w:tbl>
    <w:p/>
    <w:p>
      <w:pPr>
        <w:pStyle w:val="Heading2"/>
      </w:pPr>
      <w:r>
        <w:rPr>
          <w:color w:val="007A5E"/>
        </w:rPr>
        <w:t>Trois réserves à rappeler au chapitre 4</w:t>
      </w:r>
    </w:p>
    <w:p>
      <w:pPr>
        <w:pStyle w:val="ListBullet"/>
      </w:pPr>
      <w:r>
        <w:rPr>
          <w:b w:val="0"/>
        </w:rPr>
        <w:t xml:space="preserve">Résultats </w:t>
      </w:r>
      <w:r>
        <w:rPr>
          <w:b/>
        </w:rPr>
        <w:t>provisoires</w:t>
      </w:r>
      <w:r>
        <w:rPr>
          <w:b w:val="0"/>
        </w:rPr>
        <w:t xml:space="preserve"> : les 58 appariements graphique ↔ tableau sont au statut « candidat » (48) ou « à vérifier » (10) ; aucun n'est encore validé par double lecture.</w:t>
      </w:r>
    </w:p>
    <w:p>
      <w:pPr>
        <w:pStyle w:val="ListBullet"/>
      </w:pPr>
      <w:r>
        <w:rPr>
          <w:b w:val="0"/>
        </w:rPr>
        <w:t xml:space="preserve">H1-récupération mesurée avec bge-m3 sur le </w:t>
      </w:r>
      <w:r>
        <w:rPr>
          <w:b/>
        </w:rPr>
        <w:t>jeu de questions qui a aussi servi à choisir l'encodeur</w:t>
      </w:r>
      <w:r>
        <w:rPr>
          <w:b w:val="0"/>
        </w:rPr>
        <w:t xml:space="preserve"> (biais de sélection) : à confirmer sur les questions des cadres.</w:t>
      </w:r>
    </w:p>
    <w:p>
      <w:pPr>
        <w:pStyle w:val="ListBullet"/>
      </w:pPr>
      <w:r>
        <w:rPr>
          <w:b w:val="0"/>
        </w:rPr>
        <w:t xml:space="preserve">Modèle de langage appelé par un </w:t>
      </w:r>
      <w:r>
        <w:rPr>
          <w:b/>
        </w:rPr>
        <w:t>service distant de développement</w:t>
      </w:r>
      <w:r>
        <w:rPr>
          <w:b w:val="0"/>
        </w:rPr>
        <w:t xml:space="preserve"> (Groq, openai/gpt-oss-20b) et non par Ollama sur le poste cible : mêmes poids ouverts, mais temps de réponse non transposables.</w:t>
      </w:r>
    </w:p>
    <w:p>
      <w:r>
        <w:br w:type="page"/>
      </w:r>
    </w:p>
    <w:p>
      <w:pPr>
        <w:pStyle w:val="Heading1"/>
      </w:pPr>
      <w:r>
        <w:rPr>
          <w:color w:val="007A5E"/>
        </w:rPr>
        <w:t>1. Corpus et base documentaire (Tableau 2.6, Annexe I)</w:t>
      </w:r>
    </w:p>
    <w:p>
      <w:r>
        <w:rPr>
          <w:b/>
          <w:sz w:val="20"/>
        </w:rPr>
        <w:t>Tableau R2 — Corpus documentaire du prototype</w:t>
      </w:r>
      <w:r>
        <w:rPr>
          <w:i/>
          <w:color w:val="5B6770"/>
          <w:sz w:val="18"/>
        </w:rPr>
        <w:t xml:space="preserve">  Source : data/corpus/inventaire.csv, data/base/build_rapport.json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Exercice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Pages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Tableaux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Graphiques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Passages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Annuaire 2021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annuaire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97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Annuaire 2022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annuaire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104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Annuaire 2023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annuaire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134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Annuaire 2024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annuaire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142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Rapport d'analyse 2021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rapport_analyse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Rapport d'analyse 2022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rapport_analyse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40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Rapport d'analyse 2023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rapport_analyse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58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Rapport d'analyse 2024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rapport_analyse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51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Note de conjoncture T3 2022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note_conjoncture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Note de conjoncture T4 2023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note_conjoncture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Note de conjoncture T1 2024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note_conjoncture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Note de conjoncture T2 2024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note_conjoncture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Note de conjoncture T3 2024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note_conjoncture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Note de conjoncture T1 2025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note_conjoncture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Bulletin loi de finances 2023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contexte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Bulletin n°4 (crédits, garantie)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contexte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Note de perspective inflation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contexte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Note de perspective compétitivité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contexte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sz w:val="18"/>
              </w:rPr>
              <w:t>Total (18 publications)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661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903</w:t>
            </w:r>
          </w:p>
        </w:tc>
      </w:tr>
    </w:tbl>
    <w:p/>
    <w:p>
      <w:r>
        <w:rPr>
          <w:b/>
          <w:sz w:val="20"/>
        </w:rPr>
        <w:t>Tableau R3 — Contenu de la base (SQLite + FAISS)</w:t>
      </w:r>
      <w:r>
        <w:rPr>
          <w:i/>
          <w:color w:val="5B6770"/>
          <w:sz w:val="18"/>
        </w:rPr>
        <w:t xml:space="preserve">  Source : data/base/build_rapport.json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32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Remarque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18 publications + 1 document de test fictif (cloisonnement)</w:t>
            </w:r>
          </w:p>
        </w:tc>
      </w:tr>
      <w:tr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Passages indexés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904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903 hors document de test ; 8 fragments rejetés (trop courts)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Valeurs (cellules de tableaux)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16 211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chacune avec document, page, tableau, ligne, colonne</w:t>
            </w:r>
          </w:p>
        </w:tc>
      </w:tr>
      <w:tr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Variations calculées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4 242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572 avant la correction du 01/10/2026 (colonnes Effectif / %)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Appariements graphique ↔ tableau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48 candidats, 10 à vérifier, 0 validé</w:t>
            </w:r>
          </w:p>
        </w:tc>
      </w:tr>
      <w:tr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Vecteurs FAISS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904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un par passage (bge-m3 : 1 024 dimensions ; repli : 256)</w:t>
            </w:r>
          </w:p>
        </w:tc>
      </w:tr>
    </w:tbl>
    <w:p/>
    <w:p>
      <w:r>
        <w:rPr>
          <w:b w:val="0"/>
          <w:i w:val="0"/>
        </w:rPr>
        <w:t>Corpus manquant : notes de conjoncture T1, T2, T3 2023 et T4 2024. Les 18 publications sont au statut « publie » (à confirmer auprès de la Cellule).</w:t>
      </w:r>
    </w:p>
    <w:p>
      <w:pPr>
        <w:pStyle w:val="Heading2"/>
      </w:pPr>
      <w:r>
        <w:rPr>
          <w:color w:val="007A5E"/>
        </w:rPr>
        <w:t>Table d'appariement (Annexe II)</w:t>
      </w:r>
    </w:p>
    <w:p>
      <w:r>
        <w:rPr>
          <w:b/>
          <w:sz w:val="20"/>
        </w:rPr>
        <w:t>Tableau R4 — Appariements proposés par exercice</w:t>
      </w:r>
      <w:r>
        <w:rPr>
          <w:i/>
          <w:color w:val="5B6770"/>
          <w:sz w:val="18"/>
        </w:rPr>
        <w:t xml:space="preserve">  Source : data/pairing/appariement_20XX.csv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Exercice</w:t>
            </w:r>
          </w:p>
        </w:tc>
        <w:tc>
          <w:tcPr>
            <w:tcW w:type="dxa" w:w="4873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Lignes proposées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2021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4873"/>
            <w:shd w:val="clear" w:color="auto" w:fill="F2F7F5"/>
          </w:tcPr>
          <w:p>
            <w:r/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4873"/>
            <w:shd w:val="clear" w:color="auto" w:fill="F2F7F5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19</w:t>
            </w:r>
          </w:p>
        </w:tc>
      </w:tr>
      <w:tr>
        <w:tc>
          <w:tcPr>
            <w:tcW w:type="dxa" w:w="4873"/>
            <w:shd w:val="clear" w:color="auto" w:fill="F2F7F5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4873"/>
            <w:shd w:val="clear" w:color="auto" w:fill="F2F7F5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8"/>
              </w:rPr>
              <w:t>58 (48 candidats, 10 à vérifier)</w:t>
            </w:r>
          </w:p>
        </w:tc>
      </w:tr>
    </w:tbl>
    <w:p/>
    <w:p>
      <w:r>
        <w:rPr>
          <w:b w:val="0"/>
          <w:i w:val="0"/>
        </w:rPr>
        <w:t>Erreur connue corrigée : 2024, graphique 2 → tableau 2 (et non 17). Insérer la table complète après la double lecture ; le kappa de Cohen sera dans data/pairing/accord_AAAA.json.</w:t>
      </w:r>
    </w:p>
    <w:p>
      <w:r>
        <w:br w:type="page"/>
      </w:r>
    </w:p>
    <w:p>
      <w:pPr>
        <w:pStyle w:val="Heading1"/>
      </w:pPr>
      <w:r>
        <w:rPr>
          <w:color w:val="007A5E"/>
        </w:rPr>
        <w:t>2. Choix du modèle de langage (section 3.1.4, Tableau 3.2)</w:t>
      </w:r>
    </w:p>
    <w:p>
      <w:r>
        <w:rPr>
          <w:b/>
          <w:sz w:val="20"/>
        </w:rPr>
        <w:t>Tableau R5 — Comparaison des modèles de langage (20 indicateurs)</w:t>
      </w:r>
      <w:r>
        <w:rPr>
          <w:i/>
          <w:color w:val="5B6770"/>
          <w:sz w:val="18"/>
        </w:rPr>
        <w:t xml:space="preserve">  Source : 2026-09-28_api_gpt-oss-20b/tableau_3_2_modeles_langage.json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Moteur / modèle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Déployable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Temps médian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JSON valide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Valeurs écartées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8"/>
              </w:rPr>
              <w:t>ollama / gpt-oss:20b (retenu)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oui (16 Go RAM)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non mesuré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—</w:t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ollama / llama3.1:8b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non mesuré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ollama / qwen2.5:7b-instruct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non mesuré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ollama / mistral:7b-instruct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non mesuré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ollama / llama3.2:3b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non mesuré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api Groq / openai/gpt-oss-20b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non (développement)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23,2 s (réseau inclus)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100 %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1,1 %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api Groq / openai/gpt-oss-120b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non (borne haute)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26,2 s (réseau inclus)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3,3 %</w:t>
            </w:r>
          </w:p>
        </w:tc>
      </w:tr>
    </w:tbl>
    <w:p/>
    <w:p>
      <w:r>
        <w:rPr>
          <w:b w:val="0"/>
          <w:i w:val="0"/>
        </w:rPr>
        <w:t>2 appels en échec sur 20 pour le 20b (coupures réseau), 0 pour le 120b. « Valeurs écartées » : part des valeurs citées par le modèle que le contrôle littéral a retirées. Les lignes Ollama restent à mesurer sur le poste cible (run_all --llm ollama).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7F5"/>
          </w:tcPr>
          <w:p>
            <w:r/>
            <w:r>
              <w:rPr>
                <w:b/>
                <w:color w:val="007A5E"/>
                <w:sz w:val="20"/>
              </w:rPr>
              <w:t xml:space="preserve">Texte proposé : </w:t>
            </w:r>
            <w:r>
              <w:rPr>
                <w:i/>
                <w:sz w:val="20"/>
              </w:rPr>
              <w:t>Le modèle gpt-oss-20b produit toujours un JSON valide et cite moins de valeurs non soutenues que la borne haute gpt-oss-120b (1,1 % contre 3,3 %) : le modèle plus gros n'apporte rien sur ce critère, ce qui conforte le choix d'un modèle de 20 milliards de paramètres, déployable sur un poste de 16 Go.</w:t>
            </w:r>
          </w:p>
        </w:tc>
      </w:tr>
    </w:tbl>
    <w:p/>
    <w:p>
      <w:pPr>
        <w:pStyle w:val="Heading1"/>
      </w:pPr>
      <w:r>
        <w:rPr>
          <w:color w:val="007A5E"/>
        </w:rPr>
        <w:t>3. Choix de l'encodeur (section 3.1.5, Tableau 3.3)</w:t>
      </w:r>
    </w:p>
    <w:p>
      <w:r>
        <w:rPr>
          <w:b/>
          <w:sz w:val="20"/>
        </w:rPr>
        <w:t>Tableau R6 — Comparaison des encodeurs (52 questions, Google Colab CPU)</w:t>
      </w:r>
      <w:r>
        <w:rPr>
          <w:i/>
          <w:color w:val="5B6770"/>
          <w:sz w:val="18"/>
        </w:rPr>
        <w:t xml:space="preserve">  Source : data/results/2026-09-30_encodeurs/tableau_3_3_encodeurs.json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Encodeur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Longueur max.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Succès@5 hybride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MRR hybride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Dense seul (S@5 / MRR)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p (vs repli)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Indexation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sz w:val="18"/>
              </w:rPr>
              <w:t>BAAI/bge-m3 (retenu)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8 192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0,88 (46/52)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0,694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0,85 / 0,674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0,016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9 090 s (2 h 31)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multilingual-e5-large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512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0,87 (45/52)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0,681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0,85 / 0,619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0,015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4 989 s (1 h 23)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sentence-camembert-base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0,71 (37/52)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0,475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0,42 / 0,302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0,109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448 s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MiniLM-L12 (repli léger)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0,81 (42/52)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0,512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0,46 / 0,394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0,348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136 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Repli hors ligne TF-IDF + SVD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sans limite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0,79 (41/52)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0,581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0,75 / 0,559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29 s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Les encodeurs conçus pour la </w:t>
      </w:r>
      <w:r>
        <w:rPr>
          <w:b/>
        </w:rPr>
        <w:t>recherche documentaire</w:t>
      </w:r>
      <w:r>
        <w:rPr>
          <w:b w:val="0"/>
        </w:rPr>
        <w:t xml:space="preserve"> (bge-m3, e5) améliorent significativement le repli (MRR hybride +0,11, p ≈ 0,015) ; les modèles de similarité de phrases (camembert, MiniLM) non.</w:t>
      </w:r>
    </w:p>
    <w:p>
      <w:pPr>
        <w:pStyle w:val="ListBullet"/>
      </w:pPr>
      <w:r>
        <w:rPr>
          <w:b w:val="0"/>
        </w:rPr>
        <w:t xml:space="preserve">La </w:t>
      </w:r>
      <w:r>
        <w:rPr>
          <w:b/>
        </w:rPr>
        <w:t>longueur lue</w:t>
      </w:r>
      <w:r>
        <w:rPr>
          <w:b w:val="0"/>
        </w:rPr>
        <w:t xml:space="preserve"> explique une grande part de l'écart : limités à 128 tokens, ces modèles ne voient que le début des passages, alors que les tableaux linéarisés dépassent souvent 500 tokens.</w:t>
      </w:r>
    </w:p>
    <w:p>
      <w:pPr>
        <w:pStyle w:val="ListBullet"/>
      </w:pPr>
      <w:r>
        <w:rPr>
          <w:b w:val="0"/>
        </w:rPr>
        <w:t xml:space="preserve">bge-m3 contre e5-large, question par question : MRR 0,694 contre 0,681, p = 0,73 (12 gagnées, 12 perdues) : </w:t>
      </w:r>
      <w:r>
        <w:rPr>
          <w:b/>
        </w:rPr>
        <w:t>statistiquement équivalents</w:t>
      </w:r>
      <w:r>
        <w:rPr>
          <w:b w:val="0"/>
        </w:rPr>
        <w:t>. bge-m3 est maintenu par la règle fixée a priori, non par une supériorité démontrée.</w:t>
      </w:r>
    </w:p>
    <w:p>
      <w:pPr>
        <w:pStyle w:val="ListBullet"/>
      </w:pPr>
      <w:r>
        <w:rPr>
          <w:b w:val="0"/>
        </w:rPr>
        <w:t>Coût : l'indexation par bge-m3 prend environ 2 h 30 sur CPU, une seule fois ; une recherche n'encode que la question, en une fraction de seconde.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7F5"/>
          </w:tcPr>
          <w:p>
            <w:r/>
            <w:r>
              <w:rPr>
                <w:b/>
                <w:color w:val="007A5E"/>
                <w:sz w:val="20"/>
              </w:rPr>
              <w:t xml:space="preserve">Texte proposé : </w:t>
            </w:r>
            <w:r>
              <w:rPr>
                <w:i/>
                <w:sz w:val="20"/>
              </w:rPr>
              <w:t>Cinq encodeurs ont été comparés sur les 52 questions du jeu de consultation. bge-m3, retenu, place une page pertinente parmi les cinq premiers résultats pour 88 % des questions en recherche hybride (MRR 0,69), contre 79 % (MRR 0,58) pour l'encodeur de référence hors ligne ; l'écart est significatif (Wilcoxon apparié, p = 0,016). Les modèles de similarité de phrases, limités à 128 tokens, ne font pas mieux que la référence.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A5E"/>
        </w:rPr>
        <w:t>4. Le prototype ANALYS'PME : interface (section 3.4.2, Annexe III)</w:t>
      </w:r>
    </w:p>
    <w:p>
      <w:r>
        <w:rPr>
          <w:b w:val="0"/>
          <w:i w:val="0"/>
        </w:rPr>
        <w:t>Une page d'accueil (tableau de bord), quatre services (Consulter, Commenter un indicateur, Note d'analyse, Note stratégique), une page « Validation » (double lecture des appariements) et une page « Base documentaire ». Identité visuelle : logo du MINPMEESA placé avant le nom ANALYS'PME, couleurs nationales (vert, rouge, jaune) en version vive, sans émoticônes ; chaque énoncé est présenté comme une carte étiquetée CONSTAT ou PERSPECTIVE, suivie de ses sources. Aucune ressource externe n'est chargée : l'interface fonctionne hors ligne.</w:t>
      </w:r>
    </w:p>
    <w:p>
      <w:r>
        <w:rPr>
          <w:b w:val="0"/>
          <w:i w:val="0"/>
        </w:rPr>
        <w:t>Deux garde-fous d'usage complètent l'interface : (1) en cas de refus d'une question, l'outil propose des intitulés d'indicateurs de l'Annuaire proches de la question, chacun vérifié au-dessus du seuil d'abstention (le seuil n'est pas modifié) ; (2) si la réponse du modèle de langage est inexploitable (format invalide, refus, moins de deux constats sourcés après contrôle, ou attente supérieure à 240 s), le commentaire est rédigé par les gabarits et ce repli est signalé. Les évaluations du modèle (H1, H2, Tableau 3.2) désactivent ce repli pour mesurer le modèle seul.</w:t>
      </w:r>
    </w:p>
    <w:p>
      <w:r>
        <w:rPr>
          <w:b/>
          <w:sz w:val="20"/>
        </w:rPr>
        <w:t>Tableau R7 — Temps de réponse du système (sans modèle de langage)</w:t>
      </w:r>
      <w:r>
        <w:rPr>
          <w:i/>
          <w:color w:val="5B6770"/>
          <w:sz w:val="18"/>
        </w:rPr>
        <w:t xml:space="preserve">  Source : 2026-10-01_apres-plan-AB_sans-llm/resume.md ; 2026-09-28/resume.md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Médiane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P90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Mesure du 28/09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Remarque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Consultation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0,25 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0,51 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0,20 s (P90 0,40 s)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recherche hybride + abstention</w:t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Commentaire d'un indicateur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0,01 s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0,13 s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0,01 s (P90 0,11 s)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gabarits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Note d'analyse (un chapitre)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2,77 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4,18 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2,16 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Note stratégique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4,31 s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4,83 s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1,88 s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chiffres clés et contrôles ajoutés le 01/10</w:t>
            </w:r>
          </w:p>
        </w:tc>
      </w:tr>
    </w:tbl>
    <w:p/>
    <w:p>
      <w:r>
        <w:rPr>
          <w:b w:val="0"/>
          <w:i/>
          <w:sz w:val="20"/>
        </w:rPr>
        <w:t>Poste de développement : Linux, 4 cœurs, 15,7 Go, sans GPU. Ces temps n'incluent aucun appel à un modèle de langage. Avec le moteur api (Groq) sur le PC Windows, la note stratégique a pris 150 s en médiane, surtout de l'attente imposée par le quota du compte gratuit : ce n'est pas un temps du système, à ne pas reporter comme tel.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R1 — Page d'accueil : chiffres clés de l'exercice, sourcés, avec leur trajectoire publiée</w:t>
      </w:r>
      <w:r>
        <w:rPr>
          <w:i/>
          <w:color w:val="5B6770"/>
          <w:sz w:val="18"/>
        </w:rPr>
        <w:br/>
        <w:t>Source : data/outputs/captures/0_accueil.png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onsu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R2 — Parcours « Consulter » : extraits sourcés (document, page) ; refus motivé et suggestions sinon</w:t>
      </w:r>
      <w:r>
        <w:rPr>
          <w:i/>
          <w:color w:val="5B6770"/>
          <w:sz w:val="18"/>
        </w:rPr>
        <w:br/>
        <w:t>Source : data/outputs/captures/1_consulter.png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omm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R3 — Parcours « Commenter un indicateur » : énoncés étiquetés CONSTAT / PERSPECTIVE et source de chaque valeur</w:t>
      </w:r>
      <w:r>
        <w:rPr>
          <w:i/>
          <w:color w:val="5B6770"/>
          <w:sz w:val="18"/>
        </w:rPr>
        <w:br/>
        <w:t>Source : data/outputs/captures/2_commenter.png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2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note_analy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R4 — Parcours « Note d'analyse » : choix de l'Annuaire, puis de l'étendue</w:t>
      </w:r>
      <w:r>
        <w:rPr>
          <w:i/>
          <w:color w:val="5B6770"/>
          <w:sz w:val="18"/>
        </w:rPr>
        <w:br/>
        <w:t>Source : data/outputs/captures/3_note_analyse.png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note_strategiq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R5 — Parcours « Note stratégique » : encadré des chiffres clés de l'exercice 2024</w:t>
      </w:r>
      <w:r>
        <w:rPr>
          <w:i/>
          <w:color w:val="5B6770"/>
          <w:sz w:val="18"/>
        </w:rPr>
        <w:br/>
        <w:t>Source : data/outputs/captures/4_note_strategique.png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base_documentai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R6 — Page « Base documentaire » : ajout d'un document et exploration de la base</w:t>
      </w:r>
      <w:r>
        <w:rPr>
          <w:i/>
          <w:color w:val="5B6770"/>
          <w:sz w:val="18"/>
        </w:rPr>
        <w:br/>
        <w:t>Source : data/outputs/captures/5_base_documentaire.png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R7 — Page « Validation » : double lecture des appariements graphique ↔ tableau (kappa de Cohen)</w:t>
      </w:r>
      <w:r>
        <w:rPr>
          <w:i/>
          <w:color w:val="5B6770"/>
          <w:sz w:val="18"/>
        </w:rPr>
        <w:br/>
        <w:t>Source : data/outputs/captures/6_validation.png</w:t>
      </w:r>
    </w:p>
    <w:p>
      <w:r>
        <w:br w:type="page"/>
      </w:r>
    </w:p>
    <w:p>
      <w:pPr>
        <w:pStyle w:val="Heading1"/>
      </w:pPr>
      <w:r>
        <w:rPr>
          <w:color w:val="007A5E"/>
        </w:rPr>
        <w:t>5. Note stratégique 2024 (section 3.5.4, Tableau 3.8, Annexe V)</w:t>
      </w:r>
    </w:p>
    <w:p>
      <w:r>
        <w:rPr>
          <w:b w:val="0"/>
          <w:i w:val="0"/>
        </w:rPr>
        <w:t xml:space="preserve">Mode gabarits (sans modèle de langage), version du 01/10/2026 après les améliorations A et B. </w:t>
      </w:r>
      <w:r>
        <w:rPr>
          <w:b/>
          <w:i w:val="0"/>
        </w:rPr>
        <w:t>5 évolutions</w:t>
      </w:r>
      <w:r>
        <w:rPr>
          <w:b w:val="0"/>
          <w:i w:val="0"/>
        </w:rPr>
        <w:t xml:space="preserve"> retenues (une par grandeur), </w:t>
      </w:r>
      <w:r>
        <w:rPr>
          <w:b/>
          <w:i w:val="0"/>
        </w:rPr>
        <w:t>603 mots</w:t>
      </w:r>
      <w:r>
        <w:rPr>
          <w:b w:val="0"/>
          <w:i w:val="0"/>
        </w:rPr>
        <w:t xml:space="preserve"> ; critères BN4 (toute valeur tracée) et BN5 (rubriques, 3 messages clés, longueur) satisfaits automatiquement ; aucune valeur écartée.</w:t>
      </w:r>
    </w:p>
    <w:p>
      <w:r>
        <w:rPr>
          <w:b/>
          <w:sz w:val="20"/>
        </w:rPr>
        <w:t>Tableau R8 — Chiffres clés de l'exercice 2024</w:t>
      </w:r>
      <w:r>
        <w:rPr>
          <w:i/>
          <w:color w:val="5B6770"/>
          <w:sz w:val="18"/>
        </w:rPr>
        <w:t xml:space="preserve">  Source : data/outputs/note_strategique_2024.md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Grandeur</w:t>
            </w:r>
          </w:p>
        </w:tc>
        <w:tc>
          <w:tcPr>
            <w:tcW w:type="dxa" w:w="2436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Valeur 2024</w:t>
            </w:r>
          </w:p>
        </w:tc>
        <w:tc>
          <w:tcPr>
            <w:tcW w:type="dxa" w:w="2436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Évolution / 2023</w:t>
            </w:r>
          </w:p>
        </w:tc>
        <w:tc>
          <w:tcPr>
            <w:tcW w:type="dxa" w:w="2436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Stock de PME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443 524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+12,8 %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Annuaire 2024, tableau 4, p. 18</w:t>
            </w:r>
          </w:p>
        </w:tc>
      </w:tr>
      <w:tr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Créations de PME dans les CFCE</w:t>
            </w:r>
          </w:p>
        </w:tc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21 132</w:t>
            </w:r>
          </w:p>
        </w:tc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+7,5 %</w:t>
            </w:r>
          </w:p>
        </w:tc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Annuaire 2024, tableau 8, p. 20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Valeur ajoutée des PME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7 291 millions de FCFA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+11,8 %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Annuaire 2024, tableau 16, p. 27</w:t>
            </w:r>
          </w:p>
        </w:tc>
      </w:tr>
      <w:tr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OES enregistrées</w:t>
            </w:r>
          </w:p>
        </w:tc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3 909</w:t>
            </w:r>
          </w:p>
        </w:tc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+1,1 %</w:t>
            </w:r>
          </w:p>
        </w:tc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Annuaire 2024, tableau 21, p. 30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UPA enregistrées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3 602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+1,3 %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Annuaire 2024, tableau 29, p. 38</w:t>
            </w:r>
          </w:p>
        </w:tc>
      </w:tr>
    </w:tbl>
    <w:p/>
    <w:p>
      <w:pPr>
        <w:pStyle w:val="Heading2"/>
      </w:pPr>
      <w:r>
        <w:rPr>
          <w:color w:val="007A5E"/>
        </w:rPr>
        <w:t>Messages clés produits</w:t>
      </w:r>
    </w:p>
    <w:p>
      <w:pPr>
        <w:pStyle w:val="ListBullet"/>
      </w:pPr>
      <w:r>
        <w:rPr>
          <w:b w:val="0"/>
        </w:rPr>
        <w:t>En 2024, le stock de PME atteint 443 524, en hausse de 12,8 % par rapport à 2023.</w:t>
      </w:r>
    </w:p>
    <w:p>
      <w:pPr>
        <w:pStyle w:val="ListBullet"/>
      </w:pPr>
      <w:r>
        <w:rPr>
          <w:b w:val="0"/>
        </w:rPr>
        <w:t>La dynamique la plus forte concerne « TPE » (répartition par typologie) pour la valeur ajoutée des PME : +12,1 % de la valeur ajoutée en un an.</w:t>
      </w:r>
    </w:p>
    <w:p>
      <w:pPr>
        <w:pStyle w:val="ListBullet"/>
      </w:pPr>
      <w:r>
        <w:rPr>
          <w:b w:val="0"/>
        </w:rPr>
        <w:t>Point de vigilance : les UPA enregistrées reculent pour « Masculin » (répartition par sexe), avec une baisse de 3,9 % de l'effectif par rapport à 2023.</w:t>
      </w:r>
    </w:p>
    <w:p>
      <w:pPr>
        <w:pStyle w:val="Heading2"/>
      </w:pPr>
      <w:r>
        <w:rPr>
          <w:color w:val="007A5E"/>
        </w:rPr>
        <w:t>Pistes pour la décision (typées, sans chiffre)</w:t>
      </w:r>
    </w:p>
    <w:p>
      <w:pPr>
        <w:pStyle w:val="ListBullet"/>
      </w:pPr>
      <w:r>
        <w:rPr>
          <w:b w:val="0"/>
        </w:rPr>
        <w:t>Suivre : fixer un objectif de référence pour le stock de PME.</w:t>
      </w:r>
    </w:p>
    <w:p>
      <w:pPr>
        <w:pStyle w:val="ListBullet"/>
      </w:pPr>
      <w:r>
        <w:rPr>
          <w:b w:val="0"/>
        </w:rPr>
        <w:t>Cibler : examiner la situation de « Bamenda / Tertiaire » pour les créations de PME dans les CFCE.</w:t>
      </w:r>
    </w:p>
    <w:p>
      <w:pPr>
        <w:pStyle w:val="ListBullet"/>
      </w:pPr>
      <w:r>
        <w:rPr>
          <w:b w:val="0"/>
        </w:rPr>
        <w:t>Approfondir : documenter les facteurs de la hausse durable observée pour la valeur ajoutée des PME.</w:t>
      </w:r>
    </w:p>
    <w:p>
      <w:pPr>
        <w:pStyle w:val="ListBullet"/>
      </w:pPr>
      <w:r>
        <w:rPr>
          <w:b w:val="0"/>
        </w:rPr>
        <w:t>Cibler : examiner la situation de « Nord-Ouest » pour les OES enregistrées.</w:t>
      </w:r>
    </w:p>
    <w:p>
      <w:pPr>
        <w:pStyle w:val="ListBullet"/>
      </w:pPr>
      <w:r>
        <w:rPr>
          <w:b w:val="0"/>
        </w:rPr>
        <w:t>Suivre : fixer un objectif de référence pour les UPA enregistrées.</w:t>
      </w:r>
    </w:p>
    <w:p>
      <w:r>
        <w:rPr>
          <w:b w:val="0"/>
          <w:i w:val="0"/>
        </w:rPr>
        <w:t>Exercice 2023 : 4 évolutions calculables (stock, créations, OES, UPA), sous le minimum de 5 ; la note le signale et l'explique plutôt que d'y faire figurer des évolutions non comparables. Version rédigée par le modèle de langage (2024, avant les améliorations) : 7 évolutions, 776 mots, BN4 et BN5 satisfaits.</w:t>
      </w:r>
    </w:p>
    <w:p>
      <w:r>
        <w:rPr>
          <w:b w:val="0"/>
          <w:i/>
          <w:sz w:val="20"/>
        </w:rPr>
        <w:t>Correction du 11/10/2026 : dans l'Annuaire 2024, le stock régional est estimé au prorata, si bien que toutes les régions progressent de 12,8 %. La version précédente désignait arbitrairement « Adamaoua » comme la dynamique la plus forte ; la note le constate désormais (« toutes les catégories évoluent au même rythme ») et retient la dynamique de la valeur ajoutée des TPE. Le nombre de mots passe de 549 à 603.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7F5"/>
          </w:tcPr>
          <w:p>
            <w:r/>
            <w:r>
              <w:rPr>
                <w:b/>
                <w:color w:val="007A5E"/>
                <w:sz w:val="20"/>
              </w:rPr>
              <w:t xml:space="preserve">Texte proposé : </w:t>
            </w:r>
            <w:r>
              <w:rPr>
                <w:i/>
                <w:sz w:val="20"/>
              </w:rPr>
              <w:t>La note retient une évolution par grandeur suivie (stock, créations, valeur ajoutée, organisations de l'économie sociale, unités de production artisanale), celle de son total, et la détaille par la sous-catégorie la plus dynamique, à condition que celle-ci repose sur un effectif d'au moins 50 unités et 1 % du total. Une variation calculée sur un très petit effectif n'est jamais présentée comme une tendance.</w:t>
            </w:r>
          </w:p>
        </w:tc>
      </w:tr>
    </w:tbl>
    <w:p/>
    <w:p>
      <w:pPr>
        <w:pStyle w:val="Heading1"/>
      </w:pPr>
      <w:r>
        <w:rPr>
          <w:color w:val="007A5E"/>
        </w:rPr>
        <w:t>6. Chaîne de traçabilité (Tableau 3.7)</w:t>
      </w:r>
    </w:p>
    <w:p>
      <w:r>
        <w:rPr>
          <w:b/>
          <w:sz w:val="20"/>
        </w:rPr>
        <w:t>Tableau R9 — De l'énoncé de la note à la cellule de l'Annuaire</w:t>
      </w:r>
      <w:r>
        <w:rPr>
          <w:i/>
          <w:color w:val="5B6770"/>
          <w:sz w:val="18"/>
        </w:rPr>
        <w:t xml:space="preserve">  Source : data/outputs/tracabilite_exemple.csv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Énoncé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Commentaire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Variation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Ligne / colonne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Tableau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Par rapport à 2023, ce total progresse de 12,8 %.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n° 1661 (stock-pme-region, non validé)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12,8 %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443 524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Total / 2024 (e) · Effectif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Annuaire 2024, tableau 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Par rapport à 2023, ce total progresse de 12,8 %.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n° 1661 (stock-pme-region, non validé)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12,8 %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393 175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Total / 2023 (e)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Annuaire 2024, tableau 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Par rapport à 2023, « VA des PME » progresse de 11,8 %.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n° 1672 (pme-typologie, non validé)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11,8 %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7 291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VA des PME / 2024 (e)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Annuaire 2024, tableau 16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Par rapport à 2023, « VA des PME » progresse de 11,8 %.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n° 1672 (pme-typologie, non validé)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11,8 %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6 524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VA des PME / 2023 (e)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Annuaire 2024, tableau 16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27</w:t>
            </w:r>
          </w:p>
        </w:tc>
      </w:tr>
    </w:tbl>
    <w:p/>
    <w:p>
      <w:r>
        <w:rPr>
          <w:b w:val="0"/>
          <w:i w:val="0"/>
        </w:rPr>
        <w:t>Lecture : chaque énoncé chiffré de la note renvoie à un commentaire, à la variation calculée par le programme, puis aux deux valeurs de l'Annuaire qui la fondent (exercice et référence), avec ligne, colonne, tableau et page.</w:t>
      </w:r>
    </w:p>
    <w:p>
      <w:r>
        <w:br w:type="page"/>
      </w:r>
    </w:p>
    <w:p>
      <w:pPr>
        <w:pStyle w:val="Heading1"/>
      </w:pPr>
      <w:r>
        <w:rPr>
          <w:color w:val="007A5E"/>
        </w:rPr>
        <w:t>7. H1 — Recherche documentaire (sections 4.1 et 4.2)</w:t>
      </w:r>
    </w:p>
    <w:p>
      <w:r>
        <w:rPr>
          <w:b/>
          <w:sz w:val="20"/>
        </w:rPr>
        <w:t>Tableau R10 — Récupération sur 52 questions du corpus (encodeur bge-m3)</w:t>
      </w:r>
      <w:r>
        <w:rPr>
          <w:i/>
          <w:color w:val="5B6770"/>
          <w:sz w:val="18"/>
        </w:rPr>
        <w:t xml:space="preserve">  Source : 2026-09-30_bge-m3_sans-llm/h1_recuperation_configurations.csv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Succès@1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Succès@5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nDCG@5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Lexicale seule (lexique pondéré)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0,40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0,71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0,53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0,59</w:t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Lexicale sans lexique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0,38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0,71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0,52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0,61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Dense seule (bge-m3)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0,54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0,85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0,67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0,85</w:t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Hybride, RRF k = 10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0,60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0,88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0,71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0,83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Hybride, RRF k = 20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0,58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0,87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0,69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0,82</w:t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Hybride, RRF k = 60 (retenu a priori)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0,58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0,88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0,69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/>
                <w:sz w:val="18"/>
              </w:rPr>
              <w:t>0,82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Hybride sans lexique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0,60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0,85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0,71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h1_succes5_mr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R8 — Succès@5 et MRR par configuration (bge-m3)</w:t>
      </w:r>
      <w:r>
        <w:rPr>
          <w:i/>
          <w:color w:val="5B6770"/>
          <w:sz w:val="18"/>
        </w:rPr>
        <w:br/>
        <w:t>Source : 2026-09-30_bge-m3_sans-llm/figure_h1_succes5_mrr.png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h1_abl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R9 — Ablations : valeur de k et rôle du lexique métier</w:t>
      </w:r>
      <w:r>
        <w:rPr>
          <w:i/>
          <w:color w:val="5B6770"/>
          <w:sz w:val="18"/>
        </w:rPr>
        <w:br/>
        <w:t>Source : 2026-09-30_bge-m3_sans-llm/figure_h1_ablations.png</w:t>
      </w:r>
    </w:p>
    <w:p>
      <w:r>
        <w:rPr>
          <w:b/>
          <w:sz w:val="20"/>
        </w:rPr>
        <w:t>Tableau R11 — Tests de Wilcoxon appariés (hybride k = 60)</w:t>
      </w:r>
      <w:r>
        <w:rPr>
          <w:i/>
          <w:color w:val="5B6770"/>
          <w:sz w:val="18"/>
        </w:rPr>
        <w:t xml:space="preserve">  Source : 2026-09-30_bge-m3_sans-llm/resultats.json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Comparaison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Mesure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Δ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9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Questions gagnées / perdues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Hybride vs lexicale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rang réciproque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+0,168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&lt; 0,001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25 / 6</w:t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Hybride vs dense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rang réciproque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+0,019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0,681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9 / 11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Hybride vs lexicale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Succès@5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  <w:t>0,007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Hybride vs dense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Succès@5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  <w:t>0,414</w:t>
            </w:r>
          </w:p>
        </w:tc>
        <w:tc>
          <w:tcPr>
            <w:tcW w:type="dxa" w:w="1949"/>
            <w:shd w:val="clear" w:color="auto" w:fill="F2F7F5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0"/>
        </w:rPr>
        <w:t>Tableau R12 — Abstention (validation croisée à 5 plis, signal = cosinus dense maximal)</w:t>
      </w:r>
      <w:r>
        <w:rPr>
          <w:i/>
          <w:color w:val="5B6770"/>
          <w:sz w:val="18"/>
        </w:rPr>
        <w:t xml:space="preserve">  Source : 2026-09-30_bge-m3_sans-llm/h1_abstention_validation_croisee_dense_max_refus_a_tort_max.csv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Mesure</w:t>
            </w:r>
          </w:p>
        </w:tc>
        <w:tc>
          <w:tcPr>
            <w:tcW w:type="dxa" w:w="4873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Questions hors corpus refusées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10 / 10 (100 %)</w:t>
            </w:r>
          </w:p>
        </w:tc>
      </w:tr>
      <w:tr>
        <w:tc>
          <w:tcPr>
            <w:tcW w:type="dxa" w:w="4873"/>
            <w:shd w:val="clear" w:color="auto" w:fill="F2F7F5"/>
          </w:tcPr>
          <w:p>
            <w:r/>
            <w:r>
              <w:rPr>
                <w:b w:val="0"/>
                <w:sz w:val="18"/>
              </w:rPr>
              <w:t>Questions du corpus refusées à tort</w:t>
            </w:r>
          </w:p>
        </w:tc>
        <w:tc>
          <w:tcPr>
            <w:tcW w:type="dxa" w:w="4873"/>
            <w:shd w:val="clear" w:color="auto" w:fill="F2F7F5"/>
          </w:tcPr>
          <w:p>
            <w:r/>
            <w:r>
              <w:rPr>
                <w:b w:val="0"/>
                <w:sz w:val="18"/>
              </w:rPr>
              <w:t>3 / 52 (5,8 %)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Seuil calibré (bge-m3)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0,621</w:t>
            </w:r>
          </w:p>
        </w:tc>
      </w:tr>
      <w:tr>
        <w:tc>
          <w:tcPr>
            <w:tcW w:type="dxa" w:w="4873"/>
            <w:shd w:val="clear" w:color="auto" w:fill="F2F7F5"/>
          </w:tcPr>
          <w:p>
            <w:r/>
            <w:r>
              <w:rPr>
                <w:b w:val="0"/>
                <w:sz w:val="18"/>
              </w:rPr>
              <w:t>Pour mémoire, encodeur de repli</w:t>
            </w:r>
          </w:p>
        </w:tc>
        <w:tc>
          <w:tcPr>
            <w:tcW w:type="dxa" w:w="4873"/>
            <w:shd w:val="clear" w:color="auto" w:fill="F2F7F5"/>
          </w:tcPr>
          <w:p>
            <w:r/>
            <w:r>
              <w:rPr>
                <w:b w:val="0"/>
                <w:sz w:val="18"/>
              </w:rPr>
              <w:t>9 / 10 refusées ; seuil 0,489</w:t>
            </w:r>
          </w:p>
        </w:tc>
      </w:tr>
    </w:tbl>
    <w:p/>
    <w:p>
      <w:r>
        <w:rPr>
          <w:b w:val="0"/>
          <w:i w:val="0"/>
        </w:rPr>
        <w:t>k = 60 a été fixé a priori et n'est pas réajusté, même si k = 10 obtient un MRR un peu plus élevé : ce serait du sur-ajustement. Le lexique métier fait gagner 2 questions au Succès@5 hybride, sans effet sur le MRR. Le taux de 5,8 % de refus à tort dépasse légèrement la cible de 5 %, fixée sur les plis d'apprentissage. Kappa du jeu de questions : non mesuré (seconde annotation à faire).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7F5"/>
          </w:tcPr>
          <w:p>
            <w:r/>
            <w:r>
              <w:rPr>
                <w:b/>
                <w:color w:val="007A5E"/>
                <w:sz w:val="20"/>
              </w:rPr>
              <w:t xml:space="preserve">Texte proposé : </w:t>
            </w:r>
            <w:r>
              <w:rPr>
                <w:i/>
                <w:sz w:val="20"/>
              </w:rPr>
              <w:t>Avec l'encodeur bge-m3, la recherche hybride place une page pertinente parmi les cinq premiers résultats pour 88 % des 52 questions (MRR 0,69), au-dessus du seuil de 80 % fixé par H1. Elle fait significativement mieux que la recherche par mots-clés (p &lt; 0,001), mais pas significativement mieux que la recherche sémantique seule (85 %, p = 0,68) : avec un encodeur performant, l'apport de la fusion est faible sur ce jeu. Toutes les questions hors sujet sont refusées.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A5E"/>
        </w:rPr>
        <w:t>8. H1 — Ancrage par les rédactions antérieures (section 4.3)</w:t>
      </w:r>
    </w:p>
    <w:p>
      <w:r>
        <w:rPr>
          <w:b/>
          <w:sz w:val="20"/>
        </w:rPr>
        <w:t>Tableau R13 — Commentaires du modèle avec / sans appui sur les commentaires antérieurs (gpt-oss-20b)</w:t>
      </w:r>
      <w:r>
        <w:rPr>
          <w:i/>
          <w:color w:val="5B6770"/>
          <w:sz w:val="18"/>
        </w:rPr>
        <w:t xml:space="preserve">  Source : 2026-09-28_api_gpt-oss-20b/exercice_20XX/h1_ancrage_par_indicateur.csv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Exercice</w:t>
            </w:r>
          </w:p>
        </w:tc>
        <w:tc>
          <w:tcPr>
            <w:tcW w:type="dxa" w:w="1624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624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ROUGE-L avec / sans</w:t>
            </w:r>
          </w:p>
        </w:tc>
        <w:tc>
          <w:tcPr>
            <w:tcW w:type="dxa" w:w="1624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624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Similarité avec / sans</w:t>
            </w:r>
          </w:p>
        </w:tc>
        <w:tc>
          <w:tcPr>
            <w:tcW w:type="dxa" w:w="1624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p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8"/>
              </w:rPr>
              <w:t>0,17 / 0,19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8"/>
              </w:rPr>
              <w:t>0,773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8"/>
              </w:rPr>
              <w:t>0,44 / 0,52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8"/>
              </w:rPr>
              <w:t>0,793</w:t>
            </w:r>
          </w:p>
        </w:tc>
      </w:tr>
      <w:tr>
        <w:tc>
          <w:tcPr>
            <w:tcW w:type="dxa" w:w="1624"/>
            <w:shd w:val="clear" w:color="auto" w:fill="F2F7F5"/>
          </w:tcPr>
          <w:p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1624"/>
            <w:shd w:val="clear" w:color="auto" w:fill="F2F7F5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624"/>
            <w:shd w:val="clear" w:color="auto" w:fill="F2F7F5"/>
          </w:tcPr>
          <w:p>
            <w:r/>
            <w:r>
              <w:rPr>
                <w:b w:val="0"/>
                <w:sz w:val="18"/>
              </w:rPr>
              <w:t>0,13 / 0,16</w:t>
            </w:r>
          </w:p>
        </w:tc>
        <w:tc>
          <w:tcPr>
            <w:tcW w:type="dxa" w:w="1624"/>
            <w:shd w:val="clear" w:color="auto" w:fill="F2F7F5"/>
          </w:tcPr>
          <w:p>
            <w:r/>
            <w:r>
              <w:rPr>
                <w:b w:val="0"/>
                <w:sz w:val="18"/>
              </w:rPr>
              <w:t>0,942</w:t>
            </w:r>
          </w:p>
        </w:tc>
        <w:tc>
          <w:tcPr>
            <w:tcW w:type="dxa" w:w="1624"/>
            <w:shd w:val="clear" w:color="auto" w:fill="F2F7F5"/>
          </w:tcPr>
          <w:p>
            <w:r/>
            <w:r>
              <w:rPr>
                <w:b w:val="0"/>
                <w:sz w:val="18"/>
              </w:rPr>
              <w:t>0,37 / 0,46</w:t>
            </w:r>
          </w:p>
        </w:tc>
        <w:tc>
          <w:tcPr>
            <w:tcW w:type="dxa" w:w="1624"/>
            <w:shd w:val="clear" w:color="auto" w:fill="F2F7F5"/>
          </w:tcPr>
          <w:p>
            <w:r/>
            <w:r>
              <w:rPr>
                <w:b w:val="0"/>
                <w:sz w:val="18"/>
              </w:rPr>
              <w:t>0,923</w:t>
            </w:r>
          </w:p>
        </w:tc>
      </w:tr>
    </w:tbl>
    <w:p/>
    <w:p>
      <w:r>
        <w:rPr>
          <w:b w:val="0"/>
          <w:i w:val="0"/>
        </w:rPr>
      </w:r>
      <w:r>
        <w:rPr>
          <w:b/>
          <w:i w:val="0"/>
        </w:rPr>
        <w:t>Critère non atteint</w:t>
      </w:r>
      <w:r>
        <w:rPr>
          <w:b w:val="0"/>
          <w:i w:val="0"/>
        </w:rPr>
        <w:t xml:space="preserve"> : en 2024, 4 indicateurs gagnent et 9 perdent avec l'appui.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7F5"/>
          </w:tcPr>
          <w:p>
            <w:r/>
            <w:r>
              <w:rPr>
                <w:b/>
                <w:color w:val="007A5E"/>
                <w:sz w:val="20"/>
              </w:rPr>
              <w:t xml:space="preserve">Texte proposé : </w:t>
            </w:r>
            <w:r>
              <w:rPr>
                <w:i/>
                <w:sz w:val="20"/>
              </w:rPr>
              <w:t>Contrairement à l'hypothèse, fournir au modèle les commentaires des éditions antérieures n'améliore pas la proximité avec le commentaire publié (ROUGE-L 0,17 contre 0,19, p = 0,77). Deux explications sont plausibles : le modèle reprend des formulations d'éditions passées, qui diffèrent de celles de l'édition évaluée ; les modèles de rédaction allongent le contexte au détriment des valeurs de l'exercice.</w:t>
            </w:r>
          </w:p>
        </w:tc>
      </w:tr>
    </w:tbl>
    <w:p/>
    <w:p>
      <w:pPr>
        <w:pStyle w:val="Heading2"/>
      </w:pPr>
      <w:r>
        <w:rPr>
          <w:color w:val="007A5E"/>
        </w:rPr>
        <w:t>Le modèle de langage face aux gabarits</w:t>
      </w:r>
    </w:p>
    <w:p>
      <w:r>
        <w:rPr>
          <w:b/>
          <w:sz w:val="20"/>
        </w:rPr>
        <w:t>Tableau R14 — Proximité avec les commentaires publiés : gabarits contre modèle ancré</w:t>
      </w:r>
      <w:r>
        <w:rPr>
          <w:i/>
          <w:color w:val="5B6770"/>
          <w:sz w:val="18"/>
        </w:rPr>
        <w:t xml:space="preserve">  Source : 2026-09-28_api_gpt-oss-20b/exercice_20XX/h1_reference_gabarits_par_indicateur.csv ; 2026-10-01_apres-plan-AB_sans-llm/resume.md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Rédaction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ROUGE-L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Similarité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Indicateurs commentés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Valeurs citées (moy.)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Mots (moy.)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Gabarits 2024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0,14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0,40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3,6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61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/>
                <w:sz w:val="18"/>
              </w:rPr>
              <w:t>LLM ancré 2024 (gpt-oss-20b)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/>
                <w:sz w:val="18"/>
              </w:rPr>
              <w:t>0,19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/>
                <w:sz w:val="18"/>
              </w:rPr>
              <w:t>0,49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/>
                <w:sz w:val="18"/>
              </w:rPr>
              <w:t>100 %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/>
                <w:sz w:val="18"/>
              </w:rPr>
              <w:t>10,2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/>
                <w:sz w:val="18"/>
              </w:rPr>
              <w:t>133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Gabarits 2023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0,12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0,38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3,0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57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LLM ancré 2023 (gpt-oss-20b)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0,13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0,37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86 %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7,9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91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Gabarits 2024, après améliorations A–B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0,16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0,43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6,4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110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h1_gabarits_vs_ll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R10 — Gabarits contre modèle de langage ancré (2024)</w:t>
      </w:r>
      <w:r>
        <w:rPr>
          <w:i/>
          <w:color w:val="5B6770"/>
          <w:sz w:val="18"/>
        </w:rPr>
        <w:br/>
        <w:t>Source : 2026-09-28_api_gpt-oss-20b/figure_h1_gabarits_vs_llm.png</w:t>
      </w:r>
    </w:p>
    <w:p>
      <w:r>
        <w:rPr>
          <w:b w:val="0"/>
          <w:i w:val="0"/>
        </w:rPr>
        <w:t xml:space="preserve">Wilcoxon apparié, LLM contre gabarits : 2024, ROUGE-L Δ = +0,049, </w:t>
      </w:r>
      <w:r>
        <w:rPr>
          <w:b/>
          <w:i w:val="0"/>
        </w:rPr>
        <w:t>p = 0,013</w:t>
      </w:r>
      <w:r>
        <w:rPr>
          <w:b w:val="0"/>
          <w:i w:val="0"/>
        </w:rPr>
        <w:t xml:space="preserve"> (11 gagnent, 2 perdent), similarité Δ = +0,088, </w:t>
      </w:r>
      <w:r>
        <w:rPr>
          <w:b/>
          <w:i w:val="0"/>
        </w:rPr>
        <w:t>p = 0,008</w:t>
      </w:r>
      <w:r>
        <w:rPr>
          <w:b w:val="0"/>
          <w:i w:val="0"/>
        </w:rPr>
        <w:t xml:space="preserve"> ; 2023, ROUGE-L Δ = +0,016, p = 0,153, similarité Δ = −0,009, p = 0,670. Les tests portent sur les gabarits du 28/09 ; après les améliorations, les gabarits 2024 atteignent un ROUGE-L de 0,16 (comparaison au LLM non refaite).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7F5"/>
          </w:tcPr>
          <w:p>
            <w:r/>
            <w:r>
              <w:rPr>
                <w:b/>
                <w:color w:val="007A5E"/>
                <w:sz w:val="20"/>
              </w:rPr>
              <w:t xml:space="preserve">Texte proposé : </w:t>
            </w:r>
            <w:r>
              <w:rPr>
                <w:i/>
                <w:sz w:val="20"/>
              </w:rPr>
              <w:t>Face à une rédaction automatique par gabarits (ROUGE-L 0,14), le modèle ancré atteint 0,19 en 2024 (p = 0,013) et se rapproche significativement des commentaires publiés, en citant trois fois plus de valeurs, toutes contrôlées. Sur l'exercice 2023, l'écart va dans le même sens mais n'est pas significatif (p = 0,15).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A5E"/>
        </w:rPr>
        <w:t>9. H2 — Contrôle de citation littérale (section 4.4)</w:t>
      </w:r>
    </w:p>
    <w:p>
      <w:r>
        <w:rPr>
          <w:b/>
          <w:sz w:val="20"/>
        </w:rPr>
        <w:t>Tableau R15 — Valeurs citées par le modèle, sans et avec contrôle</w:t>
      </w:r>
      <w:r>
        <w:rPr>
          <w:i/>
          <w:color w:val="5B6770"/>
          <w:sz w:val="18"/>
        </w:rPr>
        <w:t xml:space="preserve">  Source : 2026-09-28_api_gpt-oss-20b/exercice_20XX/h2_par_indicateur.csv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Exercice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Non soutenues sans contrôle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Après contrôle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Exactitude après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Couverture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Couv_ind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Valeurs écartées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 / 120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 / 120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0,92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 / 112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 / 110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0,982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0,86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 (arrondi 1, calcul 1)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h2_exactitude_couver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R11 — Exactitude et Couv_ind, ancrage simple contre ancrage + citation littérale (2024)</w:t>
      </w:r>
      <w:r>
        <w:rPr>
          <w:i/>
          <w:color w:val="5B6770"/>
          <w:sz w:val="18"/>
        </w:rPr>
        <w:br/>
        <w:t>Source : 2026-09-28_api_gpt-oss-20b/figure_h2_exactitude_couverture.png</w:t>
      </w:r>
    </w:p>
    <w:p>
      <w:r>
        <w:rPr>
          <w:b/>
          <w:sz w:val="20"/>
        </w:rPr>
        <w:t>Tableau R16 — Critères de H2</w:t>
      </w:r>
      <w:r>
        <w:rPr>
          <w:i/>
          <w:color w:val="5B6770"/>
          <w:sz w:val="18"/>
        </w:rPr>
        <w:t xml:space="preserve">  Source : 2026-09-28_api_gpt-oss-20b/resume.md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Critère</w:t>
            </w:r>
          </w:p>
        </w:tc>
        <w:tc>
          <w:tcPr>
            <w:tcW w:type="dxa" w:w="32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Mesure</w:t>
            </w:r>
          </w:p>
        </w:tc>
        <w:tc>
          <w:tcPr>
            <w:tcW w:type="dxa" w:w="3249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Atteint ?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0 valeur non soutenue après contrôle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0 (2024 et 2023)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≥ 1 valeur non soutenue sans contrôle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0 en 2024 ; 2 en 2023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non en 2024 (oui en 2023)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TFR &lt; 5 %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non mesurable en 2024 ; à établir par relecture en 2023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à établir</w:t>
            </w:r>
          </w:p>
        </w:tc>
      </w:tr>
      <w:tr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Couv_ind ≥ 80 %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0,92 (2024) ; 0,86 (2023)</w:t>
            </w:r>
          </w:p>
        </w:tc>
        <w:tc>
          <w:tcPr>
            <w:tcW w:type="dxa" w:w="3249"/>
            <w:shd w:val="clear" w:color="auto" w:fill="F2F7F5"/>
          </w:tcPr>
          <w:p>
            <w:r/>
            <w:r>
              <w:rPr>
                <w:b w:val="0"/>
                <w:sz w:val="18"/>
              </w:rPr>
              <w:t>oui</w:t>
            </w:r>
          </w:p>
        </w:tc>
      </w:tr>
    </w:tbl>
    <w:p/>
    <w:p>
      <w:r>
        <w:rPr>
          <w:b w:val="0"/>
          <w:i w:val="0"/>
        </w:rPr>
        <w:t>En 2023, des deux valeurs écartées, « plus de 78 % » est un calcul du modèle, écarté à juste titre ; « inférieure à 4 % » est un seuil, discutable. Le TFR définitif est à établir par relecture (h2_echantillon_relecture.csv).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7F5"/>
          </w:tcPr>
          <w:p>
            <w:r/>
            <w:r>
              <w:rPr>
                <w:b/>
                <w:color w:val="007A5E"/>
                <w:sz w:val="20"/>
              </w:rPr>
              <w:t xml:space="preserve">Texte proposé : </w:t>
            </w:r>
            <w:r>
              <w:rPr>
                <w:i/>
                <w:sz w:val="20"/>
              </w:rPr>
              <w:t>Ancré sur les valeurs autorisées, gpt-oss-20b n'a cité aucune valeur non soutenue en 2024 (120 valeurs) et 2 sur 112 en 2023, retirées par le contrôle littéral. Le contrôle garantit une exactitude de 100 % après filtrage, pour une couverture de 98 à 100 % des valeurs citées. Sa valeur ajoutée est réelle mais rare avec un modèle bien ancré ; elle se manifeste davantage sur la borne haute 120b (3,3 % de valeurs écartées) et sur les commentaires publiés eux-mêmes.</w:t>
            </w:r>
          </w:p>
        </w:tc>
      </w:tr>
    </w:tbl>
    <w:p/>
    <w:p>
      <w:pPr>
        <w:pStyle w:val="Heading2"/>
      </w:pPr>
      <w:r>
        <w:rPr>
          <w:color w:val="007A5E"/>
        </w:rPr>
        <w:t>Analyse complémentaire : les commentaires publiés passés au contrôle (ce n'est pas H2)</w:t>
      </w:r>
    </w:p>
    <w:p>
      <w:r>
        <w:rPr>
          <w:b/>
          <w:sz w:val="20"/>
        </w:rPr>
        <w:t>Tableau R17 — Valeurs des commentaires publiés retrouvées littéralement dans les sources</w:t>
      </w:r>
      <w:r>
        <w:rPr>
          <w:i/>
          <w:color w:val="5B6770"/>
          <w:sz w:val="18"/>
        </w:rPr>
        <w:t xml:space="preserve">  Source : 2026-09-28_api_gpt-oss-20b/exercice_20XX/analyse_commentaires_publies.csv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Exercice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Retrouvées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Calcul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Invention*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Autre exercice</w:t>
            </w:r>
          </w:p>
        </w:tc>
        <w:tc>
          <w:tcPr>
            <w:tcW w:type="dxa" w:w="1392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Arrondi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61 / 123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49,6 %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26 / 86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30,2 %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92"/>
            <w:shd w:val="clear" w:color="auto" w:fill="F2F7F5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7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mmentaires_publi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R12 — Part des valeurs des commentaires publiés retrouvées littéralement</w:t>
      </w:r>
      <w:r>
        <w:rPr>
          <w:i/>
          <w:color w:val="5B6770"/>
          <w:sz w:val="18"/>
        </w:rPr>
        <w:br/>
        <w:t>Source : 2026-09-28_api_gpt-oss-20b/figure_commentaires_publies.png</w:t>
      </w:r>
    </w:p>
    <w:p>
      <w:r>
        <w:rPr>
          <w:b w:val="0"/>
          <w:i/>
          <w:sz w:val="20"/>
        </w:rPr>
        <w:t xml:space="preserve">* « Invention » regroupe tout ce qui n'a pas pu être rapproché d'une source (chiffres d'autres tableaux, appariements provisoires) : </w:t>
      </w:r>
      <w:r>
        <w:rPr>
          <w:b/>
          <w:i/>
          <w:sz w:val="20"/>
        </w:rPr>
        <w:t>cela ne signifie pas une erreur du ministère</w:t>
      </w:r>
      <w:r>
        <w:rPr>
          <w:b w:val="0"/>
          <w:i/>
          <w:sz w:val="20"/>
        </w:rPr>
        <w:t>. Une grande partie des chiffres publiés sont des calculs du rédacteur, argument pour que le programme calcule lui-même les variations.</w:t>
      </w:r>
    </w:p>
    <w:p>
      <w:r>
        <w:br w:type="page"/>
      </w:r>
    </w:p>
    <w:p>
      <w:pPr>
        <w:pStyle w:val="Heading1"/>
      </w:pPr>
      <w:r>
        <w:rPr>
          <w:color w:val="007A5E"/>
        </w:rPr>
        <w:t>10. H3 — Temps humain et qualité des notes (section 4.5)</w:t>
      </w:r>
    </w:p>
    <w:p>
      <w:r>
        <w:rPr>
          <w:b w:val="0"/>
          <w:i w:val="0"/>
        </w:rPr>
      </w:r>
      <w:r>
        <w:rPr>
          <w:b/>
          <w:i w:val="0"/>
        </w:rPr>
        <w:t>Non mesurée</w:t>
      </w:r>
      <w:r>
        <w:rPr>
          <w:b w:val="0"/>
          <w:i w:val="0"/>
        </w:rPr>
        <w:t xml:space="preserve"> : la séance chronométrée et la notation par les lecteurs restent à organiser. Fichiers prêts dans data/results/2026-09-28_api_gpt-oss-20b/ : h3_protocole_chronometrage.docx, h3_saisie_temps.xlsx, h3_grille_evaluation.xlsx (BN4 et BN5 pré-remplis par la vérification automatique).</w:t>
      </w:r>
    </w:p>
    <w:p>
      <w:pPr>
        <w:pStyle w:val="Heading1"/>
      </w:pPr>
      <w:r>
        <w:rPr>
          <w:color w:val="007A5E"/>
        </w:rPr>
        <w:t>11. Confrontation des hypothèses (section 4.6, Tableau 4.1)</w:t>
      </w:r>
    </w:p>
    <w:p>
      <w:r>
        <w:rPr>
          <w:b/>
          <w:sz w:val="20"/>
        </w:rPr>
        <w:t>Tableau R18 — Verdicts provisoires</w:t>
      </w:r>
      <w:r>
        <w:rPr>
          <w:i/>
          <w:color w:val="5B6770"/>
          <w:sz w:val="18"/>
        </w:rPr>
        <w:t xml:space="preserve">  Source : resume.md des exécutions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Hypothèse</w:t>
            </w:r>
          </w:p>
        </w:tc>
        <w:tc>
          <w:tcPr>
            <w:tcW w:type="dxa" w:w="2436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Critères atteints</w:t>
            </w:r>
          </w:p>
        </w:tc>
        <w:tc>
          <w:tcPr>
            <w:tcW w:type="dxa" w:w="2436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Critères non atteints ou non mesurés</w:t>
            </w:r>
          </w:p>
        </w:tc>
        <w:tc>
          <w:tcPr>
            <w:tcW w:type="dxa" w:w="2436"/>
            <w:shd w:val="clear" w:color="auto" w:fill="007A5E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H1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Succès@5 = 0,88 ≥ 0,80 ; hybride ≥ meilleure voie seule ; LLM ancré &gt; gabarits (p = 0,013)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Ancrage par les rédactions antérieures (ROUGE-L 0,17 vs 0,19, p = 0,77)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non validée (volet récupération atteint)</w:t>
            </w:r>
          </w:p>
        </w:tc>
      </w:tr>
      <w:tr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H2</w:t>
            </w:r>
          </w:p>
        </w:tc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0 valeur non soutenue après contrôle ; Couv_ind 0,92</w:t>
            </w:r>
          </w:p>
        </w:tc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≥ 1 valeur non soutenue sans contrôle (non atteint en 2024) ; TFR à établir</w:t>
            </w:r>
          </w:p>
        </w:tc>
        <w:tc>
          <w:tcPr>
            <w:tcW w:type="dxa" w:w="2436"/>
            <w:shd w:val="clear" w:color="auto" w:fill="F2F7F5"/>
          </w:tcPr>
          <w:p>
            <w:r/>
            <w:r>
              <w:rPr>
                <w:b w:val="0"/>
                <w:sz w:val="18"/>
              </w:rPr>
              <w:t>non validée (règle stricte)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H3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Temps humain et grille BN non mesurés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non concluante</w:t>
            </w:r>
          </w:p>
        </w:tc>
      </w:tr>
    </w:tbl>
    <w:p/>
    <w:p>
      <w:r>
        <w:rPr>
          <w:b w:val="0"/>
          <w:i/>
          <w:sz w:val="20"/>
        </w:rPr>
        <w:t>Règle : « validée » si tous les critères sont mesurés et atteints ; « non validée » si un critère mesuré n'est pas atteint ; « non concluante » si des critères restent non mesurés.</w:t>
      </w:r>
    </w:p>
    <w:p>
      <w:pPr>
        <w:pStyle w:val="Heading1"/>
      </w:pPr>
      <w:r>
        <w:rPr>
          <w:color w:val="007A5E"/>
        </w:rPr>
        <w:t>12. Résumé et abstract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7F5"/>
          </w:tcPr>
          <w:p>
            <w:r/>
            <w:r>
              <w:rPr>
                <w:b/>
                <w:color w:val="007A5E"/>
                <w:sz w:val="20"/>
              </w:rPr>
              <w:t xml:space="preserve">Texte proposé : </w:t>
            </w:r>
            <w:r>
              <w:rPr>
                <w:i/>
                <w:sz w:val="20"/>
              </w:rPr>
              <w:t>Sur un corpus de 18 publications (661 pages) du MINPMEESA, la recherche hybride place une page pertinente parmi les cinq premiers résultats pour 88 % des 52 questions de test, contre 71 % pour la recherche lexicale seule, et refuse toutes les questions hors sujet. Le contrôle de citation littérale garantit que toute valeur d'un commentaire produit est rattachée à une cellule d'un tableau de l'Annuaire ou à une variation calculée par le programme. Ancré sur ces valeurs, le modèle gpt-oss-20b produit des commentaires plus proches des commentaires publiés que des gabarits déterministes (ROUGE-L 0,19 contre 0,14, p = 0,013), sans aucune valeur non soutenue après contrôle.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7F5"/>
          </w:tcPr>
          <w:p>
            <w:r/>
            <w:r>
              <w:rPr>
                <w:b/>
                <w:color w:val="007A5E"/>
                <w:sz w:val="20"/>
              </w:rPr>
              <w:t xml:space="preserve">Texte proposé : </w:t>
            </w:r>
            <w:r>
              <w:rPr>
                <w:i/>
                <w:sz w:val="20"/>
              </w:rPr>
              <w:t>On a corpus of 18 MINPMEESA publications (661 pages), hybrid retrieval ranks a relevant page among the top five results for 88% of 52 test questions, versus 71% for lexical search alone, and declines all out-of-scope questions. Literal citation control guarantees that every value in a generated commentary is traced to an Annuaire table cell or to a variation computed by the program. Grounded on these values, the gpt-oss-20b model produces commentaries closer to the published ones than deterministic templates (ROUGE-L 0.19 vs 0.14, p = 0.013), with no unsupported value left after control.</w:t>
            </w:r>
          </w:p>
        </w:tc>
      </w:tr>
    </w:tbl>
    <w:p/>
    <w:p>
      <w:pPr>
        <w:pStyle w:val="Heading2"/>
      </w:pPr>
      <w:r>
        <w:rPr>
          <w:color w:val="007A5E"/>
        </w:rPr>
        <w:t>13. Ce qui reste à mesurer avant la soutenance</w:t>
      </w:r>
    </w:p>
    <w:p>
      <w:pPr>
        <w:pStyle w:val="ListBullet"/>
      </w:pPr>
      <w:r>
        <w:rPr>
          <w:b w:val="0"/>
        </w:rPr>
        <w:t>Validation des 58 appariements par double lecture, puis kappa de Cohen ; relancer ensuite la base et l'évaluation.</w:t>
      </w:r>
    </w:p>
    <w:p>
      <w:pPr>
        <w:pStyle w:val="ListBullet"/>
      </w:pPr>
      <w:r>
        <w:rPr>
          <w:b w:val="0"/>
        </w:rPr>
        <w:t>Seconde annotation du jeu de questions (kappa) et questions posées par les cadres (confirmation de H1).</w:t>
      </w:r>
    </w:p>
    <w:p>
      <w:pPr>
        <w:pStyle w:val="ListBullet"/>
      </w:pPr>
      <w:r>
        <w:rPr>
          <w:b w:val="0"/>
        </w:rPr>
        <w:t>Séance H3 (temps humain) et notation des notes stratégiques par les lecteurs (grille BN).</w:t>
      </w:r>
    </w:p>
    <w:p>
      <w:pPr>
        <w:pStyle w:val="ListBullet"/>
      </w:pPr>
      <w:r>
        <w:rPr>
          <w:b w:val="0"/>
        </w:rPr>
        <w:t>Relecture des valeurs écartées (TFR de H2).</w:t>
      </w:r>
    </w:p>
    <w:p>
      <w:pPr>
        <w:pStyle w:val="ListBullet"/>
      </w:pPr>
      <w:r>
        <w:rPr>
          <w:b w:val="0"/>
        </w:rPr>
        <w:t>Mesures Ollama (gpt-oss:20b) sur le poste cible de la Cellule (Tableau 3.2).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