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595959"/>
          <w:sz w:val="18"/>
        </w:rPr>
        <w:t>MINPMEESA — Cellule des Statistiques</w:t>
      </w:r>
    </w:p>
    <w:p>
      <w:pPr>
        <w:pStyle w:val="Title"/>
      </w:pPr>
      <w:r>
        <w:t>Commentaire — Évolution du nombre de PME crées dans les CFCE de 2019 à 2024</w:t>
      </w:r>
    </w:p>
    <w:p>
      <w:pPr>
        <w:spacing w:after="40"/>
      </w:pPr>
      <w:r>
        <w:rPr>
          <w:i/>
          <w:color w:val="595959"/>
          <w:sz w:val="16"/>
        </w:rPr>
        <w:t>Exercice 2024 ; tableau 7 de l'Annuaire (annuaire_2024)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t>En 2024, pour « Évolution du nombre de PME créées dans les CFCE entre 2018 et 2024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(Total | 2024)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Yaoundé, valeurs n° 10373 et n° 10372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10439 (réf. 2018)</w:t>
      </w:r>
    </w:p>
    <w:p>
      <w:r>
        <w:t>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(Yaoundé | 2024); annuaire_2024, tableau 7, p. 19 (Douala | 2024)</w:t>
      </w:r>
    </w:p>
    <w:p>
      <w:r>
        <w:t>Par rapport à 2023, l'évolution la plus marquée concerne « Ebolowa » (hausse de 8,4 %).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Ebolowa, valeurs n° 10408 et n° 10407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