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Commentaire — Évolution du nombre de PME crées dans les CFCE de 2019 à 2024</w:t>
      </w:r>
    </w:p>
    <w:p>
      <w:pPr>
        <w:spacing w:after="40"/>
      </w:pPr>
      <w:r>
        <w:rPr>
          <w:i/>
          <w:color w:val="595959"/>
          <w:sz w:val="16"/>
        </w:rPr>
        <w:t>Exercice 2024 ; tableau 7 de l'Annuaire (annuaire_2024) ; modèle : extractif (sans modèle de langage)</w:t>
      </w:r>
    </w:p>
    <w:p>
      <w:r>
        <w:rPr>
          <w:b/>
          <w:color w:val="A01E1E"/>
          <w:sz w:val="18"/>
        </w:rPr>
        <w:t>⚠ Texte produit en MODE EXTRACTIF (sans modèle de langage) : gabarits déterministes.</w:t>
      </w:r>
    </w:p>
    <w:p>
      <w:r>
        <w:rPr>
          <w:b/>
          <w:color w:val="A01E1E"/>
          <w:sz w:val="18"/>
        </w:rPr>
        <w:t>⚠ PROVISOIRE : appariement indicateur / tableau non encore validé par double lecture.</w:t>
      </w:r>
    </w:p>
    <w:p>
      <w:r>
        <w:t>En 2024, pour « Évolution du nombre de PME créées dans les CFCE entre 2018 et 2024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7, p. 19 (Total | 2024)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10445 et n° 10444 (réf. 2023)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10445 et n° 10439 (réf. 2018)</w:t>
      </w:r>
    </w:p>
    <w:p>
      <w:r>
        <w:t>Les valeurs les plus élevées en 2024 reviennent à « Yaoundé » (9 858) et à « Douala » (6 815).</w:t>
      </w:r>
    </w:p>
    <w:p>
      <w:pPr>
        <w:spacing w:after="40"/>
      </w:pPr>
      <w:r>
        <w:rPr>
          <w:i/>
          <w:color w:val="595959"/>
          <w:sz w:val="16"/>
        </w:rPr>
        <w:t>Sources : annuaire_2024, tableau 7, p. 19 (Yaoundé | 2024); annuaire_2024, tableau 7, p. 19 (Douala | 2024)</w:t>
      </w:r>
    </w:p>
    <w:p>
      <w:r>
        <w:t>Par rapport à 2023, l'évolution la plus marquée concerne « Bamenda » (hausse de 7,8 % de l'effectif).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Bamenda, valeurs n° 10401 et n° 10400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8"/>
      </w:rPr>
      <w:t>ANALYS'PME — MINPMEESA — Cellule des Statistiques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7A5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A5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7A5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7A5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