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Note d'analyse stratégique — exercice 2023</w:t>
      </w:r>
    </w:p>
    <w:p>
      <w:pPr>
        <w:spacing w:after="40"/>
      </w:pPr>
      <w:r>
        <w:rPr>
          <w:i/>
          <w:color w:val="595959"/>
          <w:sz w:val="16"/>
        </w:rPr>
        <w:t>Établie le 01/10/2026 ; 4 évolutions retenues ; 490 mots ; modèle : extractif (sans modèle de langage)</w:t>
      </w:r>
    </w:p>
    <w:p>
      <w:r>
        <w:rPr>
          <w:b/>
          <w:color w:val="A01E1E"/>
          <w:sz w:val="18"/>
        </w:rPr>
        <w:t>⚠ Texte produit en MODE EXTRACTIF (sans modèle de langage) : gabarits déterministes.</w:t>
      </w:r>
    </w:p>
    <w:p>
      <w:r>
        <w:rPr>
          <w:b/>
          <w:color w:val="A01E1E"/>
          <w:sz w:val="18"/>
        </w:rPr>
        <w:t>⚠ PROVISOIRE : appariement indicateur / tableau non encore validé par double lecture.</w:t>
      </w:r>
    </w:p>
    <w:p>
      <w:r>
        <w:rPr>
          <w:b/>
          <w:color w:val="A01E1E"/>
          <w:sz w:val="18"/>
        </w:rPr>
        <w:t>⚠ Commentaires non encore validés par la Cellule : document à relire.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color w:val="007A5E"/>
              </w:rPr>
              <w:t>Chiffres clés</w:t>
            </w:r>
          </w:p>
          <w:p>
            <w:pPr>
              <w:pStyle w:val="ListBullet"/>
            </w:pPr>
            <w:r>
              <w:t>Le stock de PME : 393 166 (+12,4 % par rapport à 2022).</w:t>
            </w:r>
          </w:p>
          <w:p>
            <w:pPr>
              <w:pStyle w:val="ListBullet"/>
            </w:pPr>
            <w:r>
              <w:t>Les créations de PME dans les CFCE : 19 651 (+26,0 % par rapport à 2022).</w:t>
            </w:r>
          </w:p>
          <w:p>
            <w:pPr>
              <w:pStyle w:val="ListBullet"/>
            </w:pPr>
            <w:r>
              <w:t>Les OES enregistrées : 3 865 (+13,5 % par rapport à 2022).</w:t>
            </w:r>
          </w:p>
          <w:p>
            <w:pPr>
              <w:pStyle w:val="ListBullet"/>
            </w:pPr>
            <w:r>
              <w:t>Les UPA enregistrées : 3 557 (−39,8 % par rapport à 2022).</w:t>
            </w:r>
          </w:p>
        </w:tc>
      </w:tr>
    </w:tbl>
    <w:p/>
    <w:p>
      <w:pPr>
        <w:pStyle w:val="Heading1"/>
      </w:pPr>
      <w:r>
        <w:t>Messages clés</w:t>
      </w:r>
    </w:p>
    <w:p>
      <w:pPr>
        <w:pStyle w:val="ListBullet"/>
      </w:pPr>
      <w:r>
        <w:t>En 2023, le stock de PME atteint 393 166, en hausse de 12,4 % par rapport à 2022.</w:t>
      </w:r>
    </w:p>
    <w:p>
      <w:pPr>
        <w:pStyle w:val="ListBullet"/>
      </w:pPr>
      <w:r>
        <w:t>La dynamique la plus forte concerne « Ouest » (répartition par région) pour les OES enregistrées : +135,2 % de l'effectif en un an.</w:t>
      </w:r>
    </w:p>
    <w:p>
      <w:pPr>
        <w:pStyle w:val="ListBullet"/>
      </w:pPr>
      <w:r>
        <w:t>Point de vigilance : les UPA enregistrées reculent pour « Est » (répartition par région), avec une baisse de 71,2 % de l'effectif par rapport à 2022.</w:t>
      </w:r>
    </w:p>
    <w:p>
      <w:pPr>
        <w:pStyle w:val="Heading1"/>
      </w:pPr>
      <w:r>
        <w:t>Évolutions marquantes</w:t>
      </w:r>
    </w:p>
    <w:p>
      <w:r>
        <w:t>Les UPA enregistrées — Par rapport à 2022, ce total recule de 39,8 %. Par rapport à 2022, dans la répartition par région, l'évolution la plus marquée concerne « Est » (baisse de 71,2 % de l'effectif). Historique trop court pour qualifier une tendance. Aucun objectif documenté dans le corpus.</w:t>
      </w:r>
    </w:p>
    <w:p>
      <w:r>
        <w:t>Les créations de PME dans les CFCE — Par rapport à 2022, ce total progresse de 26,0 %. Par rapport à 2022, l'évolution la plus marquée concerne « Yaoundé » (hausse de 71,1 % de l'effectif). Historique trop court pour qualifier une tendance. Aucun objectif documenté dans le corpus.</w:t>
      </w:r>
    </w:p>
    <w:p>
      <w:r>
        <w:t>Les OES enregistrées — Par rapport à 2022, ce total progresse de 13,5 %. Par rapport à 2022, dans la répartition par région, l'évolution la plus marquée concerne « Ouest » (hausse de 135,2 % de l'effectif). Historique trop court pour qualifier une tendance. Aucun objectif documenté dans le corpus.</w:t>
      </w:r>
    </w:p>
    <w:p>
      <w:r>
        <w:t>Le stock de PME — Par rapport à 2022, ce total progresse de 12,4 %. Par rapport à 2022, dans la répartition par Région, l'évolution la plus marquée concerne « Ouest » (hausse de 12,6 % du stock). Historique trop court pour qualifier une tendance. Aucun objectif documenté dans le corpus.</w:t>
      </w:r>
    </w:p>
    <w:p>
      <w:pPr>
        <w:pStyle w:val="Heading1"/>
      </w:pPr>
      <w:r>
        <w:t>Points d'attention</w:t>
      </w:r>
    </w:p>
    <w:p>
      <w:pPr>
        <w:pStyle w:val="ListBullet"/>
      </w:pPr>
      <w:r>
        <w:t>Recul des UPA enregistrées : par rapport à 2022, ce total recule de 39,8 %.</w:t>
      </w:r>
    </w:p>
    <w:p>
      <w:pPr>
        <w:pStyle w:val="ListBullet"/>
      </w:pPr>
      <w:r>
        <w:t>14 commentaire(s) mobilisé(s) n'ont pas encore été validés par la Cellule : la note est à relire.</w:t>
      </w:r>
    </w:p>
    <w:p>
      <w:pPr>
        <w:pStyle w:val="ListBullet"/>
      </w:pPr>
      <w:r>
        <w:t>Seules 4 grandeurs disposent d'une évolution calculable pour cet exercice (les UPA enregistrées, les créations de PME dans les CFCE, les OES enregistrées, le stock de PME) : la note en retient moins que le minimum prévu plutôt que d'y faire figurer des évolutions non comparables.</w:t>
      </w:r>
    </w:p>
    <w:p>
      <w:pPr>
        <w:pStyle w:val="Heading1"/>
      </w:pPr>
      <w:r>
        <w:t>Pistes pour la décision</w:t>
      </w:r>
    </w:p>
    <w:p>
      <w:pPr>
        <w:pStyle w:val="ListBullet"/>
      </w:pPr>
      <w:r>
        <w:t>Corriger : analyser les causes du recul observé pour les UPA enregistrées, en particulier pour « Est », et définir des mesures d'accompagnement ciblées.</w:t>
      </w:r>
    </w:p>
    <w:p>
      <w:pPr>
        <w:pStyle w:val="ListBullet"/>
      </w:pPr>
      <w:r>
        <w:t>Cibler : examiner la situation de « Yaoundé » pour les créations de PME dans les CFCE, afin d'identifier les facteurs locaux de la dynamique observée.</w:t>
      </w:r>
    </w:p>
    <w:p>
      <w:pPr>
        <w:pStyle w:val="ListBullet"/>
      </w:pPr>
      <w:r>
        <w:t>Cibler : examiner la situation de « Ouest » pour les OES enregistrées, afin d'identifier les facteurs locaux de la dynamique observée.</w:t>
      </w:r>
    </w:p>
    <w:p>
      <w:pPr>
        <w:pStyle w:val="ListBullet"/>
      </w:pPr>
      <w:r>
        <w:t>Cibler : examiner la situation de « Ouest » pour le stock de PME, afin d'identifier les facteurs locaux de la dynamique observée.</w:t>
      </w:r>
    </w:p>
    <w:p>
      <w:pPr>
        <w:pStyle w:val="Heading1"/>
      </w:pPr>
      <w:r>
        <w:t>Sources</w:t>
      </w:r>
    </w:p>
    <w:p>
      <w:pPr>
        <w:pStyle w:val="ListBullet"/>
      </w:pPr>
      <w:r>
        <w:t>annuaire_2023, tableau 4, p. 16</w:t>
      </w:r>
    </w:p>
    <w:p>
      <w:pPr>
        <w:pStyle w:val="ListBullet"/>
      </w:pPr>
      <w:r>
        <w:t>annuaire_2023, tableau 7, p. 17</w:t>
      </w:r>
    </w:p>
    <w:p>
      <w:pPr>
        <w:pStyle w:val="ListBullet"/>
      </w:pPr>
      <w:r>
        <w:t>annuaire_2023, tableau 19, p. 26</w:t>
      </w:r>
    </w:p>
    <w:p>
      <w:pPr>
        <w:pStyle w:val="ListBullet"/>
      </w:pPr>
      <w:r>
        <w:t>annuaire_2023, tableau 26, p. 32</w:t>
      </w:r>
    </w:p>
    <w:p>
      <w:pPr>
        <w:pStyle w:val="ListBullet"/>
      </w:pPr>
      <w:r>
        <w:t>Commentaire n° 389 (upa-enregistrees-dans-bureaux-communaux-region) — non validé</w:t>
      </w:r>
    </w:p>
    <w:p>
      <w:pPr>
        <w:pStyle w:val="ListBullet"/>
      </w:pPr>
      <w:r>
        <w:t>Commentaire n° 383 (pme-creees-sur-periode) — non validé</w:t>
      </w:r>
    </w:p>
    <w:p>
      <w:pPr>
        <w:pStyle w:val="ListBullet"/>
      </w:pPr>
      <w:r>
        <w:t>Commentaire n° 386 (nombre-oes-creees-hors-donnee-extreme) — non validé</w:t>
      </w:r>
    </w:p>
    <w:p>
      <w:pPr>
        <w:pStyle w:val="ListBullet"/>
      </w:pPr>
      <w:r>
        <w:t>Commentaire n° 380 (stock-pme-region) — non validé</w:t>
      </w:r>
    </w:p>
    <w:p>
      <w:pPr>
        <w:jc w:val="right"/>
      </w:pPr>
      <w:r>
        <w:rPr>
          <w:i/>
          <w:sz w:val="16"/>
        </w:rPr>
        <w:t>Chaque valeur est tracée jusqu'au tableau et à la page (voir le fichier de traçabilité).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8"/>
      </w:rPr>
      <w:t>ANALYS'PME — MINPMEESA — Cellule des Statistiques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7A5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7A5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7A5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7A5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