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Mémoire ANALYS'PME — éléments pour la finalisation</w:t>
      </w:r>
    </w:p>
    <w:p>
      <w:r>
        <w:rPr>
          <w:i/>
          <w:color w:val="595959"/>
        </w:rPr>
        <w:t>1er octobre 2026 — MINPMEESA, Cellule des Statistiques</w:t>
      </w:r>
    </w:p>
    <w:p>
      <w:pPr>
        <w:pStyle w:val="Heading1"/>
      </w:pPr>
      <w:r>
        <w:t>Mode d'emploi</w:t>
      </w:r>
    </w:p>
    <w:p>
      <w:r>
        <w:t>Ce document donne, pour chaque emplacement « ……… » laissé en attente dans le mémoire v5, la valeur ou le court texte à insérer, avec le fichier qui le justifie. Il ne réécrit pas votre texte : chaque ligne se colle à l'endroit indiqué.</w:t>
      </w:r>
    </w:p>
    <w:p>
      <w:r>
        <w:t>Les emplacements suivent la liste de la spécification du prototype : sections 3.1.4, 3.1.5, 3.4.2, 3.5.4, 4.1 à 4.6 ; Tableaux 2.6, 3.7, 3.8, 4.1, 4.2 ; Annexes I à V ; résumé et abstract (« PH »). Si un emplacement porte un autre numéro ou attend une autre grandeur dans votre mémoire, alignez-le sur la ligne correspondante.</w:t>
      </w:r>
    </w:p>
    <w:p>
      <w:r>
        <w:t>Toutes les valeurs viennent d'exécutions réelles : PC Windows avec gpt-oss-20b (28/09/2026), Google Colab pour les encodeurs et bge-m3 (30/09/2026). Les résultats restent provisoires tant que l'appariement n'est pas validé (dernière section).</w:t>
      </w:r>
    </w:p>
    <w:p>
      <w:pPr>
        <w:pStyle w:val="Heading1"/>
      </w:pPr>
      <w:r>
        <w:t>Tableau 2.6 et Annexe I — Corpus</w:t>
      </w:r>
    </w:p>
    <w:p>
      <w:r>
        <w:t xml:space="preserve">Le tableau se remplit tel quel ; source </w:t>
      </w:r>
      <w:r>
        <w:rPr>
          <w:rFonts w:ascii="Consolas" w:hAnsi="Consolas"/>
          <w:sz w:val="18"/>
        </w:rPr>
        <w:t>data/corpus/inventaire.csv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1377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377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Exercice</w:t>
            </w:r>
          </w:p>
        </w:tc>
        <w:tc>
          <w:tcPr>
            <w:tcW w:type="dxa" w:w="1377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Pages</w:t>
            </w:r>
          </w:p>
        </w:tc>
        <w:tc>
          <w:tcPr>
            <w:tcW w:type="dxa" w:w="1377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Tableaux</w:t>
            </w:r>
          </w:p>
        </w:tc>
        <w:tc>
          <w:tcPr>
            <w:tcW w:type="dxa" w:w="1377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Graphiques</w:t>
            </w:r>
          </w:p>
        </w:tc>
        <w:tc>
          <w:tcPr>
            <w:tcW w:type="dxa" w:w="1377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Passages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Annuaire 2021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annuaire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2021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80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97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Annuaire 2022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annuaire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2022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69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63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104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Annuaire 2023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annuaire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86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82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134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Annuaire 2024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annuaire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2024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97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86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142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Rapport d'analyse 2021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rapport d'analyse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2021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29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Rapport d'analyse 2022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rapport d'analyse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2022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40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Rapport d'analyse 2023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rapport d'analyse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58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Rapport d'analyse 2024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rapport d'analyse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2024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42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51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Note de conjoncture T3 2022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note de conjoncture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2022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28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Note de conjoncture T4 2023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note de conjoncture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34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75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Note de conjoncture T1 2024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note de conjoncture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2024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21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Note de conjoncture T2 2024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note de conjoncture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2024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21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Note de conjoncture T3 2024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note de conjoncture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2024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17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Note de conjoncture T1 2025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note de conjoncture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2025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Bulletin loi de finances 2023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contexte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Bulletin n°4 (crédits, garantie)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contexte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2024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Note de perspective inflation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contexte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2023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28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Note de perspective compétitivité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contexte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2024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48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28</w:t>
            </w:r>
          </w:p>
        </w:tc>
      </w:tr>
    </w:tbl>
    <w:p/>
    <w:p>
      <w:r>
        <w:t>Valeurs pour les phrases du texte autour du tableau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Emplacement</w:t>
            </w:r>
          </w:p>
        </w:tc>
        <w:tc>
          <w:tcPr>
            <w:tcW w:type="dxa" w:w="4819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Valeur à insérer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Nombre de publications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Nombre de pages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661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Passages indexés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903 (904 avec le document de test)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Valeurs extraites (triplets)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16 211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Variations calculées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4 242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Fragments rejetés (trop courts)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Documents manquants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notes de conjoncture T4 2024 et T1 à T3 2023</w:t>
            </w:r>
          </w:p>
        </w:tc>
      </w:tr>
    </w:tbl>
    <w:p/>
    <w:p>
      <w:pPr>
        <w:pStyle w:val="Heading1"/>
      </w:pPr>
      <w:r>
        <w:t>Sections 3.1.4 et 3.1.5 — Tableaux 3.2 et 3.3</w:t>
      </w:r>
    </w:p>
    <w:p>
      <w:pPr>
        <w:pStyle w:val="Heading2"/>
      </w:pPr>
      <w:r>
        <w:t>3.1.4 / Tableau 3.2 — Modèle de langage</w:t>
      </w:r>
    </w:p>
    <w:p>
      <w:r>
        <w:t xml:space="preserve">Source : </w:t>
      </w:r>
      <w:r>
        <w:rPr>
          <w:rFonts w:ascii="Consolas" w:hAnsi="Consolas"/>
          <w:sz w:val="18"/>
        </w:rPr>
        <w:t>data/results/2026-09-28_api_gpt-oss-20b/tableau_3_2_modeles_langage.json</w:t>
      </w:r>
      <w:r>
        <w:t xml:space="preserve"> (20 indicateurs).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Moteur / modèle</w:t>
            </w:r>
          </w:p>
        </w:tc>
        <w:tc>
          <w:tcPr>
            <w:tcW w:type="dxa" w:w="1928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Déployable</w:t>
            </w:r>
          </w:p>
        </w:tc>
        <w:tc>
          <w:tcPr>
            <w:tcW w:type="dxa" w:w="1928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Temps médian</w:t>
            </w:r>
          </w:p>
        </w:tc>
        <w:tc>
          <w:tcPr>
            <w:tcW w:type="dxa" w:w="1928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JSON valide</w:t>
            </w:r>
          </w:p>
        </w:tc>
        <w:tc>
          <w:tcPr>
            <w:tcW w:type="dxa" w:w="1928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Valeurs écartées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Ollama / gpt-oss:20b (retenu)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oui (16 Go de RAM)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non mesuré (Ollama absent du poste de mesure)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Ollama / llama3.1:8b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oui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non mesuré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Ollama / qwen2.5:7b-instruct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oui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non mesuré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Ollama / mistral:7b-instruct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oui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non mesuré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Ollama / llama3.2:3b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oui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non mesuré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Groq / openai/gpt-oss-20b (développement)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non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23,2 s (réseau inclus)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100 %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1,1 %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Groq / openai/gpt-oss-120b (borne haute)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non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26,2 s (réseau inclus)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100 %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3,3 %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Emplacement dans le texte</w:t>
            </w:r>
          </w:p>
        </w:tc>
        <w:tc>
          <w:tcPr>
            <w:tcW w:type="dxa" w:w="4819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Valeur à insérer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Modèle retenu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 xml:space="preserve">gpt-oss-20b (poids ouverts, licence Apache 2.0) ; Ollama </w:t>
            </w:r>
            <w:r>
              <w:rPr>
                <w:rFonts w:ascii="Consolas" w:hAnsi="Consolas"/>
                <w:sz w:val="18"/>
              </w:rPr>
              <w:t>gpt-oss:20b</w:t>
            </w:r>
            <w:r>
              <w:rPr>
                <w:sz w:val="18"/>
              </w:rPr>
              <w:t xml:space="preserve"> en exploitation, Groq </w:t>
            </w:r>
            <w:r>
              <w:rPr>
                <w:rFonts w:ascii="Consolas" w:hAnsi="Consolas"/>
                <w:sz w:val="18"/>
              </w:rPr>
              <w:t>openai/gpt-oss-20b</w:t>
            </w:r>
            <w:r>
              <w:rPr>
                <w:sz w:val="18"/>
              </w:rPr>
              <w:t xml:space="preserve"> en développement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Mémoire vive requise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16 Go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Raison du changement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llama3.1:8b retiré du catalogue Groq (« model_not_found »)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Réponses au format attendu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100 %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Valeurs écartées par le contrôle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1,1 % (contre 3,3 % pour la borne haute 120b)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Appels en échec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2 sur 20 (coupures réseau)</w:t>
            </w:r>
          </w:p>
        </w:tc>
      </w:tr>
    </w:tbl>
    <w:p/>
    <w:p>
      <w:pPr>
        <w:pStyle w:val="Heading2"/>
      </w:pPr>
      <w:r>
        <w:t>3.1.5 / Tableau 3.3 — Encodeur</w:t>
      </w:r>
    </w:p>
    <w:p>
      <w:r>
        <w:t xml:space="preserve">Source : </w:t>
      </w:r>
      <w:r>
        <w:rPr>
          <w:rFonts w:ascii="Consolas" w:hAnsi="Consolas"/>
          <w:sz w:val="18"/>
        </w:rPr>
        <w:t>data/results/2026-09-30_encodeurs/tableau_3_3_encodeurs.json</w:t>
      </w:r>
      <w:r>
        <w:t xml:space="preserve"> (52 questions ; Google Colab, processeur).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Encodeur</w:t>
            </w:r>
          </w:p>
        </w:tc>
        <w:tc>
          <w:tcPr>
            <w:tcW w:type="dxa" w:w="1377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Tokens lus (max.)</w:t>
            </w:r>
          </w:p>
        </w:tc>
        <w:tc>
          <w:tcPr>
            <w:tcW w:type="dxa" w:w="1377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Succès@5 hybride</w:t>
            </w:r>
          </w:p>
        </w:tc>
        <w:tc>
          <w:tcPr>
            <w:tcW w:type="dxa" w:w="1377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MRR hybride</w:t>
            </w:r>
          </w:p>
        </w:tc>
        <w:tc>
          <w:tcPr>
            <w:tcW w:type="dxa" w:w="1377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Dense seul (S@5 / MRR)</w:t>
            </w:r>
          </w:p>
        </w:tc>
        <w:tc>
          <w:tcPr>
            <w:tcW w:type="dxa" w:w="1377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 (MRR contre référence)</w:t>
            </w:r>
          </w:p>
        </w:tc>
        <w:tc>
          <w:tcPr>
            <w:tcW w:type="dxa" w:w="1377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Indexation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BAAI/bge-m3 (retenu)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8 192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0,88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0,694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0,85 / 0,674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0,016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9 090 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intfloat/multilingual-e5-large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512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0,87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0,681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0,85 / 0,619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0,015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4 989 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paraphrase-multilingual-MiniLM-L12-v2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128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0,81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0,512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0,46 / 0,394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0,348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136 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sentence-camembert-base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128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0,71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0,475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0,42 / 0,302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0,109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448 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sz w:val="18"/>
              </w:rPr>
              <w:t>Référence hors ligne (TF-IDF + SVD, 256 d.)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sans limite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0,79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0,581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0,75 / 0,559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sz w:val="18"/>
              </w:rPr>
              <w:t>29 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Emplacement dans le texte</w:t>
            </w:r>
          </w:p>
        </w:tc>
        <w:tc>
          <w:tcPr>
            <w:tcW w:type="dxa" w:w="4819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Valeur à insérer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Encodeur retenu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BAAI/bge-m3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Gain sur la référence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MRR hybride +0,11 (0,694 contre 0,581), p = 0,016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bge-m3 contre e5-large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équivalents : MRR 0,694 contre 0,681, p = 0,73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Durée d'indexation sur processeur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environ 2 h 30 (une seule fois, à la construction de la base)</w:t>
            </w:r>
          </w:p>
        </w:tc>
      </w:tr>
    </w:tbl>
    <w:p/>
    <w:p>
      <w:pPr>
        <w:pStyle w:val="Heading1"/>
      </w:pPr>
      <w:r>
        <w:t>Sections 3.4.2 et 3.5.4 — Tableaux 3.7 et 3.8</w:t>
      </w:r>
    </w:p>
    <w:p>
      <w:pPr>
        <w:pStyle w:val="Heading2"/>
      </w:pPr>
      <w:r>
        <w:t>3.4.2 — Interface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Emplacement dans le texte</w:t>
            </w:r>
          </w:p>
        </w:tc>
        <w:tc>
          <w:tcPr>
            <w:tcW w:type="dxa" w:w="4819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Valeur à insérer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Nom de l'outil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ANALYS'PME — assistant d'analyse des publications statistiques des PMEESA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Parcours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4 : Consulter, Commenter un indicateur, Note d'analyse, Note stratégique ; plus une page Base documentaire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Technologie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Streamlit, exécution locale (127.0.0.1), aucun appel réseau en exploitation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Temps de consultation (médiane / P90)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0,93 s / 1,31 s (base bge-m3, processeur, sans modèle de langage)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Temps d'un commentaire (gabarits)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0,01 s (médiane)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Temps d'une note d'analyse de chapitre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8,1 s (gabarits)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Temps d'une note stratégique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6,0 s (gabarits)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Temps avec gpt-oss-20b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non mesuré sur le poste cible ; via Groq, 23,2 s par commentaire (réseau inclus)</w:t>
            </w:r>
          </w:p>
        </w:tc>
      </w:tr>
    </w:tbl>
    <w:p/>
    <w:p>
      <w:r>
        <w:t xml:space="preserve">Source : </w:t>
      </w:r>
      <w:r>
        <w:rPr>
          <w:rFonts w:ascii="Consolas" w:hAnsi="Consolas"/>
          <w:sz w:val="18"/>
        </w:rPr>
        <w:t>data/results/2026-09-30_bge-m3_sans-llm/resultats.json</w:t>
      </w:r>
      <w:r>
        <w:t xml:space="preserve"> (</w:t>
      </w:r>
      <w:r>
        <w:rPr>
          <w:rFonts w:ascii="Consolas" w:hAnsi="Consolas"/>
          <w:sz w:val="18"/>
        </w:rPr>
        <w:t>h3_temps_systeme</w:t>
      </w:r>
      <w:r>
        <w:t>) ; captures en Annexe III.</w:t>
      </w:r>
    </w:p>
    <w:p>
      <w:pPr>
        <w:pStyle w:val="Heading2"/>
      </w:pPr>
      <w:r>
        <w:t>3.5.4 / Tableau 3.8 — Note stratégique 2024</w:t>
      </w:r>
    </w:p>
    <w:p>
      <w:r>
        <w:t xml:space="preserve">Source : </w:t>
      </w:r>
      <w:r>
        <w:rPr>
          <w:rFonts w:ascii="Consolas" w:hAnsi="Consolas"/>
          <w:sz w:val="18"/>
        </w:rPr>
        <w:t>data/outputs/note_strategique_2024.docx</w:t>
      </w:r>
      <w:r>
        <w:t xml:space="preserve"> et </w:t>
      </w:r>
      <w:r>
        <w:rPr>
          <w:rFonts w:ascii="Consolas" w:hAnsi="Consolas"/>
          <w:sz w:val="18"/>
        </w:rPr>
        <w:t>exemples_bilan.json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Critère</w:t>
            </w:r>
          </w:p>
        </w:tc>
        <w:tc>
          <w:tcPr>
            <w:tcW w:type="dxa" w:w="4819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Résultat (note 2024, gabarits)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BN1 — Évolutions retenues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5 (une par grandeur : stock de PME, créations dans les CFCE, valeur ajoutée, UPA, OES)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BN2 — Mise en perspective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tendance confirmée (valeur ajoutée) ou variation ponctuelle / historique trop court, pour chaque évolution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BN3 — Objectifs documentés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aucun rattaché dans cette version (un seul candidat dans le corpus : Note de perspective n°001/2024, p. 3)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BN4 — Traçabilité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satisfait : toute valeur tracée jusqu'au tableau et à la page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BN5 — Format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satisfait : 5 rubriques, 3 messages clés, 549 mots (≤ 900)</w:t>
            </w:r>
          </w:p>
        </w:tc>
      </w:tr>
    </w:tbl>
    <w:p/>
    <w:p>
      <w:r>
        <w:t>Chiffres clés de la note (encadré en tête)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Grandeur</w:t>
            </w:r>
          </w:p>
        </w:tc>
        <w:tc>
          <w:tcPr>
            <w:tcW w:type="dxa" w:w="3213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3213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Évolution sur un an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Stock de PME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443 524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+12,8 %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Créations de PME dans les CFCE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21 132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+7,5 %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Valeur ajoutée des PME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7 291 millions de FCFA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+11,8 %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UPA enregistrées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3 602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+1,3 %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OES enregistrées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3 909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+1,1 %</w:t>
            </w:r>
          </w:p>
        </w:tc>
      </w:tr>
    </w:tbl>
    <w:p/>
    <w:p>
      <w:r>
        <w:t>Note 2023 : 4 évolutions (minimum attendu : 5), 445 mots ; la note explique qu'aucune autre grandeur n'a d'évolution calculable. Version rédigée par gpt-oss-20b (28/09) : 7 évolutions, 776 mots, BN4 et BN5 satisfaits.</w:t>
      </w:r>
    </w:p>
    <w:p>
      <w:pPr>
        <w:pStyle w:val="Heading2"/>
      </w:pPr>
      <w:r>
        <w:t>Tableau 3.7 — Chaîne de traçabilité</w:t>
      </w:r>
    </w:p>
    <w:p>
      <w:r>
        <w:t xml:space="preserve">Source : </w:t>
      </w:r>
      <w:r>
        <w:rPr>
          <w:rFonts w:ascii="Consolas" w:hAnsi="Consolas"/>
          <w:sz w:val="18"/>
        </w:rPr>
        <w:t>data/outputs/tracabilite_exemple.csv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Énoncé</w:t>
            </w:r>
          </w:p>
        </w:tc>
        <w:tc>
          <w:tcPr>
            <w:tcW w:type="dxa" w:w="1606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Variation</w:t>
            </w:r>
          </w:p>
        </w:tc>
        <w:tc>
          <w:tcPr>
            <w:tcW w:type="dxa" w:w="1606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Valeur</w:t>
            </w:r>
          </w:p>
        </w:tc>
        <w:tc>
          <w:tcPr>
            <w:tcW w:type="dxa" w:w="1606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Ligne / colonne</w:t>
            </w:r>
          </w:p>
        </w:tc>
        <w:tc>
          <w:tcPr>
            <w:tcW w:type="dxa" w:w="1606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Tableau</w:t>
            </w:r>
          </w:p>
        </w:tc>
        <w:tc>
          <w:tcPr>
            <w:tcW w:type="dxa" w:w="1606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Page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8"/>
              </w:rPr>
              <w:t>« Par rapport à 2023, ce total progresse de 7,5 %. » (créations de PME dans les CFCE)</w:t>
            </w:r>
          </w:p>
        </w:tc>
        <w:tc>
          <w:tcPr>
            <w:tcW w:type="dxa" w:w="1606"/>
          </w:tcPr>
          <w:p>
            <w:r/>
            <w:r>
              <w:rPr>
                <w:sz w:val="18"/>
              </w:rPr>
              <w:t>7,5 %</w:t>
            </w:r>
          </w:p>
        </w:tc>
        <w:tc>
          <w:tcPr>
            <w:tcW w:type="dxa" w:w="1606"/>
          </w:tcPr>
          <w:p>
            <w:r/>
            <w:r>
              <w:rPr>
                <w:sz w:val="18"/>
              </w:rPr>
              <w:t>21 132</w:t>
            </w:r>
          </w:p>
        </w:tc>
        <w:tc>
          <w:tcPr>
            <w:tcW w:type="dxa" w:w="1606"/>
          </w:tcPr>
          <w:p>
            <w:r/>
            <w:r>
              <w:rPr>
                <w:sz w:val="18"/>
              </w:rPr>
              <w:t>Total / Total, 2024 (effectif)</w:t>
            </w:r>
          </w:p>
        </w:tc>
        <w:tc>
          <w:tcPr>
            <w:tcW w:type="dxa" w:w="1606"/>
          </w:tcPr>
          <w:p>
            <w:r/>
            <w:r>
              <w:rPr>
                <w:sz w:val="18"/>
              </w:rPr>
              <w:t>Annuaire 2024, tableau 8</w:t>
            </w:r>
          </w:p>
        </w:tc>
        <w:tc>
          <w:tcPr>
            <w:tcW w:type="dxa" w:w="1606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8"/>
              </w:rPr>
              <w:t>(même énoncé)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  <w:r>
              <w:rPr>
                <w:sz w:val="18"/>
              </w:rPr>
              <w:t>19 651</w:t>
            </w:r>
          </w:p>
        </w:tc>
        <w:tc>
          <w:tcPr>
            <w:tcW w:type="dxa" w:w="1606"/>
          </w:tcPr>
          <w:p>
            <w:r/>
            <w:r>
              <w:rPr>
                <w:sz w:val="18"/>
              </w:rPr>
              <w:t>Total / Total, 2023</w:t>
            </w:r>
          </w:p>
        </w:tc>
        <w:tc>
          <w:tcPr>
            <w:tcW w:type="dxa" w:w="1606"/>
          </w:tcPr>
          <w:p>
            <w:r/>
            <w:r>
              <w:rPr>
                <w:sz w:val="18"/>
              </w:rPr>
              <w:t>Annuaire 2024, tableau 8</w:t>
            </w:r>
          </w:p>
        </w:tc>
        <w:tc>
          <w:tcPr>
            <w:tcW w:type="dxa" w:w="1606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8"/>
              </w:rPr>
              <w:t>« Par rapport à 2023, « VA des PME » progresse de 11,8 %. » (valeur ajoutée)</w:t>
            </w:r>
          </w:p>
        </w:tc>
        <w:tc>
          <w:tcPr>
            <w:tcW w:type="dxa" w:w="1606"/>
          </w:tcPr>
          <w:p>
            <w:r/>
            <w:r>
              <w:rPr>
                <w:sz w:val="18"/>
              </w:rPr>
              <w:t>11,8 %</w:t>
            </w:r>
          </w:p>
        </w:tc>
        <w:tc>
          <w:tcPr>
            <w:tcW w:type="dxa" w:w="1606"/>
          </w:tcPr>
          <w:p>
            <w:r/>
            <w:r>
              <w:rPr>
                <w:sz w:val="18"/>
              </w:rPr>
              <w:t>7 291</w:t>
            </w:r>
          </w:p>
        </w:tc>
        <w:tc>
          <w:tcPr>
            <w:tcW w:type="dxa" w:w="1606"/>
          </w:tcPr>
          <w:p>
            <w:r/>
            <w:r>
              <w:rPr>
                <w:sz w:val="18"/>
              </w:rPr>
              <w:t>VA des PME, 2024 (e)</w:t>
            </w:r>
          </w:p>
        </w:tc>
        <w:tc>
          <w:tcPr>
            <w:tcW w:type="dxa" w:w="1606"/>
          </w:tcPr>
          <w:p>
            <w:r/>
            <w:r>
              <w:rPr>
                <w:sz w:val="18"/>
              </w:rPr>
              <w:t>Annuaire 2024, tableau 16</w:t>
            </w:r>
          </w:p>
        </w:tc>
        <w:tc>
          <w:tcPr>
            <w:tcW w:type="dxa" w:w="1606"/>
          </w:tcPr>
          <w:p>
            <w:r/>
            <w:r>
              <w:rPr>
                <w:sz w:val="18"/>
              </w:rPr>
              <w:t>27</w:t>
            </w:r>
          </w:p>
        </w:tc>
      </w:tr>
      <w:tr>
        <w:tc>
          <w:tcPr>
            <w:tcW w:type="dxa" w:w="1606"/>
          </w:tcPr>
          <w:p>
            <w:r/>
            <w:r>
              <w:rPr>
                <w:sz w:val="18"/>
              </w:rPr>
              <w:t>(même énoncé)</w:t>
            </w:r>
          </w:p>
        </w:tc>
        <w:tc>
          <w:tcPr>
            <w:tcW w:type="dxa" w:w="1606"/>
          </w:tcPr>
          <w:p>
            <w:r/>
          </w:p>
        </w:tc>
        <w:tc>
          <w:tcPr>
            <w:tcW w:type="dxa" w:w="1606"/>
          </w:tcPr>
          <w:p>
            <w:r/>
            <w:r>
              <w:rPr>
                <w:sz w:val="18"/>
              </w:rPr>
              <w:t>6 524</w:t>
            </w:r>
          </w:p>
        </w:tc>
        <w:tc>
          <w:tcPr>
            <w:tcW w:type="dxa" w:w="1606"/>
          </w:tcPr>
          <w:p>
            <w:r/>
            <w:r>
              <w:rPr>
                <w:sz w:val="18"/>
              </w:rPr>
              <w:t>VA des PME, 2023 (e)</w:t>
            </w:r>
          </w:p>
        </w:tc>
        <w:tc>
          <w:tcPr>
            <w:tcW w:type="dxa" w:w="1606"/>
          </w:tcPr>
          <w:p>
            <w:r/>
            <w:r>
              <w:rPr>
                <w:sz w:val="18"/>
              </w:rPr>
              <w:t>Annuaire 2024, tableau 16</w:t>
            </w:r>
          </w:p>
        </w:tc>
        <w:tc>
          <w:tcPr>
            <w:tcW w:type="dxa" w:w="1606"/>
          </w:tcPr>
          <w:p>
            <w:r/>
            <w:r>
              <w:rPr>
                <w:sz w:val="18"/>
              </w:rPr>
              <w:t>27</w:t>
            </w:r>
          </w:p>
        </w:tc>
      </w:tr>
    </w:tbl>
    <w:p/>
    <w:p>
      <w:pPr>
        <w:pStyle w:val="Heading1"/>
      </w:pPr>
      <w:r>
        <w:t>Sections 4.1 à 4.6 — Tableaux 4.1 et 4.2</w:t>
      </w:r>
    </w:p>
    <w:p>
      <w:pPr>
        <w:pStyle w:val="Heading2"/>
      </w:pPr>
      <w:r>
        <w:t>4.1 — Conditions de mesure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Emplacement</w:t>
            </w:r>
          </w:p>
        </w:tc>
        <w:tc>
          <w:tcPr>
            <w:tcW w:type="dxa" w:w="4819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Valeur à insérer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Jeu de questions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62 questions : 52 dans le corpus, 10 hors corpus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Graine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42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Encodeur (H1)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BAAI/bge-m3, base reconstruite à l'identique sur Google Colab (processeur)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Modèle de langage (H1-ancrage, H2)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gpt-oss-20b via Groq, PC Windows 10, Python 3.12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Indicateurs évalués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13 (exercice 2024) et 14 (exercice 2023)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Statut des appariements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provisoire : 48 « candidat », 10 « à vérifier », 0 validé</w:t>
            </w:r>
          </w:p>
        </w:tc>
      </w:tr>
    </w:tbl>
    <w:p/>
    <w:p>
      <w:pPr>
        <w:pStyle w:val="Heading2"/>
      </w:pPr>
      <w:r>
        <w:t>4.2 / Tableau 4.2 — H1, récupération</w:t>
      </w:r>
    </w:p>
    <w:p>
      <w:r>
        <w:t xml:space="preserve">Source : </w:t>
      </w:r>
      <w:r>
        <w:rPr>
          <w:rFonts w:ascii="Consolas" w:hAnsi="Consolas"/>
          <w:sz w:val="18"/>
        </w:rPr>
        <w:t>data/results/2026-09-30_bge-m3_sans-llm/h1_recuperation_configurations.csv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Configuration</w:t>
            </w:r>
          </w:p>
        </w:tc>
        <w:tc>
          <w:tcPr>
            <w:tcW w:type="dxa" w:w="1928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Succès@1</w:t>
            </w:r>
          </w:p>
        </w:tc>
        <w:tc>
          <w:tcPr>
            <w:tcW w:type="dxa" w:w="1928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Succès@5</w:t>
            </w:r>
          </w:p>
        </w:tc>
        <w:tc>
          <w:tcPr>
            <w:tcW w:type="dxa" w:w="1928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MRR</w:t>
            </w:r>
          </w:p>
        </w:tc>
        <w:tc>
          <w:tcPr>
            <w:tcW w:type="dxa" w:w="1928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nDCG@5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Lexicale seule (lexique pondéré)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0,40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0,71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0,53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0,59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Lexicale sans lexique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0,38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0,71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0,52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0,61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Dense seule (bge-m3)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0,54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0,85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0,67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0,85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Hybride, RRF k = 10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0,60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0,88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0,71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0,83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Hybride, RRF k = 20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0,58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0,87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0,69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0,82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Hybride, RRF k = 60 (retenu)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0,58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0,88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0,69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0,82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Hybride sans lexique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0,60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0,85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0,71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0,84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Emplacement dans le texte</w:t>
            </w:r>
          </w:p>
        </w:tc>
        <w:tc>
          <w:tcPr>
            <w:tcW w:type="dxa" w:w="4819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Valeur à insérer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Succès@5 hybride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0,88 (46 questions sur 52)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Wilcoxon hybride contre lexicale (MRR)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Δ = +0,168, p &lt; 0,001 (25 gagnées, 6 perdues)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Wilcoxon hybride contre dense (MRR)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Δ = +0,019, p = 0,68 (9 gagnées, 11 perdues)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Questions hors corpus refusées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10 sur 10 (100 %)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Questions du corpus refusées à tort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3 sur 52 (5,8 %)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Seuil d'abstention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0,621 (cosinus dense maximal, validation croisée à 5 plis)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Kappa du jeu de questions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non mesuré (seconde annotation à faire)</w:t>
            </w:r>
          </w:p>
        </w:tc>
      </w:tr>
    </w:tbl>
    <w:p/>
    <w:p>
      <w:pPr>
        <w:pStyle w:val="Heading2"/>
      </w:pPr>
      <w:r>
        <w:t>4.3 — H1, ancrage</w:t>
      </w:r>
    </w:p>
    <w:p>
      <w:r>
        <w:t xml:space="preserve">Source : </w:t>
      </w:r>
      <w:r>
        <w:rPr>
          <w:rFonts w:ascii="Consolas" w:hAnsi="Consolas"/>
          <w:sz w:val="18"/>
        </w:rPr>
        <w:t>data/results/2026-09-28_api_gpt-oss-20b/exercice_20XX/h1_ancrage_par_indicateur.csv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Emplacement</w:t>
            </w:r>
          </w:p>
        </w:tc>
        <w:tc>
          <w:tcPr>
            <w:tcW w:type="dxa" w:w="3213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2024 (n = 13)</w:t>
            </w:r>
          </w:p>
        </w:tc>
        <w:tc>
          <w:tcPr>
            <w:tcW w:type="dxa" w:w="3213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2023 (n = 14)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ROUGE-L avec / sans rédactions antérieures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0,17 / 0,19 (p = 0,77)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0,13 / 0,16 (p = 0,94)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Similarité avec / sans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0,44 / 0,52 (p = 0,79)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0,37 / 0,46 (p = 0,92)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Indicateurs gagnants / perdants (ROUGE-L)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4 / 9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5 / 8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ROUGE-L modèle ancré / gabarits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0,19 / 0,14 (p = 0,013)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0,13 / 0,12 (p = 0,15)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Similarité modèle ancré / gabarits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0,49 / 0,40 (p = 0,008)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0,37 / 0,38 (p = 0,67)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Valeurs citées par commentaire, modèle / gabarits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10,2 / 3,6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7,9 / 3,0</w:t>
            </w:r>
          </w:p>
        </w:tc>
      </w:tr>
    </w:tbl>
    <w:p/>
    <w:p>
      <w:pPr>
        <w:pStyle w:val="Heading2"/>
      </w:pPr>
      <w:r>
        <w:t>4.4 — H2, contrôle de citation littérale</w:t>
      </w:r>
    </w:p>
    <w:p>
      <w:r>
        <w:t xml:space="preserve">Source : </w:t>
      </w:r>
      <w:r>
        <w:rPr>
          <w:rFonts w:ascii="Consolas" w:hAnsi="Consolas"/>
          <w:sz w:val="18"/>
        </w:rPr>
        <w:t>data/results/2026-09-28_api_gpt-oss-20b/exercice_20XX/h2_par_indicateur.csv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Emplacement</w:t>
            </w:r>
          </w:p>
        </w:tc>
        <w:tc>
          <w:tcPr>
            <w:tcW w:type="dxa" w:w="3213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3213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2023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Valeurs non soutenues sans contrôle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0 sur 120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2 sur 112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Valeurs non soutenues après contrôle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0 sur 120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0 sur 110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Exa après contrôle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1,000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1,000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Couv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1,000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0,982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Couv_ind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0,92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0,86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Valeurs écartées (typologie)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2 (arrondi 1, calcul 1)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TFR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non mesurable (aucune valeur écartée)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à établir par relecture (2 valeurs)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Valeurs des commentaires publiés retrouvées (analyse complémentaire)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61 sur 123 (49,6 %)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26 sur 86 (30,2 %)</w:t>
            </w:r>
          </w:p>
        </w:tc>
      </w:tr>
    </w:tbl>
    <w:p/>
    <w:p>
      <w:pPr>
        <w:pStyle w:val="Heading2"/>
      </w:pPr>
      <w:r>
        <w:t>4.5 — H3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Emplacement</w:t>
            </w:r>
          </w:p>
        </w:tc>
        <w:tc>
          <w:tcPr>
            <w:tcW w:type="dxa" w:w="4819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Valeur à insérer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Réduction du temps médian des cadres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non mesurée (séance de chronométrage à conduire avec au moins 3 cadres)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Part des notes satisfaisant au moins 4 critères BN sur 5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non mesurée (notation par 2 lecteurs à faire)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Contrôle automatique BN4 / BN5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satisfait pour les 4 notes produites (2023 et 2024, modèle et gabarits)</w:t>
            </w:r>
          </w:p>
        </w:tc>
      </w:tr>
    </w:tbl>
    <w:p/>
    <w:p>
      <w:pPr>
        <w:pStyle w:val="Heading2"/>
      </w:pPr>
      <w:r>
        <w:t>4.6 / Tableau 4.1 — Confrontation des hypothèses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Hypothèse</w:t>
            </w:r>
          </w:p>
        </w:tc>
        <w:tc>
          <w:tcPr>
            <w:tcW w:type="dxa" w:w="2409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Critère</w:t>
            </w:r>
          </w:p>
        </w:tc>
        <w:tc>
          <w:tcPr>
            <w:tcW w:type="dxa" w:w="2409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Valeur mesurée</w:t>
            </w:r>
          </w:p>
        </w:tc>
        <w:tc>
          <w:tcPr>
            <w:tcW w:type="dxa" w:w="2409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Atteint ?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H1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Succès@5 hybride ≥ 0,80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0,88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H1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Hybride ≥ meilleure voie seule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0,88 contre 0,85 ; MRR 0,69 contre 0,67 (p = 0,68)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H1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ROUGE-L avec appui &gt; sans appui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0,17 contre 0,19 (p = 0,77)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non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H2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0 valeur non soutenue après contrôle, ≥ 1 sans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après 0/120, sans 0/120 (2024)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non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H2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TFR &lt; 5 %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non mesuré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H2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Couv_ind ≥ 80 %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0,92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oui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H3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Réduction du temps médian ≥ 50 %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non mesuré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8"/>
              </w:rPr>
              <w:t>H3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≥ 80 % des notes conformes sur au moins 4 critères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non mesuré</w:t>
            </w:r>
          </w:p>
        </w:tc>
        <w:tc>
          <w:tcPr>
            <w:tcW w:type="dxa" w:w="2409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t xml:space="preserve">Verdicts selon la règle du mémoire : </w:t>
      </w:r>
      <w:r>
        <w:rPr>
          <w:b/>
        </w:rPr>
        <w:t>H1 non validée, H2 non validée, H3 non concluante.</w:t>
      </w:r>
      <w:r>
        <w:t xml:space="preserve"> H1 atteint son volet récupération et H2 son volet sûreté ; ce sont l'ancrage par les rédactions antérieures et l'absence d'erreur sans contrôle en 2024 qui font échouer la règle stricte.</w:t>
      </w:r>
    </w:p>
    <w:p>
      <w:pPr>
        <w:pStyle w:val="Heading1"/>
      </w:pPr>
      <w:r>
        <w:t>Annexes II à 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Annexe</w:t>
            </w:r>
          </w:p>
        </w:tc>
        <w:tc>
          <w:tcPr>
            <w:tcW w:type="dxa" w:w="3213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À insérer</w:t>
            </w:r>
          </w:p>
        </w:tc>
        <w:tc>
          <w:tcPr>
            <w:tcW w:type="dxa" w:w="3213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Fichier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II — Table d'appariement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58 appariements graphique–tableau (2021 : 9 ; 2022 : 15 ; 2023 : 19 ; 2024 : 15), statut après double lecture et kappa de Cohen ; en attendant : 48 « candidat », 10 « à vérifier »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/>
                <w:sz w:val="18"/>
              </w:rPr>
              <w:t>data/pairing/appariement_20XX.csv</w:t>
            </w:r>
            <w:r>
              <w:rPr>
                <w:sz w:val="18"/>
              </w:rPr>
              <w:t xml:space="preserve"> ; kappa : </w:t>
            </w:r>
            <w:r>
              <w:rPr>
                <w:rFonts w:ascii="Consolas" w:hAnsi="Consolas"/>
                <w:sz w:val="18"/>
              </w:rPr>
              <w:t>data/pairing/accord_AAAA.json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III — Captures de l'interface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4 captures : Consulter, Commenter, Note d'analyse, Note stratégique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/>
                <w:sz w:val="18"/>
              </w:rPr>
              <w:t>data/outputs/captures/1_consulter.png</w:t>
            </w:r>
            <w:r>
              <w:rPr>
                <w:sz w:val="18"/>
              </w:rPr>
              <w:t xml:space="preserve"> à </w:t>
            </w:r>
            <w:r>
              <w:rPr>
                <w:rFonts w:ascii="Consolas" w:hAnsi="Consolas"/>
                <w:sz w:val="18"/>
              </w:rPr>
              <w:t>4_note_strategique.png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IV — Exemple de commentaire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commentaire « créations de PME dans les CFCE, 2024 » avec ses sources, et le fichier de traçabilité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/>
                <w:sz w:val="18"/>
              </w:rPr>
              <w:t>data/outputs/commentaire_exemple.docx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tracabilite_exemple.csv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8"/>
              </w:rPr>
              <w:t>V — Note stratégique</w:t>
            </w:r>
          </w:p>
        </w:tc>
        <w:tc>
          <w:tcPr>
            <w:tcW w:type="dxa" w:w="3213"/>
          </w:tcPr>
          <w:p>
            <w:r/>
            <w:r>
              <w:rPr>
                <w:sz w:val="18"/>
              </w:rPr>
              <w:t>note 2024 (gabarits) ; version gpt-oss-20b en complément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/>
                <w:sz w:val="18"/>
              </w:rPr>
              <w:t>data/outputs/note_strategique_2024.docx</w:t>
            </w:r>
            <w:r>
              <w:rPr>
                <w:sz w:val="18"/>
              </w:rPr>
              <w:t xml:space="preserve"> ; </w:t>
            </w:r>
            <w:r>
              <w:rPr>
                <w:rFonts w:ascii="Consolas" w:hAnsi="Consolas"/>
                <w:sz w:val="18"/>
              </w:rPr>
              <w:t>data/results/2026-09-28_api_gpt-oss-20b/note_strategique_2024_llm.docx</w:t>
            </w:r>
          </w:p>
        </w:tc>
      </w:tr>
    </w:tbl>
    <w:p/>
    <w:p>
      <w:r>
        <w:t>L'Annexe II n'est à insérer qu'après la double lecture. Toutes les captures et notes ci-dessus correspondent à la version du prototype du 01/10/2026.</w:t>
      </w:r>
    </w:p>
    <w:p>
      <w:pPr>
        <w:pStyle w:val="Heading1"/>
      </w:pPr>
      <w:r>
        <w:t>Résumé et abstract — phrases de résultats « PH »</w:t>
      </w:r>
    </w:p>
    <w:p>
      <w:r>
        <w:t>À placer à l'endroit marqué « PH » du résumé :</w:t>
      </w:r>
    </w:p>
    <w:p>
      <w:pPr>
        <w:ind w:left="567"/>
      </w:pPr>
      <w:r>
        <w:rPr>
          <w:i/>
        </w:rPr>
        <w:t>Sur un corpus de 18 publications (661 pages) du MINPMEESA, la recherche hybride place une page pertinente parmi les cinq premiers résultats pour 88 % des 52 questions de test, contre 71 % pour la recherche lexicale seule, et refuse toutes les questions hors sujet. Ancré sur les valeurs autorisées, le modèle gpt-oss-20b produit des commentaires plus proches des commentaires publiés que des gabarits déterministes (ROUGE-L 0,19 contre 0,14, p = 0,013), sans aucune valeur non soutenue après contrôle.</w:t>
      </w:r>
    </w:p>
    <w:p>
      <w:r>
        <w:t>À placer à l'endroit marqué « PH » de l'abstract :</w:t>
      </w:r>
    </w:p>
    <w:p>
      <w:pPr>
        <w:ind w:left="567"/>
      </w:pPr>
      <w:r>
        <w:rPr>
          <w:i/>
        </w:rPr>
        <w:t>On a corpus of 18 MINPMEESA publications (661 pages), hybrid retrieval ranks a relevant page among the top five results for 88% of 52 test questions, versus 71% for lexical search alone, and declines all out-of-scope questions. Grounded on authorised values, the gpt-oss-20b model produces commentaries closer to the published ones than deterministic templates (ROUGE-L 0.19 vs 0.14, p = 0.013), with no unsupported value left after control.</w:t>
      </w:r>
    </w:p>
    <w:p>
      <w:pPr>
        <w:pStyle w:val="Heading1"/>
      </w:pPr>
      <w:r>
        <w:t>Réserves à ajouter dans le mémoire</w:t>
      </w:r>
    </w:p>
    <w:p>
      <w:r>
        <w:t xml:space="preserve">Ces phrases ne remplissent pas un emplacement « ……… », mais le jury les attendra là où les résultats sont présentés (début du chapitre 4 ou discussion). Textes complets dans </w:t>
      </w:r>
      <w:r>
        <w:rPr>
          <w:rFonts w:ascii="Consolas" w:hAnsi="Consolas"/>
          <w:sz w:val="18"/>
        </w:rPr>
        <w:t>docs/ECARTS_MEMOIRE.md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Où</w:t>
            </w:r>
          </w:p>
        </w:tc>
        <w:tc>
          <w:tcPr>
            <w:tcW w:type="dxa" w:w="4819"/>
            <w:shd w:val="clear" w:color="auto" w:fill="007A5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Phrase à ajouter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Début du chapitre 4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« Les résultats sont provisoires : les appariements graphique–tableau n'ont pas encore été validés par double lecture. »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3.1.5 et 4.2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« L'encodeur a été choisi sur les 52 questions qui servent aussi à mesurer H1 ; ce résultat est à confirmer sur les questions formulées par les cadres. » (E18)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3.1.4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« Pendant le développement, le modèle a été appelé via le service Groq, avec les mêmes poids ouverts que le modèle local ; en exploitation, le poste ne fait aucun appel réseau. » (E11, E15)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4.1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« Les encodeurs ont été comparés sur Google Colab, la base étant reconstruite à l'identique ; les temps d'indexation ne valent que pour cette machine. » (E19)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4.3 et 4.4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« Les mesures de rédaction ont été faites le 28/09/2026, avant les dernières corrections des gabarits et du calcul des variations. » (E20)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8"/>
              </w:rPr>
              <w:t>4.4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Verdict de H2 : voir la décision ci-dessous (E17).</w:t>
            </w:r>
          </w:p>
        </w:tc>
      </w:tr>
    </w:tbl>
    <w:p/>
    <w:p>
      <w:pPr>
        <w:pStyle w:val="Heading1"/>
      </w:pPr>
      <w:r>
        <w:t>Avant le dépôt : ce qui reste à faire</w:t>
      </w:r>
    </w:p>
    <w:p>
      <w:r>
        <w:rPr>
          <w:b/>
        </w:rPr>
        <w:t>Décisions à trancher</w:t>
      </w:r>
    </w:p>
    <w:p>
      <w:pPr>
        <w:pStyle w:val="ListNumber"/>
      </w:pPr>
      <w:r>
        <w:rPr>
          <w:b/>
        </w:rPr>
        <w:t>Verdict de H2 (E17)</w:t>
      </w:r>
      <w:r>
        <w:t xml:space="preserve"> : garder le verdict strict « non validée », ou juger H2 sur 2023 et 2024 réunis (2 valeurs non soutenues sur 232 avant contrôle, 0 après) en le déclarant comme un écart au protocole.</w:t>
      </w:r>
    </w:p>
    <w:p>
      <w:pPr>
        <w:pStyle w:val="ListNumber"/>
      </w:pPr>
      <w:r>
        <w:rPr>
          <w:b/>
        </w:rPr>
        <w:t>Version des mesures de rédaction (E20)</w:t>
      </w:r>
      <w:r>
        <w:t xml:space="preserve"> : rafraîchir H1-ancrage et H2 sur la version corrigée (environ 1 h de Colab et une nuit d'appels Groq), ou déclarer qu'elles portent sur la version du 28/09/2026.</w:t>
      </w:r>
    </w:p>
    <w:p>
      <w:r>
        <w:rPr>
          <w:b/>
        </w:rPr>
        <w:t>Tâches de l'étudiant</w:t>
      </w:r>
    </w:p>
    <w:p>
      <w:pPr>
        <w:pStyle w:val="ListBullet"/>
      </w:pPr>
      <w:r>
        <w:t>Valider les 58 appariements par double lecture (</w:t>
      </w:r>
      <w:r>
        <w:rPr>
          <w:rFonts w:ascii="Consolas" w:hAnsi="Consolas"/>
          <w:sz w:val="18"/>
        </w:rPr>
        <w:t>a_valider_20XX.xlsx</w:t>
      </w:r>
      <w:r>
        <w:t>), calculer le kappa — Annexe II</w:t>
      </w:r>
    </w:p>
    <w:p>
      <w:pPr>
        <w:pStyle w:val="ListBullet"/>
      </w:pPr>
      <w:r>
        <w:t>Faire annoter le jeu de questions par un second lecteur et y ajouter les questions des cadres — 4.2</w:t>
      </w:r>
    </w:p>
    <w:p>
      <w:pPr>
        <w:pStyle w:val="ListBullet"/>
      </w:pPr>
      <w:r>
        <w:t>Conduire la séance de chronométrage avec au moins 3 cadres — 4.5, H3</w:t>
      </w:r>
    </w:p>
    <w:p>
      <w:pPr>
        <w:pStyle w:val="ListBullet"/>
      </w:pPr>
      <w:r>
        <w:t>Faire noter les notes stratégiques (versions modèle et gabarits) par 2 lecteurs — 4.5, H3</w:t>
      </w:r>
    </w:p>
    <w:p>
      <w:pPr>
        <w:pStyle w:val="ListBullet"/>
      </w:pPr>
      <w:r>
        <w:t>Relire les valeurs écartées (</w:t>
      </w:r>
      <w:r>
        <w:rPr>
          <w:rFonts w:ascii="Consolas" w:hAnsi="Consolas"/>
          <w:sz w:val="18"/>
        </w:rPr>
        <w:t>h2_echantillon_relecture.csv</w:t>
      </w:r>
      <w:r>
        <w:t>) pour établir le TFR — 4.4, H2</w:t>
      </w:r>
    </w:p>
    <w:p>
      <w:pPr>
        <w:pStyle w:val="ListBullet"/>
      </w:pPr>
      <w:r>
        <w:t>Confirmer auprès de la Cellule le statut de diffusion des 18 documents et fournir le logo officiel — 2.6, 3.4.2</w:t>
      </w:r>
    </w:p>
    <w:sectPr w:rsidR="00FC693F" w:rsidRPr="0006063C" w:rsidSect="00034616">
      <w:footerReference w:type="default" r:id="rId9"/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ANALYS'PME — éléments pour la finalisation du mémoire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7A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A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7A5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7A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