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PLAN DÉTAILLÉ RESTRUCTURÉ DU MÉMOIRE</w:t>
      </w:r>
    </w:p>
    <w:p>
      <w:pPr>
        <w:spacing w:after="160"/>
        <w:jc w:val="center"/>
      </w:pPr>
      <w:r>
        <w:rPr>
          <w:rFonts w:ascii="Times New Roman" w:cs="Times New Roman" w:eastAsia="Times New Roman" w:hAnsi="Times New Roman"/>
          <w:i/>
          <w:iCs/>
          <w:sz w:val="22"/>
          <w:szCs w:val="22"/>
        </w:rPr>
        <w:t xml:space="preserve">CONCEPTION ET ÉVALUATION D'UN SYSTÈME INTELLIGENT FONDÉ SUR UNE ARCHITECTURE RAG HYBRIDE POUR L'EXPLOITATION DU PATRIMOINE DOCUMENTAIRE DU MINPMEESA EN APPUI À LA PRODUCTION DE L'ANNUAIRE STATISTIQUE ET DU RAPPORT ANNUEL DE PERFORMANCE</w:t>
      </w:r>
    </w:p>
    <w:p>
      <w:pPr>
        <w:spacing w:after="160"/>
        <w:jc w:val="center"/>
      </w:pPr>
      <w:r>
        <w:rPr>
          <w:rFonts w:ascii="Times New Roman" w:cs="Times New Roman" w:eastAsia="Times New Roman" w:hAnsi="Times New Roman"/>
          <w:i/>
          <w:iCs/>
          <w:sz w:val="22"/>
          <w:szCs w:val="22"/>
        </w:rPr>
        <w:t xml:space="preserve">Adnane MAMA IDISSA, Master 2 Data Science et Modélisation Statistique (MDSMS2), ISSEA-CEMAC</w:t>
      </w:r>
    </w:p>
    <w:p>
      <w:pPr>
        <w:pBdr>
          <w:left w:val="single" w:color="C00000" w:sz="12" w:space="8"/>
        </w:pBdr>
        <w:spacing w:after="180" w:before="120" w:line="280"/>
        <w:ind w:left="288"/>
        <w:jc w:val="both"/>
      </w:pPr>
      <w:r>
        <w:rPr>
          <w:rFonts w:ascii="Times New Roman" w:cs="Times New Roman" w:eastAsia="Times New Roman" w:hAnsi="Times New Roman"/>
          <w:b/>
          <w:bCs/>
          <w:color w:val="C00000"/>
          <w:sz w:val="21"/>
          <w:szCs w:val="21"/>
        </w:rPr>
        <w:t xml:space="preserve">Objet de ce document. Il présente la restructuration proposée du plan initial, les arbitrages qui la motivent, les deux modes d'usage retenus pour le système, la matrice de cohérence entre questions, objectifs et hypothèses, et les critères de validation fixés a priori. Il est destiné à être soumis à l'encadreur pour validation avant poursuite de la rédaction. Le mémoire lui-même fait l'objet d'un document distinct.</w:t>
      </w:r>
    </w:p>
    <w:p>
      <w:r>
        <w:br w:type="page"/>
      </w:r>
    </w:p>
    <w:p>
      <w:pPr>
        <w:pStyle w:val="Heading1"/>
        <w:spacing w:after="200" w:before="360"/>
      </w:pPr>
      <w:r>
        <w:rPr>
          <w:rFonts w:ascii="Times New Roman" w:cs="Times New Roman" w:eastAsia="Times New Roman" w:hAnsi="Times New Roman"/>
          <w:b/>
          <w:bCs/>
          <w:color w:val="1F3864"/>
          <w:sz w:val="28"/>
          <w:szCs w:val="28"/>
        </w:rPr>
        <w:t xml:space="preserve">1. PLAN RESTRUCTURÉ ET JUSTIFICATION DES ARBITRAGES</w:t>
      </w:r>
    </w:p>
    <w:p>
      <w:pPr>
        <w:pStyle w:val="Heading2"/>
        <w:spacing w:after="140" w:before="280"/>
      </w:pPr>
      <w:r>
        <w:rPr>
          <w:rFonts w:ascii="Times New Roman" w:cs="Times New Roman" w:eastAsia="Times New Roman" w:hAnsi="Times New Roman"/>
          <w:b/>
          <w:bCs/>
          <w:color w:val="2F5496"/>
          <w:sz w:val="24"/>
          <w:szCs w:val="24"/>
        </w:rPr>
        <w:t xml:space="preserve">A.1. Ce qui change par rapport au plan initial</w:t>
      </w:r>
    </w:p>
    <w:p>
      <w:pPr>
        <w:spacing w:after="140" w:line="320"/>
        <w:ind w:firstLine="360"/>
        <w:jc w:val="both"/>
      </w:pPr>
      <w:r>
        <w:rPr>
          <w:rFonts w:ascii="Times New Roman" w:cs="Times New Roman" w:eastAsia="Times New Roman" w:hAnsi="Times New Roman"/>
          <w:sz w:val="23"/>
          <w:szCs w:val="23"/>
        </w:rPr>
        <w:t xml:space="preserve">Le plan initial est solide sur le fond : le thème est pertinent, la problématique est bien posée et la structure en quatre chapitres correspond aux usages de l'ISSEA. Six ajustements sont néanmoins proposés, chacun motivé par une exigence de soutenance.</w:t>
      </w:r>
    </w:p>
    <w:p>
      <w:pPr>
        <w:spacing w:after="140" w:line="320"/>
        <w:ind w:firstLine="360"/>
        <w:jc w:val="both"/>
      </w:pPr>
      <w:r>
        <w:rPr>
          <w:rFonts w:ascii="Times New Roman" w:cs="Times New Roman" w:eastAsia="Times New Roman" w:hAnsi="Times New Roman"/>
          <w:sz w:val="23"/>
          <w:szCs w:val="23"/>
        </w:rPr>
        <w:t xml:space="preserve">Premier ajustement : réduction du nombre d'objectifs spécifiques. Le plan initial en compte douze. Or un objectif spécifique n'est pas une tâche technique mais un résultat évaluable. « Mettre en œuvre une recherche lexicale » ou « afficher les documents sources » sont des étapes d'implémentation, pas des objectifs de recherche. Les douze énoncés sont regroupés en quatre objectifs spécifiques, chacun adossé à une question spécifique et à une hypothèse. Les douze tâches ne disparaissent pas : elles deviennent les étapes de la démarche méthodologique au chapitre 2 et les sections du chapitre 3.</w:t>
      </w:r>
    </w:p>
    <w:p>
      <w:pPr>
        <w:spacing w:after="140" w:line="320"/>
        <w:ind w:firstLine="360"/>
        <w:jc w:val="both"/>
      </w:pPr>
      <w:r>
        <w:rPr>
          <w:rFonts w:ascii="Times New Roman" w:cs="Times New Roman" w:eastAsia="Times New Roman" w:hAnsi="Times New Roman"/>
          <w:sz w:val="23"/>
          <w:szCs w:val="23"/>
        </w:rPr>
        <w:t xml:space="preserve">Deuxième ajustement : mise en correspondance stricte entre questions, objectifs et hypothèses. Le jury vérifie systématiquement cette correspondance. Le plan initial propose cinq questions spécifiques, douze objectifs et quatre hypothèses, sans correspondance explicite. Le tableau A.2 rétablit un alignement de un à un.</w:t>
      </w:r>
    </w:p>
    <w:p>
      <w:pPr>
        <w:spacing w:after="140" w:line="320"/>
        <w:ind w:firstLine="360"/>
        <w:jc w:val="both"/>
      </w:pPr>
      <w:r>
        <w:rPr>
          <w:rFonts w:ascii="Times New Roman" w:cs="Times New Roman" w:eastAsia="Times New Roman" w:hAnsi="Times New Roman"/>
          <w:sz w:val="23"/>
          <w:szCs w:val="23"/>
        </w:rPr>
        <w:t xml:space="preserve">Troisième ajustement : quantification a priori des hypothèses. Les quatre hypothèses initiales sont formulées en termes d'amélioration, sans seuil. Une hypothèse non quantifiée ne peut être ni validée ni infirmée. Chaque hypothèse est donc assortie d'un critère de validation chiffré, fixé avant l'expérimentation, conformément aux principes de la recherche par conception d'artefact (Hevner et al., 2004) et à la pratique retenue par MABIALA (2026) et FONKOUA GANKE (2026).</w:t>
      </w:r>
    </w:p>
    <w:p>
      <w:pPr>
        <w:spacing w:after="140" w:line="320"/>
        <w:ind w:firstLine="360"/>
        <w:jc w:val="both"/>
      </w:pPr>
      <w:r>
        <w:rPr>
          <w:rFonts w:ascii="Times New Roman" w:cs="Times New Roman" w:eastAsia="Times New Roman" w:hAnsi="Times New Roman"/>
          <w:sz w:val="23"/>
          <w:szCs w:val="23"/>
        </w:rPr>
        <w:t xml:space="preserve">Quatrième ajustement : l'hypothèse H4 relative au temps de recherche est reformulée. Sous sa forme initiale, elle suppose une mesure du temps de travail des agents avant et après déploiement, protocole irréalisable sur la durée d'un stage. Elle est reformulée en une mesure du temps de localisation d'une information sur un jeu de questions contrôlé, comparant la recherche assistée par le système à la recherche manuelle dans le corpus, sur un échantillon d'agents. Cette mesure reste modeste mais elle est réalisable et défendable.</w:t>
      </w:r>
    </w:p>
    <w:p>
      <w:pPr>
        <w:spacing w:after="140" w:line="320"/>
        <w:ind w:firstLine="360"/>
        <w:jc w:val="both"/>
      </w:pPr>
      <w:r>
        <w:rPr>
          <w:rFonts w:ascii="Times New Roman" w:cs="Times New Roman" w:eastAsia="Times New Roman" w:hAnsi="Times New Roman"/>
          <w:sz w:val="23"/>
          <w:szCs w:val="23"/>
        </w:rPr>
        <w:t xml:space="preserve">Cinquième ajustement : le chapitre 2 accueille explicitement la démarche méthodologique générale, présentée comme une démarche de recherche par conception d'artefact. Le plan initial mentionne une « démarche méthodologique » en huit phases sans la rattacher à un cadre de recherche identifié. Le rattachement au design science research donne une assise épistémologique au fait que le mémoire produise un logiciel et non une estimation économétrique, question que le jury pose presque toujours dans ce type de travail.</w:t>
      </w:r>
    </w:p>
    <w:p>
      <w:pPr>
        <w:spacing w:after="140" w:line="320"/>
        <w:ind w:firstLine="360"/>
        <w:jc w:val="both"/>
      </w:pPr>
      <w:r>
        <w:rPr>
          <w:rFonts w:ascii="Times New Roman" w:cs="Times New Roman" w:eastAsia="Times New Roman" w:hAnsi="Times New Roman"/>
          <w:sz w:val="23"/>
          <w:szCs w:val="23"/>
        </w:rPr>
        <w:t xml:space="preserve">Sixième ajustement : le chapitre 1 intègre une section sur les limites spécifiques des modèles de langage face aux données chiffrées. Le patrimoine documentaire du MINPMEESA est massivement composé de tableaux, d'effectifs et de taux. Or la tokenisation des nombres et les hallucinations numériques constituent le point de fragilité central d'un système génératif appliqué à ce type de corpus. Ne pas traiter ce point exposerait le mémoire à une objection majeure.</w:t>
      </w:r>
    </w:p>
    <w:p>
      <w:pPr>
        <w:spacing w:after="140" w:line="320"/>
        <w:ind w:firstLine="360"/>
        <w:jc w:val="both"/>
      </w:pPr>
      <w:r>
        <w:rPr>
          <w:rFonts w:ascii="Times New Roman" w:cs="Times New Roman" w:eastAsia="Times New Roman" w:hAnsi="Times New Roman"/>
          <w:sz w:val="23"/>
          <w:szCs w:val="23"/>
        </w:rPr>
        <w:t xml:space="preserve">Septième ajustement : le système est explicitement conçu pour deux modes d'usage distincts et non pour un seul. Le plan initial envisage un outil d'appui à la production des deux publications. Or le même artefact peut servir, une fois ces publications éditées, à en faciliter la consultation par les décideurs et les partenaires. Ce dédoublement n'ajoute pas un second système : il correspond à deux alimentations différentes du même index et à deux profils d'utilisateurs. Il enrichit en revanche substantiellement le travail, puisqu'il permet une évaluation sur deux populations d'utilisateurs aux besoins distincts et confère au système une portée qui dépasse le seul processus de production.</w:t>
      </w:r>
    </w:p>
    <w:p>
      <w:pPr>
        <w:pStyle w:val="Heading2"/>
        <w:spacing w:after="140" w:before="280"/>
      </w:pPr>
      <w:r>
        <w:rPr>
          <w:rFonts w:ascii="Times New Roman" w:cs="Times New Roman" w:eastAsia="Times New Roman" w:hAnsi="Times New Roman"/>
          <w:b/>
          <w:bCs/>
          <w:color w:val="2F5496"/>
          <w:sz w:val="24"/>
          <w:szCs w:val="24"/>
        </w:rPr>
        <w:t xml:space="preserve">A.2. Les deux modes d'usage du système</w:t>
      </w:r>
    </w:p>
    <w:p>
      <w:pPr>
        <w:spacing w:after="140" w:line="320"/>
        <w:ind w:firstLine="360"/>
        <w:jc w:val="both"/>
      </w:pPr>
      <w:r>
        <w:rPr>
          <w:rFonts w:ascii="Times New Roman" w:cs="Times New Roman" w:eastAsia="Times New Roman" w:hAnsi="Times New Roman"/>
          <w:sz w:val="23"/>
          <w:szCs w:val="23"/>
        </w:rPr>
        <w:t xml:space="preserve">Le système est conçu pour être mobilisé à deux moments du cycle de vie des publications, avec un corpus et un profil d'utilisateur différents.</w:t>
      </w:r>
    </w:p>
    <w:p>
      <w:pPr>
        <w:spacing w:after="140" w:line="320"/>
        <w:ind w:firstLine="360"/>
        <w:jc w:val="both"/>
      </w:pPr>
      <w:r>
        <w:rPr>
          <w:rFonts w:ascii="Times New Roman" w:cs="Times New Roman" w:eastAsia="Times New Roman" w:hAnsi="Times New Roman"/>
          <w:sz w:val="23"/>
          <w:szCs w:val="23"/>
        </w:rPr>
        <w:t xml:space="preserve">Le mode amont, dit mode production, s'adresse aux agents chargés d'élaborer l'Annuaire statistique et le Rapport annuel de performance. Le corpus interrogé réunit les documents sources mobilisés pour cette élaboration : rapports d'activité des directions, des délégations régionales et des structures sous tutelle, ainsi que les éditions antérieures des deux publications. Les requêtes sont pointues et fréquemment exactes ; le besoin dominant est la localisation, la vérification et le rapprochement d'informations dispersées.</w:t>
      </w:r>
    </w:p>
    <w:p>
      <w:pPr>
        <w:spacing w:after="140" w:line="320"/>
        <w:ind w:firstLine="360"/>
        <w:jc w:val="both"/>
      </w:pPr>
      <w:r>
        <w:rPr>
          <w:rFonts w:ascii="Times New Roman" w:cs="Times New Roman" w:eastAsia="Times New Roman" w:hAnsi="Times New Roman"/>
          <w:sz w:val="23"/>
          <w:szCs w:val="23"/>
        </w:rPr>
        <w:t xml:space="preserve">Le mode aval, dit mode consultation, s'adresse aux décideurs, aux responsables de programmes et aux partenaires. Le corpus interrogé est constitué des publications une fois éditées et validées. Les requêtes sont plus larges et souvent comparatives ; le besoin dominant est l'accès rapide à une information de synthèse.</w:t>
      </w:r>
    </w:p>
    <w:p>
      <w:pPr>
        <w:spacing w:after="140" w:line="320"/>
        <w:ind w:firstLine="360"/>
        <w:jc w:val="both"/>
      </w:pPr>
      <w:r>
        <w:rPr>
          <w:rFonts w:ascii="Times New Roman" w:cs="Times New Roman" w:eastAsia="Times New Roman" w:hAnsi="Times New Roman"/>
          <w:sz w:val="23"/>
          <w:szCs w:val="23"/>
        </w:rPr>
        <w:t xml:space="preserve">La distinction entre les deux modes est portée techniquement par une métadonnée de statut de diffusion, qui indique si un document est interne ou publié. Cette métadonnée remplit une double fonction : elle sert de filtre de recherche et de mécanisme de cloisonnement, un utilisateur en mode consultation ne devant en aucun cas accéder à des documents internes non validés.</w:t>
      </w:r>
    </w:p>
    <w:p>
      <w:pPr>
        <w:spacing w:after="140" w:line="320"/>
        <w:ind w:firstLine="360"/>
        <w:jc w:val="both"/>
      </w:pPr>
      <w:r>
        <w:rPr>
          <w:rFonts w:ascii="Times New Roman" w:cs="Times New Roman" w:eastAsia="Times New Roman" w:hAnsi="Times New Roman"/>
          <w:sz w:val="23"/>
          <w:szCs w:val="23"/>
        </w:rPr>
        <w:t xml:space="preserve">Une règle de restitution commune aux deux modes est retenue et constitue un choix de conception central du travail. Le système peut produire une synthèse rédigée à partir des passages récupérés, mais toute donnée chiffrée qui y figure doit être reprise littéralement du passage source, sans reformulation, sans recalcul et sans arrondi, et être accompagnée de sa référence. Cette règle préserve l'utilité de la synthèse, particulièrement précieuse en mode consultation, tout en neutralisant le risque d'hallucination numérique identifié au chapitre 1 comme la principale vulnérabilité d'un système génératif appliqué à un corpus statistique.</w:t>
      </w:r>
    </w:p>
    <w:p>
      <w:pPr>
        <w:spacing w:after="80" w:before="180"/>
        <w:jc w:val="center"/>
      </w:pPr>
      <w:r>
        <w:rPr>
          <w:rFonts w:ascii="Times New Roman" w:cs="Times New Roman" w:eastAsia="Times New Roman" w:hAnsi="Times New Roman"/>
          <w:b/>
          <w:bCs/>
          <w:sz w:val="21"/>
          <w:szCs w:val="21"/>
        </w:rPr>
        <w:t xml:space="preserve">Tableau A.1 : Les deux modes d'usage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Critère</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Mode amont (production)</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Mode aval (consultation)</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Utilisateur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Agent chargé de la production des deux publications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Décideur, responsable de programme, partenaire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Moment du cycle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Avant publication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Après publication et validation</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Corpus interrogé</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Documents sources internes et éditions antérieures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Publications éditées uniquement</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Statut des documents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Interne et publié</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Publié uniquement</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Profil des requêtes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Pointues, souvent exactes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Larges, souvent comparatives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Besoin dominant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Localiser, vérifier, rapprocher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Accéder rapidement à une synthèse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Forme de restitution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Passages sourcés, synthèse optionnelle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Synthèse rédigée, passages sourcés affichés</w:t>
            </w:r>
          </w:p>
        </w:tc>
      </w:tr>
    </w:tbl>
    <w:p>
      <w:pPr>
        <w:spacing w:after="200" w:before="60"/>
        <w:jc w:val="center"/>
      </w:pPr>
      <w:r>
        <w:rPr>
          <w:rFonts w:ascii="Times New Roman" w:cs="Times New Roman" w:eastAsia="Times New Roman" w:hAnsi="Times New Roman"/>
          <w:i/>
          <w:iCs/>
          <w:sz w:val="18"/>
          <w:szCs w:val="18"/>
        </w:rPr>
        <w:t xml:space="preserve">Source : Auteur.</w:t>
      </w:r>
    </w:p>
    <w:p>
      <w:pPr>
        <w:pStyle w:val="Heading2"/>
        <w:spacing w:after="140" w:before="280"/>
      </w:pPr>
      <w:r>
        <w:rPr>
          <w:rFonts w:ascii="Times New Roman" w:cs="Times New Roman" w:eastAsia="Times New Roman" w:hAnsi="Times New Roman"/>
          <w:b/>
          <w:bCs/>
          <w:color w:val="2F5496"/>
          <w:sz w:val="24"/>
          <w:szCs w:val="24"/>
        </w:rPr>
        <w:t xml:space="preserve">A.3. Architecture d'ensemble retenue</w:t>
      </w:r>
    </w:p>
    <w:p>
      <w:pPr>
        <w:spacing w:after="140" w:line="320"/>
        <w:ind w:firstLine="360"/>
        <w:jc w:val="both"/>
      </w:pPr>
      <w:r>
        <w:rPr>
          <w:rFonts w:ascii="Times New Roman" w:cs="Times New Roman" w:eastAsia="Times New Roman" w:hAnsi="Times New Roman"/>
          <w:sz w:val="23"/>
          <w:szCs w:val="23"/>
        </w:rPr>
        <w:t xml:space="preserve">Le mémoire conserve la structure en quatre chapitres, avec les intitulés et contenus suivants.</w:t>
      </w:r>
    </w:p>
    <w:p>
      <w:pPr>
        <w:pStyle w:val="Heading3"/>
        <w:spacing w:after="120" w:before="220"/>
      </w:pPr>
      <w:r>
        <w:rPr>
          <w:rFonts w:ascii="Times New Roman" w:cs="Times New Roman" w:eastAsia="Times New Roman" w:hAnsi="Times New Roman"/>
          <w:b/>
          <w:bCs/>
          <w:color w:val="2F5496"/>
          <w:sz w:val="22"/>
          <w:szCs w:val="22"/>
        </w:rPr>
        <w:t xml:space="preserve">INTRODUCTION GÉNÉRALE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Contexte et justification</w:t>
      </w:r>
    </w:p>
    <w:p>
      <w:pPr>
        <w:pStyle w:val="ListParagraph"/>
        <w:numPr>
          <w:ilvl w:val="0"/>
          <w:numId w:val="2"/>
        </w:numPr>
        <w:spacing w:after="90" w:line="300"/>
        <w:jc w:val="both"/>
      </w:pPr>
      <w:r>
        <w:rPr>
          <w:rFonts w:ascii="Times New Roman" w:cs="Times New Roman" w:eastAsia="Times New Roman" w:hAnsi="Times New Roman"/>
          <w:sz w:val="23"/>
          <w:szCs w:val="23"/>
        </w:rPr>
        <w:t xml:space="preserve">Problématique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Questions de recherche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Objectifs de la recherche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Hypothèses de recherche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Méthodologie et sources de données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Annonce du plan</w:t>
      </w:r>
    </w:p>
    <w:p>
      <w:pPr>
        <w:pStyle w:val="Heading3"/>
        <w:spacing w:after="120" w:before="220"/>
      </w:pPr>
      <w:r>
        <w:rPr>
          <w:rFonts w:ascii="Times New Roman" w:cs="Times New Roman" w:eastAsia="Times New Roman" w:hAnsi="Times New Roman"/>
          <w:b/>
          <w:bCs/>
          <w:color w:val="2F5496"/>
          <w:sz w:val="22"/>
          <w:szCs w:val="22"/>
        </w:rPr>
        <w:t xml:space="preserve">CHAPITRE 1. CADRE CONCEPTUEL, THÉORIQUE ET REVUE DE LA LITTÉRATURE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1.1. Fondements conceptuels et définitions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1.2. La recherche d'information appliquée à un patrimoine documentaire institutionnel</w:t>
      </w:r>
    </w:p>
    <w:p>
      <w:pPr>
        <w:pStyle w:val="ListParagraph"/>
        <w:numPr>
          <w:ilvl w:val="0"/>
          <w:numId w:val="2"/>
        </w:numPr>
        <w:spacing w:after="90" w:line="300"/>
        <w:jc w:val="both"/>
      </w:pPr>
      <w:r>
        <w:rPr>
          <w:rFonts w:ascii="Times New Roman" w:cs="Times New Roman" w:eastAsia="Times New Roman" w:hAnsi="Times New Roman"/>
          <w:sz w:val="23"/>
          <w:szCs w:val="23"/>
        </w:rPr>
        <w:t xml:space="preserve">1.3. Modèles de langage, hallucination et génération augmentée par récupération</w:t>
      </w:r>
    </w:p>
    <w:p>
      <w:pPr>
        <w:pStyle w:val="ListParagraph"/>
        <w:numPr>
          <w:ilvl w:val="0"/>
          <w:numId w:val="2"/>
        </w:numPr>
        <w:spacing w:after="90" w:line="300"/>
        <w:jc w:val="both"/>
      </w:pPr>
      <w:r>
        <w:rPr>
          <w:rFonts w:ascii="Times New Roman" w:cs="Times New Roman" w:eastAsia="Times New Roman" w:hAnsi="Times New Roman"/>
          <w:sz w:val="23"/>
          <w:szCs w:val="23"/>
        </w:rPr>
        <w:t xml:space="preserve">1.4. L'architecture RAG hybride : fusion, reranking et traçabilité</w:t>
      </w:r>
    </w:p>
    <w:p>
      <w:pPr>
        <w:pStyle w:val="ListParagraph"/>
        <w:numPr>
          <w:ilvl w:val="0"/>
          <w:numId w:val="2"/>
        </w:numPr>
        <w:spacing w:after="90" w:line="300"/>
        <w:jc w:val="both"/>
      </w:pPr>
      <w:r>
        <w:rPr>
          <w:rFonts w:ascii="Times New Roman" w:cs="Times New Roman" w:eastAsia="Times New Roman" w:hAnsi="Times New Roman"/>
          <w:sz w:val="23"/>
          <w:szCs w:val="23"/>
        </w:rPr>
        <w:t xml:space="preserve">1.5. La restitution contrôlée et le traitement des données chiffrées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1.6. L'évaluation des systèmes RAG</w:t>
      </w:r>
    </w:p>
    <w:p>
      <w:pPr>
        <w:pStyle w:val="ListParagraph"/>
        <w:numPr>
          <w:ilvl w:val="0"/>
          <w:numId w:val="2"/>
        </w:numPr>
        <w:spacing w:after="90" w:line="300"/>
        <w:jc w:val="both"/>
      </w:pPr>
      <w:r>
        <w:rPr>
          <w:rFonts w:ascii="Times New Roman" w:cs="Times New Roman" w:eastAsia="Times New Roman" w:hAnsi="Times New Roman"/>
          <w:sz w:val="23"/>
          <w:szCs w:val="23"/>
        </w:rPr>
        <w:t xml:space="preserve">1.7. Revue critique des travaux antérieurs et positionnement de la recherche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Conclusion du chapitre</w:t>
      </w:r>
    </w:p>
    <w:p>
      <w:pPr>
        <w:pStyle w:val="Heading3"/>
        <w:spacing w:after="120" w:before="220"/>
      </w:pPr>
      <w:r>
        <w:rPr>
          <w:rFonts w:ascii="Times New Roman" w:cs="Times New Roman" w:eastAsia="Times New Roman" w:hAnsi="Times New Roman"/>
          <w:b/>
          <w:bCs/>
          <w:color w:val="2F5496"/>
          <w:sz w:val="22"/>
          <w:szCs w:val="22"/>
        </w:rPr>
        <w:t xml:space="preserve">CHAPITRE 2. CONTEXTE D'ÉTUDE, ANALYSE DU BESOIN ET CADRE MÉTHODOLOGIQUE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2.1. Le MINPMEESA et son patrimoine documentaire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2.2. Le processus de production de l'Annuaire statistique des PMEESA</w:t>
      </w:r>
    </w:p>
    <w:p>
      <w:pPr>
        <w:pStyle w:val="ListParagraph"/>
        <w:numPr>
          <w:ilvl w:val="0"/>
          <w:numId w:val="2"/>
        </w:numPr>
        <w:spacing w:after="90" w:line="300"/>
        <w:jc w:val="both"/>
      </w:pPr>
      <w:r>
        <w:rPr>
          <w:rFonts w:ascii="Times New Roman" w:cs="Times New Roman" w:eastAsia="Times New Roman" w:hAnsi="Times New Roman"/>
          <w:sz w:val="23"/>
          <w:szCs w:val="23"/>
        </w:rPr>
        <w:t xml:space="preserve">2.3. Le processus de production du Rapport annuel de performance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2.4. Diagnostic des difficultés, modes d'usage et besoins fonctionnels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2.5. Démarche de recherche et corpus d'étude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2.6. Protocole d'évaluation et critères de validation des hypothèses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Conclusion du chapitre</w:t>
      </w:r>
    </w:p>
    <w:p>
      <w:pPr>
        <w:pStyle w:val="Heading3"/>
        <w:spacing w:after="120" w:before="220"/>
      </w:pPr>
      <w:r>
        <w:rPr>
          <w:rFonts w:ascii="Times New Roman" w:cs="Times New Roman" w:eastAsia="Times New Roman" w:hAnsi="Times New Roman"/>
          <w:b/>
          <w:bCs/>
          <w:color w:val="2F5496"/>
          <w:sz w:val="22"/>
          <w:szCs w:val="22"/>
        </w:rPr>
        <w:t xml:space="preserve">CHAPITRE 3. CONCEPTION ET IMPLÉMENTATION DU SYSTÈME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3.1. Architecture générale et environnement technique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3.2. Ingestion : extraction, nettoyage, segmentation et métadonnées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3.3. Indexation lexicale et indexation vectorielle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3.4. Recherche hybride : fusion des classements et reranking</w:t>
      </w:r>
    </w:p>
    <w:p>
      <w:pPr>
        <w:pStyle w:val="ListParagraph"/>
        <w:numPr>
          <w:ilvl w:val="0"/>
          <w:numId w:val="2"/>
        </w:numPr>
        <w:spacing w:after="90" w:line="300"/>
        <w:jc w:val="both"/>
      </w:pPr>
      <w:r>
        <w:rPr>
          <w:rFonts w:ascii="Times New Roman" w:cs="Times New Roman" w:eastAsia="Times New Roman" w:hAnsi="Times New Roman"/>
          <w:sz w:val="23"/>
          <w:szCs w:val="23"/>
        </w:rPr>
        <w:t xml:space="preserve">3.5. Construction du contexte et restitution ancrée dans les sources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3.6. La règle de citation littérale et les garde-fous de qualité</w:t>
      </w:r>
    </w:p>
    <w:p>
      <w:pPr>
        <w:pStyle w:val="ListParagraph"/>
        <w:numPr>
          <w:ilvl w:val="0"/>
          <w:numId w:val="2"/>
        </w:numPr>
        <w:spacing w:after="90" w:line="300"/>
        <w:jc w:val="both"/>
      </w:pPr>
      <w:r>
        <w:rPr>
          <w:rFonts w:ascii="Times New Roman" w:cs="Times New Roman" w:eastAsia="Times New Roman" w:hAnsi="Times New Roman"/>
          <w:sz w:val="23"/>
          <w:szCs w:val="23"/>
        </w:rPr>
        <w:t xml:space="preserve">3.7. Le prototype, ses deux modes et son interface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Conclusion du chapitre</w:t>
      </w:r>
    </w:p>
    <w:p>
      <w:pPr>
        <w:pStyle w:val="Heading3"/>
        <w:spacing w:after="120" w:before="220"/>
      </w:pPr>
      <w:r>
        <w:rPr>
          <w:rFonts w:ascii="Times New Roman" w:cs="Times New Roman" w:eastAsia="Times New Roman" w:hAnsi="Times New Roman"/>
          <w:b/>
          <w:bCs/>
          <w:color w:val="2F5496"/>
          <w:sz w:val="22"/>
          <w:szCs w:val="22"/>
        </w:rPr>
        <w:t xml:space="preserve">CHAPITRE 4. EXPÉRIMENTATION, ÉVALUATION ET DISCUSSION</w:t>
      </w:r>
    </w:p>
    <w:p>
      <w:pPr>
        <w:pStyle w:val="ListParagraph"/>
        <w:numPr>
          <w:ilvl w:val="0"/>
          <w:numId w:val="2"/>
        </w:numPr>
        <w:spacing w:after="90" w:line="300"/>
        <w:jc w:val="both"/>
      </w:pPr>
      <w:r>
        <w:rPr>
          <w:rFonts w:ascii="Times New Roman" w:cs="Times New Roman" w:eastAsia="Times New Roman" w:hAnsi="Times New Roman"/>
          <w:sz w:val="23"/>
          <w:szCs w:val="23"/>
        </w:rPr>
        <w:t xml:space="preserve">4.1. Corpus, jeu de test et configurations comparées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4.2. Résultats de la récupération</w:t>
      </w:r>
    </w:p>
    <w:p>
      <w:pPr>
        <w:pStyle w:val="ListParagraph"/>
        <w:numPr>
          <w:ilvl w:val="0"/>
          <w:numId w:val="2"/>
        </w:numPr>
        <w:spacing w:after="90" w:line="300"/>
        <w:jc w:val="both"/>
      </w:pPr>
      <w:r>
        <w:rPr>
          <w:rFonts w:ascii="Times New Roman" w:cs="Times New Roman" w:eastAsia="Times New Roman" w:hAnsi="Times New Roman"/>
          <w:sz w:val="23"/>
          <w:szCs w:val="23"/>
        </w:rPr>
        <w:t xml:space="preserve">4.3. Résultats relatifs à la qualité et à la fidélité des réponses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4.4. Gain opérationnel en mode production et en mode consultation</w:t>
      </w:r>
    </w:p>
    <w:p>
      <w:pPr>
        <w:pStyle w:val="ListParagraph"/>
        <w:numPr>
          <w:ilvl w:val="0"/>
          <w:numId w:val="2"/>
        </w:numPr>
        <w:spacing w:after="90" w:line="300"/>
        <w:jc w:val="both"/>
      </w:pPr>
      <w:r>
        <w:rPr>
          <w:rFonts w:ascii="Times New Roman" w:cs="Times New Roman" w:eastAsia="Times New Roman" w:hAnsi="Times New Roman"/>
          <w:sz w:val="23"/>
          <w:szCs w:val="23"/>
        </w:rPr>
        <w:t xml:space="preserve">4.5. Analyse des erreurs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4.6. Validation des hypothèses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4.7. Discussion, apports, limites et perspectives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Conclusion du chapitre</w:t>
      </w:r>
    </w:p>
    <w:p>
      <w:pPr>
        <w:pStyle w:val="Heading3"/>
        <w:spacing w:after="120" w:before="220"/>
      </w:pPr>
      <w:r>
        <w:rPr>
          <w:rFonts w:ascii="Times New Roman" w:cs="Times New Roman" w:eastAsia="Times New Roman" w:hAnsi="Times New Roman"/>
          <w:b/>
          <w:bCs/>
          <w:color w:val="2F5496"/>
          <w:sz w:val="22"/>
          <w:szCs w:val="22"/>
        </w:rPr>
        <w:t xml:space="preserve">CONCLUSION GÉNÉRALE</w:t>
      </w:r>
    </w:p>
    <w:p>
      <w:pPr>
        <w:pStyle w:val="Heading2"/>
        <w:spacing w:after="140" w:before="280"/>
      </w:pPr>
      <w:r>
        <w:rPr>
          <w:rFonts w:ascii="Times New Roman" w:cs="Times New Roman" w:eastAsia="Times New Roman" w:hAnsi="Times New Roman"/>
          <w:b/>
          <w:bCs/>
          <w:color w:val="2F5496"/>
          <w:sz w:val="24"/>
          <w:szCs w:val="24"/>
        </w:rPr>
        <w:t xml:space="preserve">A.4. Matrice de cohérence questions, objectifs, hypothèses</w:t>
      </w:r>
    </w:p>
    <w:p>
      <w:pPr>
        <w:spacing w:after="80" w:before="180"/>
        <w:jc w:val="center"/>
      </w:pPr>
      <w:r>
        <w:rPr>
          <w:rFonts w:ascii="Times New Roman" w:cs="Times New Roman" w:eastAsia="Times New Roman" w:hAnsi="Times New Roman"/>
          <w:b/>
          <w:bCs/>
          <w:sz w:val="21"/>
          <w:szCs w:val="21"/>
        </w:rPr>
        <w:t xml:space="preserve">Tableau A.2 : Matrice de cohérence de la recherche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Question spécifique</w:t>
            </w:r>
          </w:p>
        </w:tc>
        <w:tc>
          <w:tcPr>
            <w:tcW w:type="dxa" w:w="234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Objectif spécifique</w:t>
            </w:r>
          </w:p>
        </w:tc>
        <w:tc>
          <w:tcPr>
            <w:tcW w:type="dxa" w:w="234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Hypothèse</w:t>
            </w:r>
          </w:p>
        </w:tc>
        <w:tc>
          <w:tcPr>
            <w:tcW w:type="dxa" w:w="234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Chapitre de traitement</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QS1. Comment structurer et préparer le patrimoine documentaire du MINPMEESA pour en faire une base de connaissances interrogeable et traçable ?</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OS1. Constituer, prétraiter, segmenter et documenter par métadonnées un corpus issu des documents mobilisés pour l'Annuaire statistique et le RAP.</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H0 (prémisse de faisabilité, non testée statistiquement)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Ch. 2 et 3</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QS2. Quelle combinaison de recherche lexicale et de recherche sémantique permet de récupérer les passages les plus pertinents ?</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OS2. Concevoir et implémenter une architecture de récupération hybride avec fusion des classements.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H1. La récupération hybride surpasse chacune des deux récupérations prises isolément sur les métriques de pertinence.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Ch. 3 et 4</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QS3. Comment les métadonnées et le réordonnancement améliorent-ils la pertinence et la traçabilité des résultats ?</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OS3. Exploiter les métadonnées de structure et de source et introduire une étape de reranking.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H2. L'ajout du filtrage par métadonnées et du reranking améliore la qualité du classement des passages récupérés.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Ch. 3 et 4</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QS4. Comment limiter les réponses non fondées sur les sources et en garantir la vérifiabilité ?</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OS4. Construire un mécanisme de restitution contrôlée, sourcée et assortie de garde-fous de qualité.</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H3. L'ancrage documentaire réduit significativement la proportion d'énoncés non soutenus par les sources.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Ch. 3 et 4</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QS5. Le système réduit-il le temps de localisation des informations utiles à la production des deux publications ?</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OS5. Mesurer le gain opérationnel en mode production sur un protocole contrôlé de localisation d'information.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H4. En mode production, le temps médian de localisation d'une information est significativement inférieur avec le système qu'en recherche manuelle.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Ch. 4</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QS6. Le système facilite-t-il l'accès des décideurs à l'information contenue dans les publications éditées ?</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OS6. Concevoir et évaluer le mode consultation, adossé au corpus des publications éditées et à la restitution synthétique sourcée.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H5. En mode consultation, le système fournit une réponse synthétique exacte et sourcée plus rapidement que la consultation manuelle des publications.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Ch. 3 et 4</w:t>
            </w:r>
          </w:p>
        </w:tc>
      </w:tr>
    </w:tbl>
    <w:p>
      <w:pPr>
        <w:spacing w:after="200" w:before="60"/>
        <w:jc w:val="center"/>
      </w:pPr>
      <w:r>
        <w:rPr>
          <w:rFonts w:ascii="Times New Roman" w:cs="Times New Roman" w:eastAsia="Times New Roman" w:hAnsi="Times New Roman"/>
          <w:i/>
          <w:iCs/>
          <w:sz w:val="18"/>
          <w:szCs w:val="18"/>
        </w:rPr>
        <w:t xml:space="preserve">Source : Auteur.</w:t>
      </w:r>
    </w:p>
    <w:p>
      <w:pPr>
        <w:pStyle w:val="Heading2"/>
        <w:spacing w:after="140" w:before="280"/>
      </w:pPr>
      <w:r>
        <w:rPr>
          <w:rFonts w:ascii="Times New Roman" w:cs="Times New Roman" w:eastAsia="Times New Roman" w:hAnsi="Times New Roman"/>
          <w:b/>
          <w:bCs/>
          <w:color w:val="2F5496"/>
          <w:sz w:val="24"/>
          <w:szCs w:val="24"/>
        </w:rPr>
        <w:t xml:space="preserve">A.5. Hypothèses reformulées et critères de validation</w:t>
      </w:r>
    </w:p>
    <w:p>
      <w:pPr>
        <w:spacing w:after="140" w:line="320"/>
        <w:ind w:firstLine="360"/>
        <w:jc w:val="both"/>
      </w:pPr>
      <w:r>
        <w:rPr>
          <w:rFonts w:ascii="Times New Roman" w:cs="Times New Roman" w:eastAsia="Times New Roman" w:hAnsi="Times New Roman"/>
          <w:sz w:val="23"/>
          <w:szCs w:val="23"/>
        </w:rPr>
        <w:t xml:space="preserve">Les quatre hypothèses sont conservées dans leur intention mais reformulées de manière testable. Les seuils indiqués sont ceux proposés ici comme point de départ ; ils devront être arrêtés définitivement avant toute expérimentation, et cet arbitrage figure parmi les points soumis à l'encadreur.</w:t>
      </w:r>
    </w:p>
    <w:p>
      <w:pPr>
        <w:spacing w:after="80" w:before="180"/>
        <w:jc w:val="center"/>
      </w:pPr>
      <w:r>
        <w:rPr>
          <w:rFonts w:ascii="Times New Roman" w:cs="Times New Roman" w:eastAsia="Times New Roman" w:hAnsi="Times New Roman"/>
          <w:b/>
          <w:bCs/>
          <w:sz w:val="21"/>
          <w:szCs w:val="21"/>
        </w:rPr>
        <w:t xml:space="preserve">Tableau A.3 : Hypothèses et critères de validation fixés a priori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Hypothèse</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Formulation testable</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Critère de validation proposé</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H1</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La récupération hybride, combinant classement lexical et classement sémantique par fusion, produit une pertinence de récupération supérieure à celle de chacune des deux configurations prises isolément.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Gain d'au moins 5 points de nDCG@5 et de MRR de la configuration hybride sur la meilleure des deux configurations simples, sur l'ensemble du jeu de test.</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H2</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L'introduction du filtrage par métadonnées et d'une étape de reranking améliore le classement des passages récupérés.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Gain d'au moins 3 points de nDCG@5 et de Precision@3 par rapport à la configuration hybride sans reranking.</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H3</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L'ancrage des réponses dans les passages récupérés, assorti de la règle de citation littérale des données chiffrées, réduit la proportion d'énoncés non soutenus par les sources.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Taux d'énoncés non soutenus inférieur de plus de 20 points de pourcentage en configuration avec récupération par rapport à la configuration sans récupération, fidélité moyenne supérieure à 0,80, et exactitude des données chiffrées restituées supérieure à 0,95.</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H4</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En mode production, le système réduit le temps de localisation d'une information dans le patrimoine documentaire.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Temps médian de localisation réduit d'au moins 50 % par rapport à la recherche manuelle, sur un jeu de questions et un échantillon d'agents définis a priori.</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En mode consultation, le système fournit aux décideurs une réponse synthétique exacte et sourcée plus rapidement que la consultation manuelle des publications éditées.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Temps médian d'obtention d'une réponse réduit d'au moins 50 %, avec un taux de réponses exactes et correctement sourcées supérieur à 0,85.</w:t>
            </w:r>
          </w:p>
        </w:tc>
      </w:tr>
    </w:tbl>
    <w:p>
      <w:pPr>
        <w:spacing w:after="200" w:before="60"/>
        <w:jc w:val="center"/>
      </w:pPr>
      <w:r>
        <w:rPr>
          <w:rFonts w:ascii="Times New Roman" w:cs="Times New Roman" w:eastAsia="Times New Roman" w:hAnsi="Times New Roman"/>
          <w:i/>
          <w:iCs/>
          <w:sz w:val="18"/>
          <w:szCs w:val="18"/>
        </w:rPr>
        <w:t xml:space="preserve">Source : Auteur.</w:t>
      </w:r>
    </w:p>
    <w:p>
      <w:pPr>
        <w:pStyle w:val="Heading2"/>
        <w:spacing w:after="140" w:before="280"/>
      </w:pPr>
      <w:r>
        <w:rPr>
          <w:rFonts w:ascii="Times New Roman" w:cs="Times New Roman" w:eastAsia="Times New Roman" w:hAnsi="Times New Roman"/>
          <w:b/>
          <w:bCs/>
          <w:color w:val="2F5496"/>
          <w:sz w:val="24"/>
          <w:szCs w:val="24"/>
        </w:rPr>
        <w:t xml:space="preserve">A.6. Points soumis à l'appréciation de l'encadreur</w:t>
      </w:r>
    </w:p>
    <w:p>
      <w:pPr>
        <w:pStyle w:val="ListParagraph"/>
        <w:numPr>
          <w:ilvl w:val="0"/>
          <w:numId w:val="2"/>
        </w:numPr>
        <w:spacing w:after="90" w:line="300"/>
        <w:jc w:val="both"/>
      </w:pPr>
      <w:r>
        <w:rPr>
          <w:rFonts w:ascii="Times New Roman" w:cs="Times New Roman" w:eastAsia="Times New Roman" w:hAnsi="Times New Roman"/>
          <w:sz w:val="23"/>
          <w:szCs w:val="23"/>
        </w:rPr>
        <w:t xml:space="preserve">Validation du périmètre documentaire : nombre d'éditions de l'Annuaire et du RAP retenues, inclusion ou non des rapports d'activité des directions et des structures sous tutelle.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Arbitrage entre un système d'assistance documentaire, qui restitue des passages sourcés sans rédaction, et un système de génération assistée, qui rédige des projets de commentaires. Le second est plus ambitieux mais expose davantage au risque d'hallucination numérique.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Validation des seuils de validation des hypothèses figurant au tableau A.3.</w:t>
      </w:r>
    </w:p>
    <w:p>
      <w:pPr>
        <w:pStyle w:val="ListParagraph"/>
        <w:numPr>
          <w:ilvl w:val="0"/>
          <w:numId w:val="2"/>
        </w:numPr>
        <w:spacing w:after="90" w:line="300"/>
        <w:jc w:val="both"/>
      </w:pPr>
      <w:r>
        <w:rPr>
          <w:rFonts w:ascii="Times New Roman" w:cs="Times New Roman" w:eastAsia="Times New Roman" w:hAnsi="Times New Roman"/>
          <w:sz w:val="23"/>
          <w:szCs w:val="23"/>
        </w:rPr>
        <w:t xml:space="preserve">Faisabilité du protocole de mesure du gain de temps, qui suppose la disponibilité de quelques agents du ministère pendant une demi-journée.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Choix entre un déploiement entièrement local, plus lourd mais souverain, et le recours à une interface de programmation externe, plus performante mais incompatible avec la confidentialité des données non publiées.</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6"/>
        <w:szCs w:val="16"/>
      </w:rPr>
      <w:t xml:space="preserve">Adnane MAMA IDISSA  |  </w:t>
    </w:r>
    <w:r>
      <w:rPr>
        <w:rFonts w:ascii="Times New Roman" w:cs="Times New Roman" w:eastAsia="Times New Roman" w:hAnsi="Times New Roman"/>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6"/>
        <w:szCs w:val="16"/>
      </w:rPr>
      <w:t xml:space="preserve">Plan restructuré - Mémoire MDSMS2 - ISSEA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2026-08-30T21:43:26.736Z</dcterms:created>
  <dcterms:modified xsi:type="dcterms:W3CDTF">2026-08-30T21:43:26.753Z</dcterms:modified>
</cp:coreProperties>
</file>

<file path=docProps/custom.xml><?xml version="1.0" encoding="utf-8"?>
<Properties xmlns="http://schemas.openxmlformats.org/officeDocument/2006/custom-properties" xmlns:vt="http://schemas.openxmlformats.org/officeDocument/2006/docPropsVTypes"/>
</file>