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CONCEPTION ET ÉVALUATION D'UN SYSTÈME INTELLIGENT FONDÉ SUR UNE ARCHITECTURE RAG HYBRIDE POUR L'EXPLOITATION DU PATRIMOINE DOCUMENTAIRE DU MINPMEESA EN APPUI À LA PRODUCTION DE L'ANNUAIRE STATISTIQUE ET DU RAPPORT ANNUEL DE PERFORMANCE</w:t>
      </w:r>
    </w:p>
    <w:p>
      <w:pPr>
        <w:spacing w:after="160"/>
        <w:jc w:val="center"/>
      </w:pPr>
      <w:r>
        <w:rPr>
          <w:rFonts w:ascii="Times New Roman" w:cs="Times New Roman" w:eastAsia="Times New Roman" w:hAnsi="Times New Roman"/>
          <w:i/>
          <w:iCs/>
          <w:sz w:val="22"/>
          <w:szCs w:val="22"/>
        </w:rPr>
        <w:t xml:space="preserve">Introduction générale, chapitre 1, chapitre 2 et chapitre 3</w:t>
      </w:r>
    </w:p>
    <w:p>
      <w:pPr>
        <w:spacing w:after="160"/>
        <w:jc w:val="center"/>
      </w:pPr>
      <w:r>
        <w:rPr>
          <w:rFonts w:ascii="Times New Roman" w:cs="Times New Roman" w:eastAsia="Times New Roman" w:hAnsi="Times New Roman"/>
          <w:i/>
          <w:iCs/>
          <w:sz w:val="22"/>
          <w:szCs w:val="22"/>
        </w:rPr>
        <w:t xml:space="preserve">Adnane MAMA IDISSA, Master 2 Data Science et Modélisation Statistique (MDSMS2), ISSEA-CEMAC</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Note de lecture. Les passages en rouge signalés par « À COMPLÉTER » correspondent aux informations de terrain que seul le stage au MINPMEESA permet de renseigner : chiffres du corpus, noms des structures contributrices, durées observées, résultats d'entretiens, captures d'écran du prototype. Le reste du texte est rédigé et directement exploitable. Le plan restructuré dont découle cette rédaction fait l'objet d'un document distinct.</w:t>
      </w:r>
    </w:p>
    <w:p>
      <w:r>
        <w:br w:type="page"/>
      </w:r>
    </w:p>
    <w:p>
      <w:pPr>
        <w:pStyle w:val="Heading1"/>
        <w:spacing w:after="200" w:before="360"/>
      </w:pPr>
      <w:r>
        <w:rPr>
          <w:rFonts w:ascii="Times New Roman" w:cs="Times New Roman" w:eastAsia="Times New Roman" w:hAnsi="Times New Roman"/>
          <w:b/>
          <w:bCs/>
          <w:color w:val="1F3864"/>
          <w:sz w:val="28"/>
          <w:szCs w:val="28"/>
        </w:rPr>
        <w:t xml:space="preserve">INTRODUCTION GÉNÉRALE</w:t>
      </w:r>
    </w:p>
    <w:p>
      <w:pPr>
        <w:pStyle w:val="Heading2"/>
        <w:spacing w:after="140" w:before="280"/>
      </w:pPr>
      <w:r>
        <w:rPr>
          <w:rFonts w:ascii="Times New Roman" w:cs="Times New Roman" w:eastAsia="Times New Roman" w:hAnsi="Times New Roman"/>
          <w:b/>
          <w:bCs/>
          <w:color w:val="2F5496"/>
          <w:sz w:val="24"/>
          <w:szCs w:val="24"/>
        </w:rPr>
        <w:t xml:space="preserve">Contexte et justification</w:t>
      </w:r>
    </w:p>
    <w:p>
      <w:pPr>
        <w:spacing w:after="140" w:line="320"/>
        <w:ind w:firstLine="360"/>
        <w:jc w:val="both"/>
      </w:pPr>
      <w:r>
        <w:rPr>
          <w:rFonts w:ascii="Times New Roman" w:cs="Times New Roman" w:eastAsia="Times New Roman" w:hAnsi="Times New Roman"/>
          <w:sz w:val="23"/>
          <w:szCs w:val="23"/>
        </w:rPr>
        <w:t xml:space="preserve">La production régulière d'information statistique sectorielle constitue l'un des piliers de la gestion publique axée sur les résultats. Au Cameroun, cette exigence s'inscrit dans la Stratégie nationale de développement de la statistique et dans le cadre du budget-programme institué par le Nouveau régime financier de l'État, qui impose à chaque département ministériel de rendre compte annuellement de l'exécution de ses programmes au moyen d'un rapport annuel de performance.</w:t>
      </w:r>
    </w:p>
    <w:p>
      <w:pPr>
        <w:spacing w:after="140" w:line="320"/>
        <w:ind w:firstLine="360"/>
        <w:jc w:val="both"/>
      </w:pPr>
      <w:r>
        <w:rPr>
          <w:rFonts w:ascii="Times New Roman" w:cs="Times New Roman" w:eastAsia="Times New Roman" w:hAnsi="Times New Roman"/>
          <w:sz w:val="23"/>
          <w:szCs w:val="23"/>
        </w:rPr>
        <w:t xml:space="preserve">Le Ministère des Petites et Moyennes Entreprises, de l'Économie Sociale et de l'Artisanat est, dans ce dispositif, à la fois producteur d'information sectorielle et responsable de programmes. Il publie chaque année l'Annuaire statistique des petites et moyennes entreprises, des organisations de l'économie sociale et des artisans, dont la quatorzième édition a été rendue publique en mai 2025 et qui constitue le tableau de bord statistique de référence du secteur. Il élabore parallèlement, au titre de chaque exercice budgétaire, un rapport annuel de performance rendant compte des résultats obtenus par ses programmes au regard des objectifs et des indicateurs inscrits au projet annuel de performance.</w:t>
      </w:r>
    </w:p>
    <w:p>
      <w:pPr>
        <w:spacing w:after="140" w:line="320"/>
        <w:ind w:firstLine="360"/>
        <w:jc w:val="both"/>
      </w:pPr>
      <w:r>
        <w:rPr>
          <w:rFonts w:ascii="Times New Roman" w:cs="Times New Roman" w:eastAsia="Times New Roman" w:hAnsi="Times New Roman"/>
          <w:sz w:val="23"/>
          <w:szCs w:val="23"/>
        </w:rPr>
        <w:t xml:space="preserve">Ces deux publications présentent une caractéristique commune déterminante pour le présent travail : elles ne reposent pas sur une source de données unique mais sur l'agrégation d'informations dispersées dans un grand nombre de documents produits par des acteurs différents. Les directions techniques, les délégations régionales, les cellules, les structures rattachées et les organismes sous tutelle transmettent des rapports d'activité, des notes, des bilans et des tableaux dont le contenu doit être identifié, extrait, vérifié et consolidé. À cette production interne s'ajoutent les documents de référence externes, notamment ceux des administrations partenaires et des organisations internationales.</w:t>
      </w:r>
    </w:p>
    <w:p>
      <w:pPr>
        <w:spacing w:after="140" w:line="320"/>
        <w:ind w:firstLine="360"/>
        <w:jc w:val="both"/>
      </w:pPr>
      <w:r>
        <w:rPr>
          <w:rFonts w:ascii="Times New Roman" w:cs="Times New Roman" w:eastAsia="Times New Roman" w:hAnsi="Times New Roman"/>
          <w:sz w:val="23"/>
          <w:szCs w:val="23"/>
        </w:rPr>
        <w:t xml:space="preserve">La conséquence opérationnelle est directe. L'équipe chargée de la production consacre une part substantielle de son temps à des opérations de recherche documentaire et de vérification qui ne mobilisent pas ses compétences statistiques : retrouver dans quel rapport et à quelle page figure un effectif, vérifier qu'un chiffre repris d'une édition antérieure correspond bien à la source qui le fonde, reconstituer une série lorsque les définitions ont évolué d'une année à l'autre. Ces opérations sont répétitives, chronophages et exposées à l'erreur.</w:t>
      </w:r>
    </w:p>
    <w:p>
      <w:pPr>
        <w:spacing w:after="140" w:line="320"/>
        <w:ind w:firstLine="360"/>
        <w:jc w:val="both"/>
      </w:pPr>
      <w:r>
        <w:rPr>
          <w:rFonts w:ascii="Times New Roman" w:cs="Times New Roman" w:eastAsia="Times New Roman" w:hAnsi="Times New Roman"/>
          <w:sz w:val="23"/>
          <w:szCs w:val="23"/>
        </w:rPr>
        <w:t xml:space="preserve">Les moyens actuellement disponibles pour y répondre sont insuffisants. La recherche par mots-clés, qu'elle s'exerce dans un explorateur de fichiers ou dans un lecteur de documents, repose sur la correspondance exacte des termes. Elle échoue dès lors que l'information recherchée est formulée autrement que dans la requête, ce qui est fréquent dans un corpus où un même concept se dit de plusieurs manières. À l'inverse, le recours direct à un modèle de langage généraliste, dont l'usage se diffuse rapidement, produit des réponses fluides mais non vérifiables, et particulièrement peu fiables sur les données chiffrées, précisément ce qui constitue le cœur des deux publications visées.</w:t>
      </w:r>
    </w:p>
    <w:p>
      <w:pPr>
        <w:spacing w:after="140" w:line="320"/>
        <w:ind w:firstLine="360"/>
        <w:jc w:val="both"/>
      </w:pPr>
      <w:r>
        <w:rPr>
          <w:rFonts w:ascii="Times New Roman" w:cs="Times New Roman" w:eastAsia="Times New Roman" w:hAnsi="Times New Roman"/>
          <w:sz w:val="23"/>
          <w:szCs w:val="23"/>
        </w:rPr>
        <w:t xml:space="preserve">Une seconde considération, symétrique de la première, mérite d'être relevée. Une fois éditées, l'Annuaire statistique et le Rapport annuel de performance constituent eux-mêmes un gisement d'information peu exploité. Ces documents comptent plusieurs centaines de pages et leur consultation par un décideur, un responsable de programme ou un partenaire suppose de savoir où chercher. La difficulté d'accès qui pèse sur les producteurs en amont pèse ainsi, sous une autre forme, sur les utilisateurs en aval. Un même dispositif d'interrogation peut répondre aux deux besoins, ce qui conduit à concevoir le système selon deux modes d'usage complémentaires, présentés au chapitre 2.</w:t>
      </w:r>
    </w:p>
    <w:p>
      <w:pPr>
        <w:spacing w:after="140" w:line="320"/>
        <w:ind w:firstLine="360"/>
        <w:jc w:val="both"/>
      </w:pPr>
      <w:r>
        <w:rPr>
          <w:rFonts w:ascii="Times New Roman" w:cs="Times New Roman" w:eastAsia="Times New Roman" w:hAnsi="Times New Roman"/>
          <w:sz w:val="23"/>
          <w:szCs w:val="23"/>
        </w:rPr>
        <w:t xml:space="preserve">La génération augmentée par récupération, connue sous l'acronyme RAG, offre une réponse à cette double impasse. Introduite par Lewis et al. (2020), elle consiste à contraindre un modèle de langage à fonder sa réponse sur des passages préalablement extraits d'une base documentaire, ce qui permet de conserver la souplesse d'interrogation en langage naturel tout en restaurant la vérifiabilité des informations restituées. Sa déclinaison hybride, qui combine récupération lexicale et récupération sémantique, répond en outre à la nature composite des requêtes documentaires du ministère, où alternent des recherches thématiques ouvertes et des recherches portant sur des libellés exacts, des codes de programmes ou des intitulés d'indicateurs.</w:t>
      </w:r>
    </w:p>
    <w:p>
      <w:pPr>
        <w:pStyle w:val="Heading2"/>
        <w:spacing w:after="140" w:before="280"/>
      </w:pPr>
      <w:r>
        <w:rPr>
          <w:rFonts w:ascii="Times New Roman" w:cs="Times New Roman" w:eastAsia="Times New Roman" w:hAnsi="Times New Roman"/>
          <w:b/>
          <w:bCs/>
          <w:color w:val="2F5496"/>
          <w:sz w:val="24"/>
          <w:szCs w:val="24"/>
        </w:rPr>
        <w:t xml:space="preserve">Problématique</w:t>
      </w:r>
    </w:p>
    <w:p>
      <w:pPr>
        <w:spacing w:after="140" w:line="320"/>
        <w:ind w:firstLine="360"/>
        <w:jc w:val="both"/>
      </w:pPr>
      <w:r>
        <w:rPr>
          <w:rFonts w:ascii="Times New Roman" w:cs="Times New Roman" w:eastAsia="Times New Roman" w:hAnsi="Times New Roman"/>
          <w:sz w:val="23"/>
          <w:szCs w:val="23"/>
        </w:rPr>
        <w:t xml:space="preserve">La production de l'Annuaire statistique et du Rapport annuel de performance du MINPMEESA repose sur des informations dispersées dans des documents hétérogènes, produits par des structures distinctes, à des formats et selon des nomenclatures variables. Leur identification, leur extraction, leur vérification et leur consolidation exigent des opérations manuelles longues et répétitives, dont la charge est aggravée par l'absence d'outil d'interrogation transversale du patrimoine documentaire.</w:t>
      </w:r>
    </w:p>
    <w:p>
      <w:pPr>
        <w:spacing w:after="140" w:line="320"/>
        <w:ind w:firstLine="360"/>
        <w:jc w:val="both"/>
      </w:pPr>
      <w:r>
        <w:rPr>
          <w:rFonts w:ascii="Times New Roman" w:cs="Times New Roman" w:eastAsia="Times New Roman" w:hAnsi="Times New Roman"/>
          <w:sz w:val="23"/>
          <w:szCs w:val="23"/>
        </w:rPr>
        <w:t xml:space="preserve">Les deux réponses techniques immédiatement disponibles se heurtent chacune à une limite structurelle. La recherche lexicale classique ne retrouve pas les informations formulées autrement que la requête, ni celles réparties sur plusieurs documents. La génération non ancrée dans les sources produit des énoncés plausibles mais invérifiables, ce qui est rédhibitoire pour des publications officielles dont chaque chiffre engage la crédibilité institutionnelle du ministère.</w:t>
      </w:r>
    </w:p>
    <w:p>
      <w:pPr>
        <w:spacing w:after="140" w:line="320"/>
        <w:ind w:firstLine="360"/>
        <w:jc w:val="both"/>
      </w:pPr>
      <w:r>
        <w:rPr>
          <w:rFonts w:ascii="Times New Roman" w:cs="Times New Roman" w:eastAsia="Times New Roman" w:hAnsi="Times New Roman"/>
          <w:sz w:val="23"/>
          <w:szCs w:val="23"/>
        </w:rPr>
        <w:t xml:space="preserve">De ce constat découle la question centrale du présent travail : comment concevoir et évaluer un système intelligent fondé sur une architecture RAG hybride capable d'exploiter efficacement le patrimoine documentaire du MINPMEESA afin d'assister, d'une part, les agents dans la recherche, l'extraction, la vérification et la mobilisation des informations nécessaires à la production de l'Annuaire statistique et du Rapport annuel de performance, et d'autre part les décideurs dans la consultation de ces publications une fois éditées ?</w:t>
      </w:r>
    </w:p>
    <w:p>
      <w:pPr>
        <w:pStyle w:val="Heading2"/>
        <w:spacing w:after="140" w:before="280"/>
      </w:pPr>
      <w:r>
        <w:rPr>
          <w:rFonts w:ascii="Times New Roman" w:cs="Times New Roman" w:eastAsia="Times New Roman" w:hAnsi="Times New Roman"/>
          <w:b/>
          <w:bCs/>
          <w:color w:val="2F5496"/>
          <w:sz w:val="24"/>
          <w:szCs w:val="24"/>
        </w:rPr>
        <w:t xml:space="preserve">Questions de recherche</w:t>
      </w:r>
    </w:p>
    <w:p>
      <w:pPr>
        <w:spacing w:after="140" w:line="320"/>
        <w:ind w:firstLine="360"/>
        <w:jc w:val="both"/>
      </w:pPr>
      <w:r>
        <w:rPr>
          <w:rFonts w:ascii="Times New Roman" w:cs="Times New Roman" w:eastAsia="Times New Roman" w:hAnsi="Times New Roman"/>
          <w:sz w:val="23"/>
          <w:szCs w:val="23"/>
        </w:rPr>
        <w:t xml:space="preserve">La question principale se décline en cinq questions spécifiques.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Comment structurer et préparer le patrimoine documentaire du ministère afin d'en constituer une base de connaissances interrogeable et traçable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Quelle combinaison de recherche lexicale et de recherche sémantique permet de récupérer les passages les plus pertinents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Comment l'exploitation des métadonnées et le réordonnancement des résultats améliorent-ils la pertinence et la traçabilité de la récupération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Comment limiter les réponses non fondées sur les sources et en garantir la vérifiabilité par l'utilisateur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 système proposé réduit-il le temps de localisation des informations utiles à la production des deux publications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 système facilite-t-il l'accès des décideurs à l'information contenue dans les publications une fois éditées ?</w:t>
      </w:r>
    </w:p>
    <w:p>
      <w:pPr>
        <w:pStyle w:val="Heading2"/>
        <w:spacing w:after="140" w:before="280"/>
      </w:pPr>
      <w:r>
        <w:rPr>
          <w:rFonts w:ascii="Times New Roman" w:cs="Times New Roman" w:eastAsia="Times New Roman" w:hAnsi="Times New Roman"/>
          <w:b/>
          <w:bCs/>
          <w:color w:val="2F5496"/>
          <w:sz w:val="24"/>
          <w:szCs w:val="24"/>
        </w:rPr>
        <w:t xml:space="preserve">Objectifs de la recherche</w:t>
      </w:r>
    </w:p>
    <w:p>
      <w:pPr>
        <w:spacing w:after="140" w:line="320"/>
        <w:ind w:firstLine="360"/>
        <w:jc w:val="both"/>
      </w:pPr>
      <w:r>
        <w:rPr>
          <w:rFonts w:ascii="Times New Roman" w:cs="Times New Roman" w:eastAsia="Times New Roman" w:hAnsi="Times New Roman"/>
          <w:sz w:val="23"/>
          <w:szCs w:val="23"/>
        </w:rPr>
        <w:t xml:space="preserve">L'objectif général est de concevoir et d'évaluer un système intelligent fondé sur une architecture RAG hybride permettant l'exploitation du patrimoine documentaire du MINPMEESA, en appui d'une part à la production de l'Annuaire statistique et du Rapport annuel de performance, et d'autre part à leur consultation une fois publiés.</w:t>
      </w:r>
    </w:p>
    <w:p>
      <w:pPr>
        <w:spacing w:after="140" w:line="320"/>
        <w:ind w:firstLine="360"/>
        <w:jc w:val="both"/>
      </w:pPr>
      <w:r>
        <w:rPr>
          <w:rFonts w:ascii="Times New Roman" w:cs="Times New Roman" w:eastAsia="Times New Roman" w:hAnsi="Times New Roman"/>
          <w:sz w:val="23"/>
          <w:szCs w:val="23"/>
        </w:rPr>
        <w:t xml:space="preserve">De façon spécifique, il s'agit de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constituer, prétraiter, segmenter et documenter par métadonnées un corpus issu des documents effectivement mobilisés pour la production des deux publications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concevoir et implémenter une architecture de récupération hybride combinant un index lexical et un index vectoriel, avec fusion des classements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exploiter les métadonnées de structure et de source et introduire une étape de réordonnancement afin d'améliorer la pertinence et la traçabilité des résultats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construire un mécanisme de restitution contrôlée, systématiquement adossé aux documents, sections et pages sources, assorti de garde-fous de qualité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concevoir un mode de consultation adossé au corpus des publications éditées, restituant une synthèse rédigée dont toute donnée chiffrée est citée littéralement et référencée ;</w:t>
      </w:r>
    </w:p>
    <w:p>
      <w:pPr>
        <w:pStyle w:val="ListParagraph"/>
        <w:numPr>
          <w:ilvl w:val="0"/>
          <w:numId w:val="2"/>
        </w:numPr>
        <w:spacing w:after="90" w:line="300"/>
        <w:jc w:val="both"/>
      </w:pPr>
      <w:r>
        <w:rPr>
          <w:rFonts w:ascii="Times New Roman" w:cs="Times New Roman" w:eastAsia="Times New Roman" w:hAnsi="Times New Roman"/>
          <w:sz w:val="23"/>
          <w:szCs w:val="23"/>
        </w:rPr>
        <w:t xml:space="preserve">évaluer les performances des différentes configurations selon un protocole défini a priori et mesurer le gain opérationnel apporté par le système dans chacun de ses deux modes.</w:t>
      </w:r>
    </w:p>
    <w:p>
      <w:pPr>
        <w:pStyle w:val="Heading2"/>
        <w:spacing w:after="140" w:before="280"/>
      </w:pPr>
      <w:r>
        <w:rPr>
          <w:rFonts w:ascii="Times New Roman" w:cs="Times New Roman" w:eastAsia="Times New Roman" w:hAnsi="Times New Roman"/>
          <w:b/>
          <w:bCs/>
          <w:color w:val="2F5496"/>
          <w:sz w:val="24"/>
          <w:szCs w:val="24"/>
        </w:rPr>
        <w:t xml:space="preserve">Hypothèses de recherche</w:t>
      </w:r>
    </w:p>
    <w:p>
      <w:pPr>
        <w:spacing w:after="140" w:line="320"/>
        <w:ind w:firstLine="360"/>
        <w:jc w:val="both"/>
      </w:pPr>
      <w:r>
        <w:rPr>
          <w:rFonts w:ascii="Times New Roman" w:cs="Times New Roman" w:eastAsia="Times New Roman" w:hAnsi="Times New Roman"/>
          <w:sz w:val="23"/>
          <w:szCs w:val="23"/>
        </w:rPr>
        <w:t xml:space="preserve">Cinq hypothèses structurent l'évaluation. Chacune est assortie d'un critère de validation quantifié, fixé avant l'expérimentation et présenté au chapitre 2.</w:t>
      </w:r>
    </w:p>
    <w:p>
      <w:pPr>
        <w:pStyle w:val="ListParagraph"/>
        <w:numPr>
          <w:ilvl w:val="0"/>
          <w:numId w:val="2"/>
        </w:numPr>
        <w:spacing w:after="90" w:line="300"/>
        <w:jc w:val="both"/>
      </w:pPr>
      <w:r>
        <w:rPr>
          <w:rFonts w:ascii="Times New Roman" w:cs="Times New Roman" w:eastAsia="Times New Roman" w:hAnsi="Times New Roman"/>
          <w:sz w:val="23"/>
          <w:szCs w:val="23"/>
        </w:rPr>
        <w:t xml:space="preserve">H1 : une architecture de récupération hybride, combinant recherche lexicale et recherche sémantique, améliore la pertinence de récupération par rapport à chacune des deux approches prises isolément.</w:t>
      </w:r>
    </w:p>
    <w:p>
      <w:pPr>
        <w:pStyle w:val="ListParagraph"/>
        <w:numPr>
          <w:ilvl w:val="0"/>
          <w:numId w:val="2"/>
        </w:numPr>
        <w:spacing w:after="90" w:line="300"/>
        <w:jc w:val="both"/>
      </w:pPr>
      <w:r>
        <w:rPr>
          <w:rFonts w:ascii="Times New Roman" w:cs="Times New Roman" w:eastAsia="Times New Roman" w:hAnsi="Times New Roman"/>
          <w:sz w:val="23"/>
          <w:szCs w:val="23"/>
        </w:rPr>
        <w:t xml:space="preserve">H2 : l'exploitation des métadonnées et l'introduction d'une étape de réordonnancement améliorent la qualité du classement des passages récupérés.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H3 : l'ancrage des réponses dans les passages récupérés, assorti de la règle de citation littérale des données chiffrées, réduit significativement la proportion d'énoncés non soutenus par les sources et améliore ainsi leur vérifiabilité.</w:t>
      </w:r>
    </w:p>
    <w:p>
      <w:pPr>
        <w:pStyle w:val="ListParagraph"/>
        <w:numPr>
          <w:ilvl w:val="0"/>
          <w:numId w:val="2"/>
        </w:numPr>
        <w:spacing w:after="90" w:line="300"/>
        <w:jc w:val="both"/>
      </w:pPr>
      <w:r>
        <w:rPr>
          <w:rFonts w:ascii="Times New Roman" w:cs="Times New Roman" w:eastAsia="Times New Roman" w:hAnsi="Times New Roman"/>
          <w:sz w:val="23"/>
          <w:szCs w:val="23"/>
        </w:rPr>
        <w:t xml:space="preserve">H4 : en mode production, le système réduit significativement le temps de localisation d'une information utile dans le patrimoine documentaire par rapport à la recherche manuelle.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H5 : en mode consultation, le système fournit aux décideurs une réponse synthétique exacte et sourcée plus rapidement que la consultation manuelle des publications éditées.</w:t>
      </w:r>
    </w:p>
    <w:p>
      <w:pPr>
        <w:pStyle w:val="Heading2"/>
        <w:spacing w:after="140" w:before="280"/>
      </w:pPr>
      <w:r>
        <w:rPr>
          <w:rFonts w:ascii="Times New Roman" w:cs="Times New Roman" w:eastAsia="Times New Roman" w:hAnsi="Times New Roman"/>
          <w:b/>
          <w:bCs/>
          <w:color w:val="2F5496"/>
          <w:sz w:val="24"/>
          <w:szCs w:val="24"/>
        </w:rPr>
        <w:t xml:space="preserve">Méthodologie et sources de données</w:t>
      </w:r>
    </w:p>
    <w:p>
      <w:pPr>
        <w:spacing w:after="140" w:line="320"/>
        <w:ind w:firstLine="360"/>
        <w:jc w:val="both"/>
      </w:pPr>
      <w:r>
        <w:rPr>
          <w:rFonts w:ascii="Times New Roman" w:cs="Times New Roman" w:eastAsia="Times New Roman" w:hAnsi="Times New Roman"/>
          <w:sz w:val="23"/>
          <w:szCs w:val="23"/>
        </w:rPr>
        <w:t xml:space="preserve">La démarche retenue est celle de la recherche par conception d'artefact, ou design science research, formalisée par Hevner et al. (2004). Elle consiste à concevoir un artefact en réponse à un problème identifié dans un contexte organisationnel réel, puis à en évaluer les propriétés selon des critères mesurables. Elle se déroule ici en cinq phases : analyse du besoin métier, constitution du corpus, ingestion et structuration, conception de l'architecture hybride, évaluation comparative.</w:t>
      </w:r>
    </w:p>
    <w:p>
      <w:pPr>
        <w:spacing w:after="140" w:line="320"/>
        <w:ind w:firstLine="360"/>
        <w:jc w:val="both"/>
      </w:pPr>
      <w:r>
        <w:rPr>
          <w:rFonts w:ascii="Times New Roman" w:cs="Times New Roman" w:eastAsia="Times New Roman" w:hAnsi="Times New Roman"/>
          <w:sz w:val="23"/>
          <w:szCs w:val="23"/>
        </w:rPr>
        <w:t xml:space="preserve">Les données mobilisées sont exclusivement documentaires. Elles réunissent, d'une part, les éditions successives de l'Annuaire statistique des PMEESA et des rapports annuels de performance du ministère, publiquement accessibles, et d'autre part les documents internes mobilisés pour leur production, dont les rapports d'activité des directions, des délégations régionales et des structures sous tutelle. La composition exacte du corpus est présentée au chapitre 2.</w:t>
      </w:r>
    </w:p>
    <w:p>
      <w:pPr>
        <w:spacing w:after="140" w:line="320"/>
        <w:ind w:firstLine="360"/>
        <w:jc w:val="both"/>
      </w:pPr>
      <w:r>
        <w:rPr>
          <w:rFonts w:ascii="Times New Roman" w:cs="Times New Roman" w:eastAsia="Times New Roman" w:hAnsi="Times New Roman"/>
          <w:sz w:val="23"/>
          <w:szCs w:val="23"/>
        </w:rPr>
        <w:t xml:space="preserve">L'évaluation combine deux cadres complémentaires : les métriques classiques de recherche d'information pour la composante de récupération, et des métriques d'ancrage et de fidélité pour la composante de restitution, complétées par une mesure du gain opérationnel sur un protocole contrôlé.</w:t>
      </w:r>
    </w:p>
    <w:p>
      <w:pPr>
        <w:pStyle w:val="Heading2"/>
        <w:spacing w:after="140" w:before="280"/>
      </w:pPr>
      <w:r>
        <w:rPr>
          <w:rFonts w:ascii="Times New Roman" w:cs="Times New Roman" w:eastAsia="Times New Roman" w:hAnsi="Times New Roman"/>
          <w:b/>
          <w:bCs/>
          <w:color w:val="2F5496"/>
          <w:sz w:val="24"/>
          <w:szCs w:val="24"/>
        </w:rPr>
        <w:t xml:space="preserve">Annonce du plan</w:t>
      </w:r>
    </w:p>
    <w:p>
      <w:pPr>
        <w:spacing w:after="140" w:line="320"/>
        <w:ind w:firstLine="360"/>
        <w:jc w:val="both"/>
      </w:pPr>
      <w:r>
        <w:rPr>
          <w:rFonts w:ascii="Times New Roman" w:cs="Times New Roman" w:eastAsia="Times New Roman" w:hAnsi="Times New Roman"/>
          <w:sz w:val="23"/>
          <w:szCs w:val="23"/>
        </w:rPr>
        <w:t xml:space="preserve">Le mémoire compte quatre chapitres. Le premier pose le cadre conceptuel et théorique, depuis la recherche d'information jusqu'à l'architecture RAG hybride, et conduit une revue critique des travaux antérieurs. Le deuxième présente le contexte d'étude, analyse le processus de production des deux publications, définit les deux modes d'usage du système, formalise les besoins fonctionnels et expose la démarche de recherche ainsi que le protocole d'évaluation. Le troisième détaille la conception et l'implémentation du système, depuis l'ingestion des documents jusqu'à la restitution sourcée. Le quatrième présente les résultats expérimentaux, valide les hypothèses et discute la portée, les limites et les perspectives du travail.</w:t>
      </w:r>
    </w:p>
    <w:p>
      <w:r>
        <w:br w:type="page"/>
      </w:r>
    </w:p>
    <w:p>
      <w:pPr>
        <w:pStyle w:val="Heading1"/>
        <w:spacing w:after="200" w:before="360"/>
      </w:pPr>
      <w:r>
        <w:rPr>
          <w:rFonts w:ascii="Times New Roman" w:cs="Times New Roman" w:eastAsia="Times New Roman" w:hAnsi="Times New Roman"/>
          <w:b/>
          <w:bCs/>
          <w:color w:val="1F3864"/>
          <w:sz w:val="28"/>
          <w:szCs w:val="28"/>
        </w:rPr>
        <w:t xml:space="preserve">CHAPITRE 1. CADRE CONCEPTUEL, THÉORIQUE ET REVUE DE LA LITTÉRATURE</w:t>
      </w:r>
    </w:p>
    <w:p>
      <w:pPr>
        <w:spacing w:after="200" w:line="300"/>
        <w:ind w:left="360" w:right="360"/>
        <w:jc w:val="both"/>
      </w:pPr>
      <w:r>
        <w:rPr>
          <w:rFonts w:ascii="Times New Roman" w:cs="Times New Roman" w:eastAsia="Times New Roman" w:hAnsi="Times New Roman"/>
          <w:i/>
          <w:iCs/>
          <w:sz w:val="22"/>
          <w:szCs w:val="22"/>
        </w:rPr>
        <w:t xml:space="preserve">Ce premier chapitre pose les fondements théoriques du travail. Il définit d'abord les notions techniques mobilisées. Il expose ensuite les deux grandes familles de recherche d'information et leurs limites respectives, puis les modèles de langage, le phénomène d'hallucination et l'architecture de génération augmentée par récupération. Il précise les mécanismes propres à l'architecture hybride retenue, présente les cadres d'évaluation applicables, et conduit enfin une revue critique des travaux antérieurs afin de situer la contribution du présent mémoire.</w:t>
      </w:r>
    </w:p>
    <w:p>
      <w:pPr>
        <w:pStyle w:val="Heading2"/>
        <w:spacing w:after="140" w:before="280"/>
      </w:pPr>
      <w:r>
        <w:rPr>
          <w:rFonts w:ascii="Times New Roman" w:cs="Times New Roman" w:eastAsia="Times New Roman" w:hAnsi="Times New Roman"/>
          <w:b/>
          <w:bCs/>
          <w:color w:val="2F5496"/>
          <w:sz w:val="24"/>
          <w:szCs w:val="24"/>
        </w:rPr>
        <w:t xml:space="preserve">1.1. Fondements conceptuels et définitions</w:t>
      </w:r>
    </w:p>
    <w:p>
      <w:pPr>
        <w:spacing w:after="140" w:line="320"/>
        <w:ind w:firstLine="360"/>
        <w:jc w:val="both"/>
      </w:pPr>
      <w:r>
        <w:rPr>
          <w:rFonts w:ascii="Times New Roman" w:cs="Times New Roman" w:eastAsia="Times New Roman" w:hAnsi="Times New Roman"/>
          <w:sz w:val="23"/>
          <w:szCs w:val="23"/>
        </w:rPr>
        <w:t xml:space="preserve">Les notions suivantes sont définies en préambule afin d'assurer la lisibilité du chapitre pour un lecteur non spécialiste du traitement automatique du langage.</w:t>
      </w:r>
    </w:p>
    <w:p>
      <w:pPr>
        <w:pStyle w:val="Heading3"/>
        <w:spacing w:after="120" w:before="220"/>
      </w:pPr>
      <w:r>
        <w:rPr>
          <w:rFonts w:ascii="Times New Roman" w:cs="Times New Roman" w:eastAsia="Times New Roman" w:hAnsi="Times New Roman"/>
          <w:b/>
          <w:bCs/>
          <w:color w:val="2F5496"/>
          <w:sz w:val="22"/>
          <w:szCs w:val="22"/>
        </w:rPr>
        <w:t xml:space="preserve">1.1.1. Notions relatives au patrimoine documentaire</w:t>
      </w:r>
    </w:p>
    <w:p>
      <w:pPr>
        <w:spacing w:after="140" w:line="320"/>
        <w:ind w:firstLine="360"/>
        <w:jc w:val="both"/>
      </w:pPr>
      <w:r>
        <w:rPr>
          <w:rFonts w:ascii="Times New Roman" w:cs="Times New Roman" w:eastAsia="Times New Roman" w:hAnsi="Times New Roman"/>
          <w:sz w:val="23"/>
          <w:szCs w:val="23"/>
        </w:rPr>
        <w:t xml:space="preserve">Le patrimoine documentaire désigne l'ensemble des documents produits, reçus et conservés par une institution dans le cadre de son activité, indépendamment de leur format et de leur statut de publication. Dans le cas du MINPMEESA, il réunit les publications officielles, les rapports d'activité des structures, les notes internes et les documents de référence externes mobilisés.</w:t>
      </w:r>
    </w:p>
    <w:p>
      <w:pPr>
        <w:spacing w:after="140" w:line="320"/>
        <w:ind w:firstLine="360"/>
        <w:jc w:val="both"/>
      </w:pPr>
      <w:r>
        <w:rPr>
          <w:rFonts w:ascii="Times New Roman" w:cs="Times New Roman" w:eastAsia="Times New Roman" w:hAnsi="Times New Roman"/>
          <w:sz w:val="23"/>
          <w:szCs w:val="23"/>
        </w:rPr>
        <w:t xml:space="preserve">L'Annuaire statistique des PMEESA est la publication annuelle du ministère qui rassemble les données relatives aux petites et moyennes entreprises, aux organisations de l'économie sociale et aux unités de production artisanale. Il constitue un tableau de bord statistique destiné à faciliter l'évaluation des politiques publiques du secteur.</w:t>
      </w:r>
    </w:p>
    <w:p>
      <w:pPr>
        <w:spacing w:after="140" w:line="320"/>
        <w:ind w:firstLine="360"/>
        <w:jc w:val="both"/>
      </w:pPr>
      <w:r>
        <w:rPr>
          <w:rFonts w:ascii="Times New Roman" w:cs="Times New Roman" w:eastAsia="Times New Roman" w:hAnsi="Times New Roman"/>
          <w:sz w:val="23"/>
          <w:szCs w:val="23"/>
        </w:rPr>
        <w:t xml:space="preserve">Le Rapport annuel de performance, désigné par l'acronyme RAP, est le document par lequel un responsable de programme rend compte, au terme d'un exercice budgétaire, des résultats obtenus au regard des objectifs et des indicateurs inscrits au projet annuel de performance. Il est le pendant, en fin de gestion, du projet annuel de performance élaboré en amont.</w:t>
      </w:r>
    </w:p>
    <w:p>
      <w:pPr>
        <w:spacing w:after="140" w:line="320"/>
        <w:ind w:firstLine="360"/>
        <w:jc w:val="both"/>
      </w:pPr>
      <w:r>
        <w:rPr>
          <w:rFonts w:ascii="Times New Roman" w:cs="Times New Roman" w:eastAsia="Times New Roman" w:hAnsi="Times New Roman"/>
          <w:sz w:val="23"/>
          <w:szCs w:val="23"/>
        </w:rPr>
        <w:t xml:space="preserve">Une métadonnée est une donnée qui décrit un document ou un fragment de document : titre, structure émettrice, année de référence, type de publication, section, numéro de page. Elle ne fait pas partie du contenu mais conditionne sa contextualisation et sa traçabilité.</w:t>
      </w:r>
    </w:p>
    <w:p>
      <w:pPr>
        <w:pStyle w:val="Heading3"/>
        <w:spacing w:after="120" w:before="220"/>
      </w:pPr>
      <w:r>
        <w:rPr>
          <w:rFonts w:ascii="Times New Roman" w:cs="Times New Roman" w:eastAsia="Times New Roman" w:hAnsi="Times New Roman"/>
          <w:b/>
          <w:bCs/>
          <w:color w:val="2F5496"/>
          <w:sz w:val="22"/>
          <w:szCs w:val="22"/>
        </w:rPr>
        <w:t xml:space="preserve">1.1.2. Notions relatives au traitement automatique du langage</w:t>
      </w:r>
    </w:p>
    <w:p>
      <w:pPr>
        <w:spacing w:after="140" w:line="320"/>
        <w:ind w:firstLine="360"/>
        <w:jc w:val="both"/>
      </w:pPr>
      <w:r>
        <w:rPr>
          <w:rFonts w:ascii="Times New Roman" w:cs="Times New Roman" w:eastAsia="Times New Roman" w:hAnsi="Times New Roman"/>
          <w:sz w:val="23"/>
          <w:szCs w:val="23"/>
        </w:rPr>
        <w:t xml:space="preserve">Un modèle de langage, ou large language model, est un système entraîné sur de vastes corpus textuels à prédire la suite d'une séquence, ce qui lui permet de générer, résumer ou reformuler du langage naturel.</w:t>
      </w:r>
    </w:p>
    <w:p>
      <w:pPr>
        <w:spacing w:after="140" w:line="320"/>
        <w:ind w:firstLine="360"/>
        <w:jc w:val="both"/>
      </w:pPr>
      <w:r>
        <w:rPr>
          <w:rFonts w:ascii="Times New Roman" w:cs="Times New Roman" w:eastAsia="Times New Roman" w:hAnsi="Times New Roman"/>
          <w:sz w:val="23"/>
          <w:szCs w:val="23"/>
        </w:rPr>
        <w:t xml:space="preserve">Un token est l'unité élémentaire de traitement d'un modèle de langage. Il peut correspondre à un mot entier, à une portion de mot, à un signe de ponctuation ou à un espace.</w:t>
      </w:r>
    </w:p>
    <w:p>
      <w:pPr>
        <w:spacing w:after="140" w:line="320"/>
        <w:ind w:firstLine="360"/>
        <w:jc w:val="both"/>
      </w:pPr>
      <w:r>
        <w:rPr>
          <w:rFonts w:ascii="Times New Roman" w:cs="Times New Roman" w:eastAsia="Times New Roman" w:hAnsi="Times New Roman"/>
          <w:sz w:val="23"/>
          <w:szCs w:val="23"/>
        </w:rPr>
        <w:t xml:space="preserve">Un chunk, ou segment, est un fragment de document obtenu par découpage en vue de son indexation. Il constitue l'unité élémentaire de récupération.</w:t>
      </w:r>
    </w:p>
    <w:p>
      <w:pPr>
        <w:spacing w:after="140" w:line="320"/>
        <w:ind w:firstLine="360"/>
        <w:jc w:val="both"/>
      </w:pPr>
      <w:r>
        <w:rPr>
          <w:rFonts w:ascii="Times New Roman" w:cs="Times New Roman" w:eastAsia="Times New Roman" w:hAnsi="Times New Roman"/>
          <w:sz w:val="23"/>
          <w:szCs w:val="23"/>
        </w:rPr>
        <w:t xml:space="preserve">Un embedding est une représentation vectorielle dense d'une séquence textuelle. Deux textes proches par le sens produisent des vecteurs proches dans l'espace de représentation, indépendamment des mots employés.</w:t>
      </w:r>
    </w:p>
    <w:p>
      <w:pPr>
        <w:spacing w:after="140" w:line="320"/>
        <w:ind w:firstLine="360"/>
        <w:jc w:val="both"/>
      </w:pPr>
      <w:r>
        <w:rPr>
          <w:rFonts w:ascii="Times New Roman" w:cs="Times New Roman" w:eastAsia="Times New Roman" w:hAnsi="Times New Roman"/>
          <w:sz w:val="23"/>
          <w:szCs w:val="23"/>
        </w:rPr>
        <w:t xml:space="preserve">La récupération, ou retrieval, désigne l'opération consistant à extraire d'une base documentaire les passages les plus pertinents au regard d'une requête.</w:t>
      </w:r>
    </w:p>
    <w:p>
      <w:pPr>
        <w:spacing w:after="140" w:line="320"/>
        <w:ind w:firstLine="360"/>
        <w:jc w:val="both"/>
      </w:pPr>
      <w:r>
        <w:rPr>
          <w:rFonts w:ascii="Times New Roman" w:cs="Times New Roman" w:eastAsia="Times New Roman" w:hAnsi="Times New Roman"/>
          <w:sz w:val="23"/>
          <w:szCs w:val="23"/>
        </w:rPr>
        <w:t xml:space="preserve">Le prompt est l'instruction textuelle soumise au modèle de langage pour orienter la nature et la forme de sa réponse.</w:t>
      </w:r>
    </w:p>
    <w:p>
      <w:pPr>
        <w:spacing w:after="140" w:line="320"/>
        <w:ind w:firstLine="360"/>
        <w:jc w:val="both"/>
      </w:pPr>
      <w:r>
        <w:rPr>
          <w:rFonts w:ascii="Times New Roman" w:cs="Times New Roman" w:eastAsia="Times New Roman" w:hAnsi="Times New Roman"/>
          <w:sz w:val="23"/>
          <w:szCs w:val="23"/>
        </w:rPr>
        <w:t xml:space="preserve">L'hallucination désigne la production, par un modèle de langage, d'une information factuellement incorrecte mais linguistiquement vraisemblable.</w:t>
      </w:r>
    </w:p>
    <w:p>
      <w:pPr>
        <w:spacing w:after="140" w:line="320"/>
        <w:ind w:firstLine="360"/>
        <w:jc w:val="both"/>
      </w:pPr>
      <w:r>
        <w:rPr>
          <w:rFonts w:ascii="Times New Roman" w:cs="Times New Roman" w:eastAsia="Times New Roman" w:hAnsi="Times New Roman"/>
          <w:sz w:val="23"/>
          <w:szCs w:val="23"/>
        </w:rPr>
        <w:t xml:space="preserve">Le réordonnancement, ou reranking, est une étape de classement fin appliquée aux passages déjà récupérés, au moyen d'un modèle qui évalue conjointement la requête et chaque passage candidat.</w:t>
      </w:r>
    </w:p>
    <w:p>
      <w:pPr>
        <w:pStyle w:val="Heading2"/>
        <w:spacing w:after="140" w:before="280"/>
      </w:pPr>
      <w:r>
        <w:rPr>
          <w:rFonts w:ascii="Times New Roman" w:cs="Times New Roman" w:eastAsia="Times New Roman" w:hAnsi="Times New Roman"/>
          <w:b/>
          <w:bCs/>
          <w:color w:val="2F5496"/>
          <w:sz w:val="24"/>
          <w:szCs w:val="24"/>
        </w:rPr>
        <w:t xml:space="preserve">1.2. La recherche d'information appliquée à un patrimoine documentaire institutionnel</w:t>
      </w:r>
    </w:p>
    <w:p>
      <w:pPr>
        <w:spacing w:after="140" w:line="320"/>
        <w:ind w:firstLine="360"/>
        <w:jc w:val="both"/>
      </w:pPr>
      <w:r>
        <w:rPr>
          <w:rFonts w:ascii="Times New Roman" w:cs="Times New Roman" w:eastAsia="Times New Roman" w:hAnsi="Times New Roman"/>
          <w:sz w:val="23"/>
          <w:szCs w:val="23"/>
        </w:rPr>
        <w:t xml:space="preserve">Retrouver une information dans un ensemble de documents relève de la recherche d'information, discipline dont les fondements remontent aux travaux de Salton et Buckley (1988). Deux grandes familles de méthodes coexistent, dont les propriétés sont largement complémentaires.</w:t>
      </w:r>
    </w:p>
    <w:p>
      <w:pPr>
        <w:pStyle w:val="Heading3"/>
        <w:spacing w:after="120" w:before="220"/>
      </w:pPr>
      <w:r>
        <w:rPr>
          <w:rFonts w:ascii="Times New Roman" w:cs="Times New Roman" w:eastAsia="Times New Roman" w:hAnsi="Times New Roman"/>
          <w:b/>
          <w:bCs/>
          <w:color w:val="2F5496"/>
          <w:sz w:val="22"/>
          <w:szCs w:val="22"/>
        </w:rPr>
        <w:t xml:space="preserve">1.2.1. La recherche lexicale et la fonction BM25</w:t>
      </w:r>
    </w:p>
    <w:p>
      <w:pPr>
        <w:spacing w:after="140" w:line="320"/>
        <w:ind w:firstLine="360"/>
        <w:jc w:val="both"/>
      </w:pPr>
      <w:r>
        <w:rPr>
          <w:rFonts w:ascii="Times New Roman" w:cs="Times New Roman" w:eastAsia="Times New Roman" w:hAnsi="Times New Roman"/>
          <w:sz w:val="23"/>
          <w:szCs w:val="23"/>
        </w:rPr>
        <w:t xml:space="preserve">La recherche lexicale repose sur la correspondance des termes entre la requête et les documents. Sa première formalisation opérationnelle est la pondération TF-IDF, qui attribue à chaque terme un poids croissant avec sa fréquence dans le document et décroissant avec sa fréquence dans l'ensemble du corpus (Salton et Buckley, 1988). Un terme fréquent dans un document et rare dans le corpus est ainsi jugé discriminant.</w:t>
      </w:r>
    </w:p>
    <w:p>
      <w:pPr>
        <w:spacing w:after="140" w:line="320"/>
        <w:ind w:firstLine="360"/>
        <w:jc w:val="both"/>
      </w:pPr>
      <w:r>
        <w:rPr>
          <w:rFonts w:ascii="Times New Roman" w:cs="Times New Roman" w:eastAsia="Times New Roman" w:hAnsi="Times New Roman"/>
          <w:sz w:val="23"/>
          <w:szCs w:val="23"/>
        </w:rPr>
        <w:t xml:space="preserve">La fonction BM25, pour Best Matching 25, en constitue le raffinement de référence. Elle corrige deux faiblesses de TF-IDF : la croissance non bornée du poids avec la fréquence du terme, qu'elle remplace par une fonction saturante, et l'absence de prise en compte de la longueur du document, qu'elle normalise. BM25 demeure aujourd'hui encore une base de comparaison exigeante, que les méthodes neuronales ne surpassent pas systématiquement, en particulier sur les corpus spécialisés et sur les requêtes contenant des termes rares.</w:t>
      </w:r>
    </w:p>
    <w:p>
      <w:pPr>
        <w:spacing w:after="140" w:line="320"/>
        <w:ind w:firstLine="360"/>
        <w:jc w:val="both"/>
      </w:pPr>
      <w:r>
        <w:rPr>
          <w:rFonts w:ascii="Times New Roman" w:cs="Times New Roman" w:eastAsia="Times New Roman" w:hAnsi="Times New Roman"/>
          <w:sz w:val="23"/>
          <w:szCs w:val="23"/>
        </w:rPr>
        <w:t xml:space="preserve">Appliquée au patrimoine documentaire du MINPMEESA, la recherche lexicale présente un avantage décisif et une limite tout aussi nette. Son avantage tient à sa fiabilité sur les libellés exacts : un intitulé d'indicateur de performance, un code de programme budgétaire, une dénomination de structure ou un sigle sont retrouvés avec certitude dès lors qu'ils figurent tels quels dans le corpus. Sa limite est l'incapacité à rapprocher deux formulations différentes d'un même contenu : une requête portant sur la création d'entreprises ne retrouvera pas un passage traitant de la démographie des unités économiques, faute de vocabulaire commun.</w:t>
      </w:r>
    </w:p>
    <w:p>
      <w:pPr>
        <w:pStyle w:val="Heading3"/>
        <w:spacing w:after="120" w:before="220"/>
      </w:pPr>
      <w:r>
        <w:rPr>
          <w:rFonts w:ascii="Times New Roman" w:cs="Times New Roman" w:eastAsia="Times New Roman" w:hAnsi="Times New Roman"/>
          <w:b/>
          <w:bCs/>
          <w:color w:val="2F5496"/>
          <w:sz w:val="22"/>
          <w:szCs w:val="22"/>
        </w:rPr>
        <w:t xml:space="preserve">1.2.2. La recherche sémantique et les représentations vectorielles</w:t>
      </w:r>
    </w:p>
    <w:p>
      <w:pPr>
        <w:spacing w:after="140" w:line="320"/>
        <w:ind w:firstLine="360"/>
        <w:jc w:val="both"/>
      </w:pPr>
      <w:r>
        <w:rPr>
          <w:rFonts w:ascii="Times New Roman" w:cs="Times New Roman" w:eastAsia="Times New Roman" w:hAnsi="Times New Roman"/>
          <w:sz w:val="23"/>
          <w:szCs w:val="23"/>
        </w:rPr>
        <w:t xml:space="preserve">La recherche sémantique répond précisément à cette limite. Elle projette requêtes et documents dans un même espace vectoriel où la proximité traduit la similarité de sens et non la coïncidence des mots.</w:t>
      </w:r>
    </w:p>
    <w:p>
      <w:pPr>
        <w:spacing w:after="140" w:line="320"/>
        <w:ind w:firstLine="360"/>
        <w:jc w:val="both"/>
      </w:pPr>
      <w:r>
        <w:rPr>
          <w:rFonts w:ascii="Times New Roman" w:cs="Times New Roman" w:eastAsia="Times New Roman" w:hAnsi="Times New Roman"/>
          <w:sz w:val="23"/>
          <w:szCs w:val="23"/>
        </w:rPr>
        <w:t xml:space="preserve">L'évolution de ces représentations a connu plusieurs étapes. Les modèles Word2Vec (Mikolov et al., 2013) et GloVe (Pennington et al., 2014) ont d'abord permis de capturer les relations sémantiques entre termes à partir de leurs cooccurrences, mais en produisant un vecteur unique par mot, indépendant du contexte d'emploi. L'architecture Transformer (Vaswani et al., 2017) a levé cette limite grâce au mécanisme d'attention, qui permet de tenir compte du contexte complet d'un mot dans la phrase. Le modèle BERT (Devlin et al., 2019) en a tiré des représentations contextuelles nettement plus riches. Reimers et Gurevych (2019) ont enfin adapté cette architecture à la comparaison de phrases entières avec Sentence-BERT, rendant la recherche vectorielle opérationnelle à l'échelle d'un corpus.</w:t>
      </w:r>
    </w:p>
    <w:p>
      <w:pPr>
        <w:spacing w:after="140" w:line="320"/>
        <w:ind w:firstLine="360"/>
        <w:jc w:val="both"/>
      </w:pPr>
      <w:r>
        <w:rPr>
          <w:rFonts w:ascii="Times New Roman" w:cs="Times New Roman" w:eastAsia="Times New Roman" w:hAnsi="Times New Roman"/>
          <w:sz w:val="23"/>
          <w:szCs w:val="23"/>
        </w:rPr>
        <w:t xml:space="preserve">Karpukhin et al. (2020) ont montré empiriquement, avec l'architecture Dense Passage Retrieval, que la récupération dense surpasse la récupération lexicale sur les tâches de question-réponse en domaine ouvert. Ce résultat vaut cependant pour des requêtes formulées en langage naturel. Il ne s'étend pas aux requêtes portant sur des identifiants ou des libellés exacts, pour lesquelles la recherche sémantique se révèle au contraire peu fiable : une chaîne alphanumérique dépourvue de contenu sémantique produit un embedding faiblement discriminant, constat vérifié empiriquement par MABIALA (2026) sur les codes techniques d'un référentiel d'enquête, avec un rang réciproque moyen nul.</w:t>
      </w:r>
    </w:p>
    <w:p>
      <w:pPr>
        <w:pStyle w:val="Heading3"/>
        <w:spacing w:after="120" w:before="220"/>
      </w:pPr>
      <w:r>
        <w:rPr>
          <w:rFonts w:ascii="Times New Roman" w:cs="Times New Roman" w:eastAsia="Times New Roman" w:hAnsi="Times New Roman"/>
          <w:b/>
          <w:bCs/>
          <w:color w:val="2F5496"/>
          <w:sz w:val="22"/>
          <w:szCs w:val="22"/>
        </w:rPr>
        <w:t xml:space="preserve">1.2.3. La complémentarité des deux approches</w:t>
      </w:r>
    </w:p>
    <w:p>
      <w:pPr>
        <w:spacing w:after="140" w:line="320"/>
        <w:ind w:firstLine="360"/>
        <w:jc w:val="both"/>
      </w:pPr>
      <w:r>
        <w:rPr>
          <w:rFonts w:ascii="Times New Roman" w:cs="Times New Roman" w:eastAsia="Times New Roman" w:hAnsi="Times New Roman"/>
          <w:sz w:val="23"/>
          <w:szCs w:val="23"/>
        </w:rPr>
        <w:t xml:space="preserve">Les limites des deux familles de méthodes sont ainsi disjointes plutôt que cumulatives. Là où la recherche lexicale échoue, sur la variation de formulation, la recherche sémantique réussit. Là où la recherche sémantique échoue, sur les libellés exacts et les identifiants, la recherche lexicale réussit. Cette complémentarité constitue le fondement théorique des architectures hybrides examinées en section 1.4.</w:t>
      </w:r>
    </w:p>
    <w:p>
      <w:pPr>
        <w:spacing w:after="140" w:line="320"/>
        <w:ind w:firstLine="360"/>
        <w:jc w:val="both"/>
      </w:pPr>
      <w:r>
        <w:rPr>
          <w:rFonts w:ascii="Times New Roman" w:cs="Times New Roman" w:eastAsia="Times New Roman" w:hAnsi="Times New Roman"/>
          <w:sz w:val="23"/>
          <w:szCs w:val="23"/>
        </w:rPr>
        <w:t xml:space="preserve">Elle est particulièrement pertinente dans le contexte du MINPMEESA, où les besoins documentaires réels relèvent des deux registres. La recherche de l'effectif des unités de production artisanale enregistrées dans une région donnée est une requête exacte. La recherche des éléments d'appréciation de la contribution du secteur artisanal à la création d'emplois est une requête thématique ouverte. Un système qui ne traiterait que l'un des deux registres laisserait sans réponse une part substantielle des usages.</w:t>
      </w:r>
    </w:p>
    <w:p>
      <w:pPr>
        <w:spacing w:after="80" w:before="180"/>
        <w:jc w:val="center"/>
      </w:pPr>
      <w:r>
        <w:rPr>
          <w:rFonts w:ascii="Times New Roman" w:cs="Times New Roman" w:eastAsia="Times New Roman" w:hAnsi="Times New Roman"/>
          <w:b/>
          <w:bCs/>
          <w:sz w:val="21"/>
          <w:szCs w:val="21"/>
        </w:rPr>
        <w:t xml:space="preserve">Tableau 1.1 : Comparaison des deux familles de récupération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Critère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Recherche lexicale (BM25)</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Recherche sémantique (embeddings)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Principe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Correspondance pondérée des termes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Proximité dans un espace vectoriel de sens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exactes (sigles, codes, libellés)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Très fiable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Peu fiable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reformulées ou thématiques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Faible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Élevée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Coût de calcul à l'indexation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Faible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Élevé (encodage de chaque segment)</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Interprétabilité du score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Élevée (termes appariés identifiables)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Faible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Sensibilité à la langue du corpus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Faible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Élevée (dépend du modèle d'embeddings)</w:t>
            </w:r>
          </w:p>
        </w:tc>
      </w:tr>
    </w:tbl>
    <w:p>
      <w:pPr>
        <w:spacing w:after="200" w:before="60"/>
        <w:jc w:val="center"/>
      </w:pPr>
      <w:r>
        <w:rPr>
          <w:rFonts w:ascii="Times New Roman" w:cs="Times New Roman" w:eastAsia="Times New Roman" w:hAnsi="Times New Roman"/>
          <w:i/>
          <w:iCs/>
          <w:sz w:val="18"/>
          <w:szCs w:val="18"/>
        </w:rPr>
        <w:t xml:space="preserve">Source : Auteur, à partir de Salton et Buckley (1988), Karpukhin et al. (2020) et MABIALA (2026).</w:t>
      </w:r>
    </w:p>
    <w:p>
      <w:pPr>
        <w:pStyle w:val="Heading2"/>
        <w:spacing w:after="140" w:before="280"/>
      </w:pPr>
      <w:r>
        <w:rPr>
          <w:rFonts w:ascii="Times New Roman" w:cs="Times New Roman" w:eastAsia="Times New Roman" w:hAnsi="Times New Roman"/>
          <w:b/>
          <w:bCs/>
          <w:color w:val="2F5496"/>
          <w:sz w:val="24"/>
          <w:szCs w:val="24"/>
        </w:rPr>
        <w:t xml:space="preserve">1.3. Modèles de langage, hallucination et génération augmentée par récupération</w:t>
      </w:r>
    </w:p>
    <w:p>
      <w:pPr>
        <w:pStyle w:val="Heading3"/>
        <w:spacing w:after="120" w:before="220"/>
      </w:pPr>
      <w:r>
        <w:rPr>
          <w:rFonts w:ascii="Times New Roman" w:cs="Times New Roman" w:eastAsia="Times New Roman" w:hAnsi="Times New Roman"/>
          <w:b/>
          <w:bCs/>
          <w:color w:val="2F5496"/>
          <w:sz w:val="22"/>
          <w:szCs w:val="22"/>
        </w:rPr>
        <w:t xml:space="preserve">1.3.1. Les modèles de langage et leurs limites structurelles</w:t>
      </w:r>
    </w:p>
    <w:p>
      <w:pPr>
        <w:spacing w:after="140" w:line="320"/>
        <w:ind w:firstLine="360"/>
        <w:jc w:val="both"/>
      </w:pPr>
      <w:r>
        <w:rPr>
          <w:rFonts w:ascii="Times New Roman" w:cs="Times New Roman" w:eastAsia="Times New Roman" w:hAnsi="Times New Roman"/>
          <w:sz w:val="23"/>
          <w:szCs w:val="23"/>
        </w:rPr>
        <w:t xml:space="preserve">Un modèle de langage produit du texte en estimant, à chaque étape, la distribution de probabilité du token suivant conditionnellement au contexte. Cette mécanique explique à la fois sa fluidité et sa fragilité factuelle : le modèle optimise la vraisemblance linguistique de sa production, non son exactitude.</w:t>
      </w:r>
    </w:p>
    <w:p>
      <w:pPr>
        <w:spacing w:after="140" w:line="320"/>
        <w:ind w:firstLine="360"/>
        <w:jc w:val="both"/>
      </w:pPr>
      <w:r>
        <w:rPr>
          <w:rFonts w:ascii="Times New Roman" w:cs="Times New Roman" w:eastAsia="Times New Roman" w:hAnsi="Times New Roman"/>
          <w:sz w:val="23"/>
          <w:szCs w:val="23"/>
        </w:rPr>
        <w:t xml:space="preserve">Deux limites présentent une gravité particulière dans le contexte d'un corpus statistique.</w:t>
      </w:r>
    </w:p>
    <w:p>
      <w:pPr>
        <w:spacing w:after="140" w:line="320"/>
        <w:ind w:firstLine="360"/>
        <w:jc w:val="both"/>
      </w:pPr>
      <w:r>
        <w:rPr>
          <w:rFonts w:ascii="Times New Roman" w:cs="Times New Roman" w:eastAsia="Times New Roman" w:hAnsi="Times New Roman"/>
          <w:sz w:val="23"/>
          <w:szCs w:val="23"/>
        </w:rPr>
        <w:t xml:space="preserve">La première tient à la tokenisation des nombres. Les modèles ne manipulent pas des caractères mais des tokens produits par des algorithmes de segmentation de type Byte-Pair Encoding. Ces algorithmes, optimisés pour la morphologie du langage naturel, fragmentent les valeurs numériques de manière arbitraire selon la fréquence des sous-chaînes dans le corpus d'entraînement. Un effectif tel que 393 166 peut ainsi être décomposé en plusieurs tokens sans rapport avec sa valeur arithmétique. Il en résulte une perte du sens de la grandeur et un risque accru d'inversion, d'omission ou de mauvaise restitution des chiffres et des séparateurs décimaux, comme l'analyse FONKOUA GANKE (2026) dans le cas des publications statistiques de l'Institut national de la statistique du Cameroun.</w:t>
      </w:r>
    </w:p>
    <w:p>
      <w:pPr>
        <w:spacing w:after="140" w:line="320"/>
        <w:ind w:firstLine="360"/>
        <w:jc w:val="both"/>
      </w:pPr>
      <w:r>
        <w:rPr>
          <w:rFonts w:ascii="Times New Roman" w:cs="Times New Roman" w:eastAsia="Times New Roman" w:hAnsi="Times New Roman"/>
          <w:sz w:val="23"/>
          <w:szCs w:val="23"/>
        </w:rPr>
        <w:t xml:space="preserve">La seconde est l'hallucination numérique. Lorsque la distribution interne du modèle associe un concept à un ordre de grandeur donné, le générateur peut substituer à la valeur réelle une valeur plausible mais inventée, insérée dans une phrase grammaticalement irréprochable et énoncée sans marque de doute. Ce type d'erreur est particulièrement dangereux dans une publication officielle, où il est difficilement détectable à la relecture et où chaque chiffre engage la crédibilité de l'institution.</w:t>
      </w:r>
    </w:p>
    <w:p>
      <w:pPr>
        <w:spacing w:after="140" w:line="320"/>
        <w:ind w:firstLine="360"/>
        <w:jc w:val="both"/>
      </w:pPr>
      <w:r>
        <w:rPr>
          <w:rFonts w:ascii="Times New Roman" w:cs="Times New Roman" w:eastAsia="Times New Roman" w:hAnsi="Times New Roman"/>
          <w:sz w:val="23"/>
          <w:szCs w:val="23"/>
        </w:rPr>
        <w:t xml:space="preserve">Ces deux limites disqualifient l'usage d'un modèle de langage seul pour l'exploitation du patrimoine documentaire du ministère. Elles ne disqualifient pas en revanche son usage contraint par un contexte documentaire, ce qui constitue le principe même de l'architecture examinée ci-après.</w:t>
      </w:r>
    </w:p>
    <w:p>
      <w:pPr>
        <w:pStyle w:val="Heading3"/>
        <w:spacing w:after="120" w:before="220"/>
      </w:pPr>
      <w:r>
        <w:rPr>
          <w:rFonts w:ascii="Times New Roman" w:cs="Times New Roman" w:eastAsia="Times New Roman" w:hAnsi="Times New Roman"/>
          <w:b/>
          <w:bCs/>
          <w:color w:val="2F5496"/>
          <w:sz w:val="22"/>
          <w:szCs w:val="22"/>
        </w:rPr>
        <w:t xml:space="preserve">1.3.2. Le principe de la génération augmentée par récupération</w:t>
      </w:r>
    </w:p>
    <w:p>
      <w:pPr>
        <w:spacing w:after="140" w:line="320"/>
        <w:ind w:firstLine="360"/>
        <w:jc w:val="both"/>
      </w:pPr>
      <w:r>
        <w:rPr>
          <w:rFonts w:ascii="Times New Roman" w:cs="Times New Roman" w:eastAsia="Times New Roman" w:hAnsi="Times New Roman"/>
          <w:sz w:val="23"/>
          <w:szCs w:val="23"/>
        </w:rPr>
        <w:t xml:space="preserve">L'architecture de génération augmentée par récupération est introduite par Lewis et al. (2020) comme la combinaison d'un mécanisme de récupération de documents et d'un modèle génératif conditionné sur ces documents. Elle répond à une limitation fondamentale des modèles génératifs employés seuls : leur incapacité à mobiliser des connaissances externes actualisées ou spécialisées.</w:t>
      </w:r>
    </w:p>
    <w:p>
      <w:pPr>
        <w:spacing w:after="140" w:line="320"/>
        <w:ind w:firstLine="360"/>
        <w:jc w:val="both"/>
      </w:pPr>
      <w:r>
        <w:rPr>
          <w:rFonts w:ascii="Times New Roman" w:cs="Times New Roman" w:eastAsia="Times New Roman" w:hAnsi="Times New Roman"/>
          <w:sz w:val="23"/>
          <w:szCs w:val="23"/>
        </w:rPr>
        <w:t xml:space="preserve">Le principe est le suivant. À réception d'une requête, le système ne génère pas immédiatement une réponse à partir de ses seuls paramètres. Il interroge d'abord une base documentaire externe pour en extraire les passages pertinents, puis fournit ces passages au modèle comme contexte de génération. La réponse produite se trouve ainsi ancrée dans des informations vérifiables.</w:t>
      </w:r>
    </w:p>
    <w:p>
      <w:pPr>
        <w:spacing w:after="140" w:line="320"/>
        <w:ind w:firstLine="360"/>
        <w:jc w:val="both"/>
      </w:pPr>
      <w:r>
        <w:rPr>
          <w:rFonts w:ascii="Times New Roman" w:cs="Times New Roman" w:eastAsia="Times New Roman" w:hAnsi="Times New Roman"/>
          <w:sz w:val="23"/>
          <w:szCs w:val="23"/>
        </w:rPr>
        <w:t xml:space="preserve">Guu et al. (2020) confirment ce résultat avec l'architecture REALM, en intégrant la récupération dès la phase de pré-entraînement. Shuster et al. (2021) en quantifient l'effet, en établissant que les systèmes dotés d'un mécanisme de récupération produisent des réponses factuellement mieux ancrées que les modèles employés sans contexte. Gao et al. (2023) proposent enfin une synthèse d'ensemble du champ et identifient les trois déterminants majeurs de la qualité d'un tel système : la qualité de la segmentation, la pertinence de la récupération et la cohérence de la génération.</w:t>
      </w:r>
    </w:p>
    <w:p>
      <w:pPr>
        <w:pStyle w:val="Heading3"/>
        <w:spacing w:after="120" w:before="220"/>
      </w:pPr>
      <w:r>
        <w:rPr>
          <w:rFonts w:ascii="Times New Roman" w:cs="Times New Roman" w:eastAsia="Times New Roman" w:hAnsi="Times New Roman"/>
          <w:b/>
          <w:bCs/>
          <w:color w:val="2F5496"/>
          <w:sz w:val="22"/>
          <w:szCs w:val="22"/>
        </w:rPr>
        <w:t xml:space="preserve">1.3.3. Le pipeline RAG en quatre étapes</w:t>
      </w:r>
    </w:p>
    <w:p>
      <w:pPr>
        <w:spacing w:after="140" w:line="320"/>
        <w:ind w:firstLine="360"/>
        <w:jc w:val="both"/>
      </w:pPr>
      <w:r>
        <w:rPr>
          <w:rFonts w:ascii="Times New Roman" w:cs="Times New Roman" w:eastAsia="Times New Roman" w:hAnsi="Times New Roman"/>
          <w:sz w:val="23"/>
          <w:szCs w:val="23"/>
        </w:rPr>
        <w:t xml:space="preserve">Un système de génération augmentée par récupération s'articule autour de quatre étapes successives.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L'ingestion. Les documents sources sont extraits, nettoyés puis découpés en segments. Chaque segment est encodé et indexé dans une structure permettant la recherche.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récupération. La requête est encodée selon les mêmes conventions, puis confrontée à l'index afin d'en extraire les segments les plus pertinents.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L'augmentation. Les segments récupérés sont assemblés avec la requête initiale pour former le contexte soumis au modèle.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génération. Le modèle produit une réponse fondée sur le contexte fourni, avec pour instruction explicite de ne pas s'en écarter.</w:t>
      </w:r>
    </w:p>
    <w:p>
      <w:pPr>
        <w:spacing w:after="140" w:line="320"/>
        <w:ind w:firstLine="360"/>
        <w:jc w:val="both"/>
      </w:pPr>
      <w:r>
        <w:rPr>
          <w:rFonts w:ascii="Times New Roman" w:cs="Times New Roman" w:eastAsia="Times New Roman" w:hAnsi="Times New Roman"/>
          <w:sz w:val="23"/>
          <w:szCs w:val="23"/>
        </w:rPr>
        <w:t xml:space="preserve">Le paramétrage de la première étape conditionne fortement la performance de l'ensemble. La taille des segments constitue un arbitrage : un segment trop court perd son contexte d'énonciation et devient inexploitable ; un segment trop long dilue la pertinence et sature la fenêtre de contexte du modèle. Un recouvrement entre segments consécutifs est généralement introduit afin qu'aucune information ne soit tronquée aux frontières. MABIALA (2026) retient des segments de 300 mots avec un recouvrement de 50 mots ; FONKOUA GANKE (2026) retient 400 mots avec un recouvrement de 80 mots. Ces ordres de grandeur constituent un point de départ raisonnable, à ajuster selon la structure du corpus traité.</w:t>
      </w:r>
    </w:p>
    <w:p>
      <w:pPr>
        <w:spacing w:after="140" w:line="320"/>
        <w:ind w:firstLine="360"/>
        <w:jc w:val="both"/>
      </w:pPr>
      <w:r>
        <w:rPr>
          <w:rFonts w:ascii="Times New Roman" w:cs="Times New Roman" w:eastAsia="Times New Roman" w:hAnsi="Times New Roman"/>
          <w:sz w:val="23"/>
          <w:szCs w:val="23"/>
        </w:rPr>
        <w:t xml:space="preserve">Une spécificité du corpus du MINPMEESA mérite d'être signalée dès ce stade. Ce corpus est massivement tabulaire : une part importante de l'information utile réside dans des tableaux et non dans du texte courant. Or un découpage en segments de taille fixe appliqué mécaniquement à un tableau le mutile, en séparant les valeurs de leurs en-têtes de ligne et de colonne. Le traitement des structures tabulaires constitue de ce fait un point d'attention majeur de l'ingestion, développé au chapitre 3.</w:t>
      </w:r>
    </w:p>
    <w:p>
      <w:pPr>
        <w:pStyle w:val="Heading2"/>
        <w:spacing w:after="140" w:before="280"/>
      </w:pPr>
      <w:r>
        <w:rPr>
          <w:rFonts w:ascii="Times New Roman" w:cs="Times New Roman" w:eastAsia="Times New Roman" w:hAnsi="Times New Roman"/>
          <w:b/>
          <w:bCs/>
          <w:color w:val="2F5496"/>
          <w:sz w:val="24"/>
          <w:szCs w:val="24"/>
        </w:rPr>
        <w:t xml:space="preserve">1.4. L'architecture RAG hybride : fusion, reranking et traçabilité</w:t>
      </w:r>
    </w:p>
    <w:p>
      <w:pPr>
        <w:pStyle w:val="Heading3"/>
        <w:spacing w:after="120" w:before="220"/>
      </w:pPr>
      <w:r>
        <w:rPr>
          <w:rFonts w:ascii="Times New Roman" w:cs="Times New Roman" w:eastAsia="Times New Roman" w:hAnsi="Times New Roman"/>
          <w:b/>
          <w:bCs/>
          <w:color w:val="2F5496"/>
          <w:sz w:val="22"/>
          <w:szCs w:val="22"/>
        </w:rPr>
        <w:t xml:space="preserve">1.4.1. Le principe de la récupération hybride</w:t>
      </w:r>
    </w:p>
    <w:p>
      <w:pPr>
        <w:spacing w:after="140" w:line="320"/>
        <w:ind w:firstLine="360"/>
        <w:jc w:val="both"/>
      </w:pPr>
      <w:r>
        <w:rPr>
          <w:rFonts w:ascii="Times New Roman" w:cs="Times New Roman" w:eastAsia="Times New Roman" w:hAnsi="Times New Roman"/>
          <w:sz w:val="23"/>
          <w:szCs w:val="23"/>
        </w:rPr>
        <w:t xml:space="preserve">La récupération hybride consiste à interroger simultanément un index lexical et un index vectoriel, puis à combiner les deux classements obtenus en un classement unique. Elle vise à cumuler les zones de réussite des deux approches identifiées en section 1.2.</w:t>
      </w:r>
    </w:p>
    <w:p>
      <w:pPr>
        <w:spacing w:after="140" w:line="320"/>
        <w:ind w:firstLine="360"/>
        <w:jc w:val="both"/>
      </w:pPr>
      <w:r>
        <w:rPr>
          <w:rFonts w:ascii="Times New Roman" w:cs="Times New Roman" w:eastAsia="Times New Roman" w:hAnsi="Times New Roman"/>
          <w:sz w:val="23"/>
          <w:szCs w:val="23"/>
        </w:rPr>
        <w:t xml:space="preserve">Sawarkar et al. (2024) formalisent cette approche sous le nom de Blended RAG et montrent qu'elle répond à la dégradation de la précision de récupération observée à mesure que le corpus s'accroît. MABIALA (2026) en propose une variante à deux niveaux, où une recherche exacte par identifiant est tentée en premier et où la recherche sémantique n'intervient qu'à défaut de correspondance ; cette variante est adaptée aux corpus dotés d'identifiants normalisés, ce qui n'est que partiellement le cas ici.</w:t>
      </w:r>
    </w:p>
    <w:p>
      <w:pPr>
        <w:spacing w:after="140" w:line="320"/>
        <w:ind w:firstLine="360"/>
        <w:jc w:val="both"/>
      </w:pPr>
      <w:r>
        <w:rPr>
          <w:rFonts w:ascii="Times New Roman" w:cs="Times New Roman" w:eastAsia="Times New Roman" w:hAnsi="Times New Roman"/>
          <w:sz w:val="23"/>
          <w:szCs w:val="23"/>
        </w:rPr>
        <w:t xml:space="preserve">La configuration retenue dans le présent travail est une fusion des classements plutôt qu'une cascade. Les deux moteurs sont interrogés en parallèle et leurs classements respectifs sont combinés, ce qui permet à un passage bien classé par un seul des deux moteurs de figurer néanmoins dans le résultat final.</w:t>
      </w:r>
    </w:p>
    <w:p>
      <w:pPr>
        <w:pStyle w:val="Heading3"/>
        <w:spacing w:after="120" w:before="220"/>
      </w:pPr>
      <w:r>
        <w:rPr>
          <w:rFonts w:ascii="Times New Roman" w:cs="Times New Roman" w:eastAsia="Times New Roman" w:hAnsi="Times New Roman"/>
          <w:b/>
          <w:bCs/>
          <w:color w:val="2F5496"/>
          <w:sz w:val="22"/>
          <w:szCs w:val="22"/>
        </w:rPr>
        <w:t xml:space="preserve">1.4.2. Les mécanismes de fusion des classements</w:t>
      </w:r>
    </w:p>
    <w:p>
      <w:pPr>
        <w:spacing w:after="140" w:line="320"/>
        <w:ind w:firstLine="360"/>
        <w:jc w:val="both"/>
      </w:pPr>
      <w:r>
        <w:rPr>
          <w:rFonts w:ascii="Times New Roman" w:cs="Times New Roman" w:eastAsia="Times New Roman" w:hAnsi="Times New Roman"/>
          <w:sz w:val="23"/>
          <w:szCs w:val="23"/>
        </w:rPr>
        <w:t xml:space="preserve">La fusion de deux classements pose une difficulté technique élémentaire mais réelle : les scores produits par BM25 et par la similarité cosinus ne sont pas comparables. Le premier n'est pas borné et dépend des statistiques du corpus ; le second est borné entre zéro et un. Une combinaison linéaire directe des scores exigerait une normalisation dont la stabilité n'est pas garantie d'une requête à l'autre.</w:t>
      </w:r>
    </w:p>
    <w:p>
      <w:pPr>
        <w:spacing w:after="140" w:line="320"/>
        <w:ind w:firstLine="360"/>
        <w:jc w:val="both"/>
      </w:pPr>
      <w:r>
        <w:rPr>
          <w:rFonts w:ascii="Times New Roman" w:cs="Times New Roman" w:eastAsia="Times New Roman" w:hAnsi="Times New Roman"/>
          <w:sz w:val="23"/>
          <w:szCs w:val="23"/>
        </w:rPr>
        <w:t xml:space="preserve">La fusion par rangs réciproques, ou Reciprocal Rank Fusion, contourne cette difficulté en n'utilisant que la position des documents et non leur score. Chaque document reçoit, au titre de chaque classement, une contribution inversement proportionnelle à son rang, atténuée par une constante. Le score de fusion s'écrit ainsi comme la somme, sur l'ensemble des classements considérés, des inverses de la somme de la constante et du rang du document dans le classement. Cette formulation présente trois avantages dans le contexte institutionnel : elle est indépendante de l'échelle des scores, elle ne requiert aucun apprentissage préalable, et elle demeure interprétable, ce qui facilite le diagnostic des erreurs de récupération.</w:t>
      </w:r>
    </w:p>
    <w:p>
      <w:pPr>
        <w:spacing w:after="140" w:line="320"/>
        <w:ind w:firstLine="360"/>
        <w:jc w:val="both"/>
      </w:pPr>
      <w:r>
        <w:rPr>
          <w:rFonts w:ascii="Times New Roman" w:cs="Times New Roman" w:eastAsia="Times New Roman" w:hAnsi="Times New Roman"/>
          <w:sz w:val="23"/>
          <w:szCs w:val="23"/>
        </w:rPr>
        <w:t xml:space="preserve">Une pondération alternative, consistant à normaliser puis combiner linéairement les scores avec un coefficient de mélange, sera également testée à titre de comparaison au chapitre 4.</w:t>
      </w:r>
    </w:p>
    <w:p>
      <w:pPr>
        <w:pStyle w:val="Heading3"/>
        <w:spacing w:after="120" w:before="220"/>
      </w:pPr>
      <w:r>
        <w:rPr>
          <w:rFonts w:ascii="Times New Roman" w:cs="Times New Roman" w:eastAsia="Times New Roman" w:hAnsi="Times New Roman"/>
          <w:b/>
          <w:bCs/>
          <w:color w:val="2F5496"/>
          <w:sz w:val="22"/>
          <w:szCs w:val="22"/>
        </w:rPr>
        <w:t xml:space="preserve">1.4.3. Le réordonnancement</w:t>
      </w:r>
    </w:p>
    <w:p>
      <w:pPr>
        <w:spacing w:after="140" w:line="320"/>
        <w:ind w:firstLine="360"/>
        <w:jc w:val="both"/>
      </w:pPr>
      <w:r>
        <w:rPr>
          <w:rFonts w:ascii="Times New Roman" w:cs="Times New Roman" w:eastAsia="Times New Roman" w:hAnsi="Times New Roman"/>
          <w:sz w:val="23"/>
          <w:szCs w:val="23"/>
        </w:rPr>
        <w:t xml:space="preserve">La récupération, qu'elle soit lexicale, sémantique ou hybride, opère par comparaison indépendante de la requête et de chaque document. Cette indépendance est ce qui la rend rapide à l'échelle d'un corpus entier, mais elle en limite la finesse : le modèle n'examine jamais conjointement la requête et le passage candidat.</w:t>
      </w:r>
    </w:p>
    <w:p>
      <w:pPr>
        <w:spacing w:after="140" w:line="320"/>
        <w:ind w:firstLine="360"/>
        <w:jc w:val="both"/>
      </w:pPr>
      <w:r>
        <w:rPr>
          <w:rFonts w:ascii="Times New Roman" w:cs="Times New Roman" w:eastAsia="Times New Roman" w:hAnsi="Times New Roman"/>
          <w:sz w:val="23"/>
          <w:szCs w:val="23"/>
        </w:rPr>
        <w:t xml:space="preserve">Le réordonnancement corrige cette limite. Il applique, aux quelques dizaines de passages issus de la récupération, un modèle qui évalue la pertinence de chaque paire formée par la requête et le passage. Ce traitement est coûteux, ce qui interdit de l'appliquer au corpus entier, mais il est parfaitement praticable sur un ensemble restreint de candidats. Yadav (2026) documente, sur un corpus de documents de politique publique, l'apport de cette étape à la précision finale de la récupération.</w:t>
      </w:r>
    </w:p>
    <w:p>
      <w:pPr>
        <w:spacing w:after="140" w:line="320"/>
        <w:ind w:firstLine="360"/>
        <w:jc w:val="both"/>
      </w:pPr>
      <w:r>
        <w:rPr>
          <w:rFonts w:ascii="Times New Roman" w:cs="Times New Roman" w:eastAsia="Times New Roman" w:hAnsi="Times New Roman"/>
          <w:sz w:val="23"/>
          <w:szCs w:val="23"/>
        </w:rPr>
        <w:t xml:space="preserve">Le réordonnancement présente un intérêt supplémentaire dans une architecture générative. Les modèles de langage accordent une attention inégale aux différentes positions de leur contexte, avec un biais en faveur des premiers éléments fournis. Placer les passages les plus pertinents en tête du contexte améliore donc mécaniquement la qualité de la réponse générée, indépendamment de tout autre facteur.</w:t>
      </w:r>
    </w:p>
    <w:p>
      <w:pPr>
        <w:pStyle w:val="Heading3"/>
        <w:spacing w:after="120" w:before="220"/>
      </w:pPr>
      <w:r>
        <w:rPr>
          <w:rFonts w:ascii="Times New Roman" w:cs="Times New Roman" w:eastAsia="Times New Roman" w:hAnsi="Times New Roman"/>
          <w:b/>
          <w:bCs/>
          <w:color w:val="2F5496"/>
          <w:sz w:val="22"/>
          <w:szCs w:val="22"/>
        </w:rPr>
        <w:t xml:space="preserve">1.4.4. Métadonnées, filtrage et traçabilité</w:t>
      </w:r>
    </w:p>
    <w:p>
      <w:pPr>
        <w:spacing w:after="140" w:line="320"/>
        <w:ind w:firstLine="360"/>
        <w:jc w:val="both"/>
      </w:pPr>
      <w:r>
        <w:rPr>
          <w:rFonts w:ascii="Times New Roman" w:cs="Times New Roman" w:eastAsia="Times New Roman" w:hAnsi="Times New Roman"/>
          <w:sz w:val="23"/>
          <w:szCs w:val="23"/>
        </w:rPr>
        <w:t xml:space="preserve">L'exploitation des métadonnées intervient à deux niveaux.</w:t>
      </w:r>
    </w:p>
    <w:p>
      <w:pPr>
        <w:spacing w:after="140" w:line="320"/>
        <w:ind w:firstLine="360"/>
        <w:jc w:val="both"/>
      </w:pPr>
      <w:r>
        <w:rPr>
          <w:rFonts w:ascii="Times New Roman" w:cs="Times New Roman" w:eastAsia="Times New Roman" w:hAnsi="Times New Roman"/>
          <w:sz w:val="23"/>
          <w:szCs w:val="23"/>
        </w:rPr>
        <w:t xml:space="preserve">Au niveau de la récupération, elle permet un filtrage attributaire préalable ou simultané : restreindre la recherche à une année de référence, à un type de document, à une structure émettrice. Ce filtrage réduit l'espace de recherche et écarte des passages qui, bien que sémantiquement proches, sont hors périmètre. Dans un corpus pluriannuel comme celui du ministère, où les mêmes indicateurs reviennent édition après édition, ce filtrage est déterminant : sans lui, une requête sur un effectif retourne indifféremment les valeurs de plusieurs millésimes.</w:t>
      </w:r>
    </w:p>
    <w:p>
      <w:pPr>
        <w:spacing w:after="140" w:line="320"/>
        <w:ind w:firstLine="360"/>
        <w:jc w:val="both"/>
      </w:pPr>
      <w:r>
        <w:rPr>
          <w:rFonts w:ascii="Times New Roman" w:cs="Times New Roman" w:eastAsia="Times New Roman" w:hAnsi="Times New Roman"/>
          <w:sz w:val="23"/>
          <w:szCs w:val="23"/>
        </w:rPr>
        <w:t xml:space="preserve">Au niveau de la restitution, les métadonnées portent la traçabilité. Chaque élément de réponse est accompagné du document, de la section et de la page dont il est issu, ce qui permet à l'utilisateur de vérifier immédiatement l'information. Cette exigence n'est pas un simple confort : elle est la condition pour qu'un système de ce type soit utilisable dans un processus de production de publication officielle, où toute donnée reprise doit pouvoir être rattachée à sa source.</w:t>
      </w:r>
    </w:p>
    <w:p>
      <w:pPr>
        <w:pStyle w:val="Heading2"/>
        <w:spacing w:after="140" w:before="280"/>
      </w:pPr>
      <w:r>
        <w:rPr>
          <w:rFonts w:ascii="Times New Roman" w:cs="Times New Roman" w:eastAsia="Times New Roman" w:hAnsi="Times New Roman"/>
          <w:b/>
          <w:bCs/>
          <w:color w:val="2F5496"/>
          <w:sz w:val="24"/>
          <w:szCs w:val="24"/>
        </w:rPr>
        <w:t xml:space="preserve">1.5. La restitution contrôlée et le traitement des données chiffrées</w:t>
      </w:r>
    </w:p>
    <w:p>
      <w:pPr>
        <w:spacing w:after="140" w:line="320"/>
        <w:ind w:firstLine="360"/>
        <w:jc w:val="both"/>
      </w:pPr>
      <w:r>
        <w:rPr>
          <w:rFonts w:ascii="Times New Roman" w:cs="Times New Roman" w:eastAsia="Times New Roman" w:hAnsi="Times New Roman"/>
          <w:sz w:val="23"/>
          <w:szCs w:val="23"/>
        </w:rPr>
        <w:t xml:space="preserve">L'ancrage documentaire réduit le risque d'hallucination mais ne l'annule pas. Le modèle demeure un générateur probabiliste : rien ne garantit, dans le principe même de la génération, que la valeur qu'il produit soit exactement celle qui figure dans le passage fourni. FONKOUA GANKE (2026) mesure ainsi un taux résiduel d'énoncés non soutenus de l'ordre du quart des énoncés produits, alors même que le mécanisme de récupération est actif. Ce résidu est acceptable pour un texte d'analyse ; il ne l'est pas pour une valeur reprise dans une publication officielle.</w:t>
      </w:r>
    </w:p>
    <w:p>
      <w:pPr>
        <w:spacing w:after="140" w:line="320"/>
        <w:ind w:firstLine="360"/>
        <w:jc w:val="both"/>
      </w:pPr>
      <w:r>
        <w:rPr>
          <w:rFonts w:ascii="Times New Roman" w:cs="Times New Roman" w:eastAsia="Times New Roman" w:hAnsi="Times New Roman"/>
          <w:sz w:val="23"/>
          <w:szCs w:val="23"/>
        </w:rPr>
        <w:t xml:space="preserve">Il en résulte que la restitution doit être contrainte au-delà du seul ancrage. Trois niveaux de contrainte peuvent être distingués, par ordre croissant de sévérité.</w:t>
      </w:r>
    </w:p>
    <w:p>
      <w:pPr>
        <w:spacing w:after="140" w:line="320"/>
        <w:ind w:firstLine="360"/>
        <w:jc w:val="both"/>
      </w:pPr>
      <w:r>
        <w:rPr>
          <w:rFonts w:ascii="Times New Roman" w:cs="Times New Roman" w:eastAsia="Times New Roman" w:hAnsi="Times New Roman"/>
          <w:sz w:val="23"/>
          <w:szCs w:val="23"/>
        </w:rPr>
        <w:t xml:space="preserve">Le premier niveau est la restitution extractive pure. Le système n'écrit rien : il affiche les passages récupérés tels quels, accompagnés de leur source. Le risque d'hallucination est nul par construction, mais l'effort de lecture et de synthèse repose entièrement sur l'utilisateur.</w:t>
      </w:r>
    </w:p>
    <w:p>
      <w:pPr>
        <w:spacing w:after="140" w:line="320"/>
        <w:ind w:firstLine="360"/>
        <w:jc w:val="both"/>
      </w:pPr>
      <w:r>
        <w:rPr>
          <w:rFonts w:ascii="Times New Roman" w:cs="Times New Roman" w:eastAsia="Times New Roman" w:hAnsi="Times New Roman"/>
          <w:sz w:val="23"/>
          <w:szCs w:val="23"/>
        </w:rPr>
        <w:t xml:space="preserve">Le deuxième niveau est la génération ancrée. Le modèle rédige librement à partir des passages fournis, avec instruction de ne pas s'en écarter. Le confort de lecture est maximal, mais le risque numérique subsiste dans son intégralité.</w:t>
      </w:r>
    </w:p>
    <w:p>
      <w:pPr>
        <w:spacing w:after="140" w:line="320"/>
        <w:ind w:firstLine="360"/>
        <w:jc w:val="both"/>
      </w:pPr>
      <w:r>
        <w:rPr>
          <w:rFonts w:ascii="Times New Roman" w:cs="Times New Roman" w:eastAsia="Times New Roman" w:hAnsi="Times New Roman"/>
          <w:sz w:val="23"/>
          <w:szCs w:val="23"/>
        </w:rPr>
        <w:t xml:space="preserve">Le troisième niveau, retenu dans le présent travail, est la génération à citation littérale contrainte. Le modèle rédige la trame argumentative, mais toute donnée chiffrée y est reprise verbatim du passage source, sans reformulation, sans recalcul et sans arrondi, et chaque valeur est accompagnée de sa référence. Cette configuration dissocie ce que le modèle fait bien, articuler et formuler, de ce qu'il fait mal, manipuler des nombres.</w:t>
      </w:r>
    </w:p>
    <w:p>
      <w:pPr>
        <w:spacing w:after="140" w:line="320"/>
        <w:ind w:firstLine="360"/>
        <w:jc w:val="both"/>
      </w:pPr>
      <w:r>
        <w:rPr>
          <w:rFonts w:ascii="Times New Roman" w:cs="Times New Roman" w:eastAsia="Times New Roman" w:hAnsi="Times New Roman"/>
          <w:sz w:val="23"/>
          <w:szCs w:val="23"/>
        </w:rPr>
        <w:t xml:space="preserve">Cette contrainte se traduit par trois mécanismes complémentaires, dont l'implémentation est décrite au chapitre 3. En amont, l'instruction adressée au modèle prohibe explicitement toute production de valeur numérique absente du contexte ainsi que tout calcul dérivé, notamment le calcul de variations ou de taux de croissance non présents dans les sources. En aval, un contrôle automatique vérifie que chaque valeur numérique figurant dans la réponse produite apparaît effectivement dans les passages fournis, et signale toute valeur non appariée. Enfin, un mécanisme d'abstention conduit le système à indiquer qu'il ne dispose pas de l'information plutôt que de produire une réponse lorsque la récupération ne retourne aucun passage suffisamment pertinent.</w:t>
      </w:r>
    </w:p>
    <w:p>
      <w:pPr>
        <w:spacing w:after="140" w:line="320"/>
        <w:ind w:firstLine="360"/>
        <w:jc w:val="both"/>
      </w:pPr>
      <w:r>
        <w:rPr>
          <w:rFonts w:ascii="Times New Roman" w:cs="Times New Roman" w:eastAsia="Times New Roman" w:hAnsi="Times New Roman"/>
          <w:sz w:val="23"/>
          <w:szCs w:val="23"/>
        </w:rPr>
        <w:t xml:space="preserve">Le mécanisme d'abstention mérite d'être souligné, car il est souvent négligé. Un système d'assistance documentaire qui répond toujours est plus dangereux qu'un système qui reconnaît ses limites : l'utilisateur perd la capacité de distinguer une réponse fondée d'une réponse construite faute de mieux. La capacité d'abstention constitue de ce fait une propriété évaluable à part entière, mesurée au chapitre 4 sur un ensemble de requêtes délibérément hors périmètre.</w:t>
      </w:r>
    </w:p>
    <w:p>
      <w:pPr>
        <w:pStyle w:val="Heading2"/>
        <w:spacing w:after="140" w:before="280"/>
      </w:pPr>
      <w:r>
        <w:rPr>
          <w:rFonts w:ascii="Times New Roman" w:cs="Times New Roman" w:eastAsia="Times New Roman" w:hAnsi="Times New Roman"/>
          <w:b/>
          <w:bCs/>
          <w:color w:val="2F5496"/>
          <w:sz w:val="24"/>
          <w:szCs w:val="24"/>
        </w:rPr>
        <w:t xml:space="preserve">1.6. L'évaluation des systèmes RAG</w:t>
      </w:r>
    </w:p>
    <w:p>
      <w:pPr>
        <w:spacing w:after="140" w:line="320"/>
        <w:ind w:firstLine="360"/>
        <w:jc w:val="both"/>
      </w:pPr>
      <w:r>
        <w:rPr>
          <w:rFonts w:ascii="Times New Roman" w:cs="Times New Roman" w:eastAsia="Times New Roman" w:hAnsi="Times New Roman"/>
          <w:sz w:val="23"/>
          <w:szCs w:val="23"/>
        </w:rPr>
        <w:t xml:space="preserve">L'évaluation d'un système de génération augmentée par récupération suppose de mesurer séparément deux dimensions indépendantes : la qualité de la récupération et la qualité de la restitution. Un système peut récupérer des passages pertinents et en produire une restitution médiocre, ou produire une restitution fluide à partir de passages hors sujet. Une mesure agrégée unique masquerait cette distinction, raison pour laquelle FONKOUA GANKE (2026) écarte explicitement le recours à un score composite.</w:t>
      </w:r>
    </w:p>
    <w:p>
      <w:pPr>
        <w:pStyle w:val="Heading3"/>
        <w:spacing w:after="120" w:before="220"/>
      </w:pPr>
      <w:r>
        <w:rPr>
          <w:rFonts w:ascii="Times New Roman" w:cs="Times New Roman" w:eastAsia="Times New Roman" w:hAnsi="Times New Roman"/>
          <w:b/>
          <w:bCs/>
          <w:color w:val="2F5496"/>
          <w:sz w:val="22"/>
          <w:szCs w:val="22"/>
        </w:rPr>
        <w:t xml:space="preserve">1.6.1. Les métriques de récupération</w:t>
      </w:r>
    </w:p>
    <w:p>
      <w:pPr>
        <w:spacing w:after="140" w:line="320"/>
        <w:ind w:firstLine="360"/>
        <w:jc w:val="both"/>
      </w:pPr>
      <w:r>
        <w:rPr>
          <w:rFonts w:ascii="Times New Roman" w:cs="Times New Roman" w:eastAsia="Times New Roman" w:hAnsi="Times New Roman"/>
          <w:sz w:val="23"/>
          <w:szCs w:val="23"/>
        </w:rPr>
        <w:t xml:space="preserve">Quatre métriques classiques de recherche d'information sont retenues.</w:t>
      </w:r>
    </w:p>
    <w:p>
      <w:pPr>
        <w:spacing w:after="140" w:line="320"/>
        <w:ind w:firstLine="360"/>
        <w:jc w:val="both"/>
      </w:pPr>
      <w:r>
        <w:rPr>
          <w:rFonts w:ascii="Times New Roman" w:cs="Times New Roman" w:eastAsia="Times New Roman" w:hAnsi="Times New Roman"/>
          <w:sz w:val="23"/>
          <w:szCs w:val="23"/>
        </w:rPr>
        <w:t xml:space="preserve">La précision à K, ou Precision@K, mesure la proportion de passages pertinents parmi les K premiers passages récupérés. Elle renseigne sur la pureté du contexte transmis au modèle : une précision faible signale une pollution du contexte par des informations hors sujet, ce qui accroît le risque d'hallucination.</w:t>
      </w:r>
    </w:p>
    <w:p>
      <w:pPr>
        <w:spacing w:after="140" w:line="320"/>
        <w:ind w:firstLine="360"/>
        <w:jc w:val="both"/>
      </w:pPr>
      <w:r>
        <w:rPr>
          <w:rFonts w:ascii="Times New Roman" w:cs="Times New Roman" w:eastAsia="Times New Roman" w:hAnsi="Times New Roman"/>
          <w:sz w:val="23"/>
          <w:szCs w:val="23"/>
        </w:rPr>
        <w:t xml:space="preserve">Le rappel à K, ou Recall@K, mesure la proportion des passages pertinents du corpus effectivement retrouvés parmi les K premiers. Il renseigne sur l'exhaustivité de la récupération.</w:t>
      </w:r>
    </w:p>
    <w:p>
      <w:pPr>
        <w:spacing w:after="140" w:line="320"/>
        <w:ind w:firstLine="360"/>
        <w:jc w:val="both"/>
      </w:pPr>
      <w:r>
        <w:rPr>
          <w:rFonts w:ascii="Times New Roman" w:cs="Times New Roman" w:eastAsia="Times New Roman" w:hAnsi="Times New Roman"/>
          <w:sz w:val="23"/>
          <w:szCs w:val="23"/>
        </w:rPr>
        <w:t xml:space="preserve">Le rang réciproque moyen, ou Mean Reciprocal Rank, mesure la position moyenne du premier passage pertinent. Il vaut un lorsque le passage pertinent est systématiquement en tête et tend vers zéro dans le cas contraire.</w:t>
      </w:r>
    </w:p>
    <w:p>
      <w:pPr>
        <w:spacing w:after="140" w:line="320"/>
        <w:ind w:firstLine="360"/>
        <w:jc w:val="both"/>
      </w:pPr>
      <w:r>
        <w:rPr>
          <w:rFonts w:ascii="Times New Roman" w:cs="Times New Roman" w:eastAsia="Times New Roman" w:hAnsi="Times New Roman"/>
          <w:sz w:val="23"/>
          <w:szCs w:val="23"/>
        </w:rPr>
        <w:t xml:space="preserve">Le gain cumulé actualisé et normalisé, ou nDCG@K, affine l'évaluation de l'ordonnancement en appliquant une pénalité logarithmique aux passages pertinents relégués en fin de liste. Cette métrique est la plus informative pour l'objet du présent travail, puisque l'enjeu n'est pas seulement de retrouver les bons passages mais de les placer en tête, pour les raisons d'attention positionnelle évoquées en section 1.4.3.</w:t>
      </w:r>
    </w:p>
    <w:p>
      <w:pPr>
        <w:pStyle w:val="Heading3"/>
        <w:spacing w:after="120" w:before="220"/>
      </w:pPr>
      <w:r>
        <w:rPr>
          <w:rFonts w:ascii="Times New Roman" w:cs="Times New Roman" w:eastAsia="Times New Roman" w:hAnsi="Times New Roman"/>
          <w:b/>
          <w:bCs/>
          <w:color w:val="2F5496"/>
          <w:sz w:val="22"/>
          <w:szCs w:val="22"/>
        </w:rPr>
        <w:t xml:space="preserve">1.6.2. Les métriques de restitution et d'ancrage</w:t>
      </w:r>
    </w:p>
    <w:p>
      <w:pPr>
        <w:spacing w:after="140" w:line="320"/>
        <w:ind w:firstLine="360"/>
        <w:jc w:val="both"/>
      </w:pPr>
      <w:r>
        <w:rPr>
          <w:rFonts w:ascii="Times New Roman" w:cs="Times New Roman" w:eastAsia="Times New Roman" w:hAnsi="Times New Roman"/>
          <w:sz w:val="23"/>
          <w:szCs w:val="23"/>
        </w:rPr>
        <w:t xml:space="preserve">L'évaluation de la restitution mobilise des métriques d'une autre nature.</w:t>
      </w:r>
    </w:p>
    <w:p>
      <w:pPr>
        <w:spacing w:after="140" w:line="320"/>
        <w:ind w:firstLine="360"/>
        <w:jc w:val="both"/>
      </w:pPr>
      <w:r>
        <w:rPr>
          <w:rFonts w:ascii="Times New Roman" w:cs="Times New Roman" w:eastAsia="Times New Roman" w:hAnsi="Times New Roman"/>
          <w:sz w:val="23"/>
          <w:szCs w:val="23"/>
        </w:rPr>
        <w:t xml:space="preserve">La fidélité, ou faithfulness, quantifie la proportion des énoncés factuels de la réponse effectivement soutenus par le contexte fourni. Elle constitue la métrique centrale d'un système dont l'objet est précisément l'ancrage documentaire. Le cadre RAGAS, proposé par Es et al. (2024), en propose une opérationnalisation automatisée, aux côtés de la précision et du rappel du contexte et de l'exactitude de la réponse.</w:t>
      </w:r>
    </w:p>
    <w:p>
      <w:pPr>
        <w:spacing w:after="140" w:line="320"/>
        <w:ind w:firstLine="360"/>
        <w:jc w:val="both"/>
      </w:pPr>
      <w:r>
        <w:rPr>
          <w:rFonts w:ascii="Times New Roman" w:cs="Times New Roman" w:eastAsia="Times New Roman" w:hAnsi="Times New Roman"/>
          <w:sz w:val="23"/>
          <w:szCs w:val="23"/>
        </w:rPr>
        <w:t xml:space="preserve">Le taux d'énoncés non soutenus en constitue le complément et peut être approché, en l'absence de modèle juge, par la proportion de termes significatifs de la réponse absents du contexte, corrigée d'un coefficient de tolérance tenant compte des connecteurs et du vocabulaire de liaison légitimement introduits par le modèle. FONKOUA GANKE (2026) propose une telle mesure et retient un coefficient de tolérance de 0,30.</w:t>
      </w:r>
    </w:p>
    <w:p>
      <w:pPr>
        <w:spacing w:after="140" w:line="320"/>
        <w:ind w:firstLine="360"/>
        <w:jc w:val="both"/>
      </w:pPr>
      <w:r>
        <w:rPr>
          <w:rFonts w:ascii="Times New Roman" w:cs="Times New Roman" w:eastAsia="Times New Roman" w:hAnsi="Times New Roman"/>
          <w:sz w:val="23"/>
          <w:szCs w:val="23"/>
        </w:rPr>
        <w:t xml:space="preserve">Les métriques de chevauchement lexical de la famille ROUGE (Lin, 2004) peuvent compléter le dispositif lorsqu'une réponse de référence est disponible. Leur interprétation demande toutefois de la prudence dans ce contexte : un modèle qui reformule correctement obtient un score faible, de sorte qu'un chevauchement élevé n'est pas nécessairement un indicateur de qualité.</w:t>
      </w:r>
    </w:p>
    <w:p>
      <w:pPr>
        <w:spacing w:after="140" w:line="320"/>
        <w:ind w:firstLine="360"/>
        <w:jc w:val="both"/>
      </w:pPr>
      <w:r>
        <w:rPr>
          <w:rFonts w:ascii="Times New Roman" w:cs="Times New Roman" w:eastAsia="Times New Roman" w:hAnsi="Times New Roman"/>
          <w:sz w:val="23"/>
          <w:szCs w:val="23"/>
        </w:rPr>
        <w:t xml:space="preserve">Une distinction méthodologique doit être soulignée. Ces métriques mesurent l'ancrage de la réponse dans le contexte fourni, non son exactitude au regard de la réalité. Une réponse parfaitement fidèle à un passage lui-même erroné obtiendra une fidélité maximale. La qualité du corpus demeure donc la condition première de la qualité du système, constat que MABIALA (2026) formule en établissant que la qualité de la base de connaissances prime sur l'adaptation du modèle.</w:t>
      </w:r>
    </w:p>
    <w:p>
      <w:pPr>
        <w:pStyle w:val="Heading2"/>
        <w:spacing w:after="140" w:before="280"/>
      </w:pPr>
      <w:r>
        <w:rPr>
          <w:rFonts w:ascii="Times New Roman" w:cs="Times New Roman" w:eastAsia="Times New Roman" w:hAnsi="Times New Roman"/>
          <w:b/>
          <w:bCs/>
          <w:color w:val="2F5496"/>
          <w:sz w:val="24"/>
          <w:szCs w:val="24"/>
        </w:rPr>
        <w:t xml:space="preserve">1.7. Revue critique des travaux antérieurs et positionnement de la recherche</w:t>
      </w:r>
    </w:p>
    <w:p>
      <w:pPr>
        <w:pStyle w:val="Heading3"/>
        <w:spacing w:after="120" w:before="220"/>
      </w:pPr>
      <w:r>
        <w:rPr>
          <w:rFonts w:ascii="Times New Roman" w:cs="Times New Roman" w:eastAsia="Times New Roman" w:hAnsi="Times New Roman"/>
          <w:b/>
          <w:bCs/>
          <w:color w:val="2F5496"/>
          <w:sz w:val="22"/>
          <w:szCs w:val="22"/>
        </w:rPr>
        <w:t xml:space="preserve">1.7.1. Les travaux fondateurs</w:t>
      </w:r>
    </w:p>
    <w:p>
      <w:pPr>
        <w:spacing w:after="140" w:line="320"/>
        <w:ind w:firstLine="360"/>
        <w:jc w:val="both"/>
      </w:pPr>
      <w:r>
        <w:rPr>
          <w:rFonts w:ascii="Times New Roman" w:cs="Times New Roman" w:eastAsia="Times New Roman" w:hAnsi="Times New Roman"/>
          <w:sz w:val="23"/>
          <w:szCs w:val="23"/>
        </w:rPr>
        <w:t xml:space="preserve">Le socle théorique du champ est constitué de quelques contributions bien identifiées. Lewis et al. (2020) introduisent l'architecture et en démontrent l'efficacité sur des tâches factuelles. Guu et al. (2020) confirment l'apport de l'ancrage documentaire à la qualité factuelle des générations. Shuster et al. (2021) en quantifient l'effet sur la réduction des hallucinations. Gao et al. (2023) proposent la synthèse de référence du domaine. Karpukhin et al. (2020) établissent la supériorité de la récupération dense sur la récupération lexicale pour les requêtes ouvertes, tandis que Sawarkar et al. (2024) montrent l'intérêt des stratégies hybrides à mesure que le corpus s'accroît.</w:t>
      </w:r>
    </w:p>
    <w:p>
      <w:pPr>
        <w:pStyle w:val="Heading3"/>
        <w:spacing w:after="120" w:before="220"/>
      </w:pPr>
      <w:r>
        <w:rPr>
          <w:rFonts w:ascii="Times New Roman" w:cs="Times New Roman" w:eastAsia="Times New Roman" w:hAnsi="Times New Roman"/>
          <w:b/>
          <w:bCs/>
          <w:color w:val="2F5496"/>
          <w:sz w:val="22"/>
          <w:szCs w:val="22"/>
        </w:rPr>
        <w:t xml:space="preserve">1.7.2. Les applications à la statistique publique et à l'administration</w:t>
      </w:r>
    </w:p>
    <w:p>
      <w:pPr>
        <w:spacing w:after="140" w:line="320"/>
        <w:ind w:firstLine="360"/>
        <w:jc w:val="both"/>
      </w:pPr>
      <w:r>
        <w:rPr>
          <w:rFonts w:ascii="Times New Roman" w:cs="Times New Roman" w:eastAsia="Times New Roman" w:hAnsi="Times New Roman"/>
          <w:sz w:val="23"/>
          <w:szCs w:val="23"/>
        </w:rPr>
        <w:t xml:space="preserve">L'application de ces architectures aux systèmes d'information statistiques constitue un domaine émergent. Plusieurs instituts nationaux ont engagé des expérimentations d'assistants documentaires fondés sur des modèles de langage, notamment pour la consultation de classifications et la gestion de métadonnées statistiques. Musumeci et al. (2024) traitent de la génération de documents semi-structurés dans le domaine de l'administration publique et soulignent que cette tâche demeure imparfaitement résolue par les modèles généralistes, l'ingénierie du prompt constituant un levier déterminant de la qualité des documents produits. Yadav (2026) évalue empiriquement l'effet du découpage, de la récupération et du réordonnancement sur un corpus de documents de politique publique.</w:t>
      </w:r>
    </w:p>
    <w:p>
      <w:pPr>
        <w:pStyle w:val="Heading3"/>
        <w:spacing w:after="120" w:before="220"/>
      </w:pPr>
      <w:r>
        <w:rPr>
          <w:rFonts w:ascii="Times New Roman" w:cs="Times New Roman" w:eastAsia="Times New Roman" w:hAnsi="Times New Roman"/>
          <w:b/>
          <w:bCs/>
          <w:color w:val="2F5496"/>
          <w:sz w:val="22"/>
          <w:szCs w:val="22"/>
        </w:rPr>
        <w:t xml:space="preserve">1.7.3. Les travaux conduits en Afrique subsaharienne</w:t>
      </w:r>
    </w:p>
    <w:p>
      <w:pPr>
        <w:spacing w:after="140" w:line="320"/>
        <w:ind w:firstLine="360"/>
        <w:jc w:val="both"/>
      </w:pPr>
      <w:r>
        <w:rPr>
          <w:rFonts w:ascii="Times New Roman" w:cs="Times New Roman" w:eastAsia="Times New Roman" w:hAnsi="Times New Roman"/>
          <w:sz w:val="23"/>
          <w:szCs w:val="23"/>
        </w:rPr>
        <w:t xml:space="preserve">Dans le contexte des administrations africaines, la littérature indexée demeure très pauvre. FONKOUA GANKE (2026) rapporte qu'une revue conduite sur les principales bases bibliographiques n'a permis d'identifier aucun article documentant un système de ce type déployé pour un institut national de statistique africain, sans que cette absence permette d'exclure l'existence de travaux publiés hors des circuits indexés.</w:t>
      </w:r>
    </w:p>
    <w:p>
      <w:pPr>
        <w:spacing w:after="140" w:line="320"/>
        <w:ind w:firstLine="360"/>
        <w:jc w:val="both"/>
      </w:pPr>
      <w:r>
        <w:rPr>
          <w:rFonts w:ascii="Times New Roman" w:cs="Times New Roman" w:eastAsia="Times New Roman" w:hAnsi="Times New Roman"/>
          <w:sz w:val="23"/>
          <w:szCs w:val="23"/>
        </w:rPr>
        <w:t xml:space="preserve">Les contributions disponibles sont pour l'essentiel des mémoires professionnels réalisés à l'ISSEA, dont trois intéressent directement le présent travail.</w:t>
      </w:r>
    </w:p>
    <w:p>
      <w:pPr>
        <w:spacing w:after="140" w:line="320"/>
        <w:ind w:firstLine="360"/>
        <w:jc w:val="both"/>
      </w:pPr>
      <w:r>
        <w:rPr>
          <w:rFonts w:ascii="Times New Roman" w:cs="Times New Roman" w:eastAsia="Times New Roman" w:hAnsi="Times New Roman"/>
          <w:sz w:val="23"/>
          <w:szCs w:val="23"/>
        </w:rPr>
        <w:t xml:space="preserve">KEÏTA (2025) développe un système d'assistance à la conception de questionnaires d'enquête à partir d'indicateurs, appliqué à l'Enquête démographique et de santé du Cameroun. Ce travail établit la faisabilité d'un déploiement local d'intelligence artificielle générative dans un institut statistique africain et formalise une approche de conception partant des indicateurs. Il repose toutefois sur une récupération exclusivement lexicale et ne propose aucune évaluation quantitative.</w:t>
      </w:r>
    </w:p>
    <w:p>
      <w:pPr>
        <w:spacing w:after="140" w:line="320"/>
        <w:ind w:firstLine="360"/>
        <w:jc w:val="both"/>
      </w:pPr>
      <w:r>
        <w:rPr>
          <w:rFonts w:ascii="Times New Roman" w:cs="Times New Roman" w:eastAsia="Times New Roman" w:hAnsi="Times New Roman"/>
          <w:sz w:val="23"/>
          <w:szCs w:val="23"/>
        </w:rPr>
        <w:t xml:space="preserve">MABIALA (2026) approfondit ce travail en introduisant une récupération sémantique vectorielle, une architecture à deux niveaux combinant correspondance exacte et similarité sémantique, et un protocole d'évaluation quantitatif complet associant métriques de recherche d'information et métriques d'ancrage. Il établit deux résultats directement pertinents ici : d'une part, l'échec de la recherche sémantique seule sur les identifiants techniques, qui justifie empiriquement le recours à une architecture combinée ; d'autre part, l'absence de gain mesurable apporté par le réentraînement du modèle d'embeddings sur le vocabulaire du domaine, la qualité du corpus s'avérant plus déterminante que l'adaptation du modèle.</w:t>
      </w:r>
    </w:p>
    <w:p>
      <w:pPr>
        <w:spacing w:after="140" w:line="320"/>
        <w:ind w:firstLine="360"/>
        <w:jc w:val="both"/>
      </w:pPr>
      <w:r>
        <w:rPr>
          <w:rFonts w:ascii="Times New Roman" w:cs="Times New Roman" w:eastAsia="Times New Roman" w:hAnsi="Times New Roman"/>
          <w:sz w:val="23"/>
          <w:szCs w:val="23"/>
        </w:rPr>
        <w:t xml:space="preserve">FONKOUA GANKE (2026) traite du cas le plus proche du présent travail : l'automatisation de la production des publications statistiques officielles de l'Institut national de la statistique du Cameroun au moyen d'une architecture locale. Il documente le processus de production manuelle, en établit les trois limites principales, développe une analyse approfondie des défaillances des modèles de langage face aux données chiffrées, et propose un protocole d'évaluation à neuf métriques sans agrégation composite. Ses résultats confirment l'apport de l'ancrage documentaire, avec une réduction substantielle du taux d'énoncés non soutenus, mais mettent également en évidence les contraintes matérielles d'un déploiement local et la sensibilité des performances au volume documentaire disponible par domaine.</w:t>
      </w:r>
    </w:p>
    <w:p>
      <w:pPr>
        <w:pStyle w:val="Heading3"/>
        <w:spacing w:after="120" w:before="220"/>
      </w:pPr>
      <w:r>
        <w:rPr>
          <w:rFonts w:ascii="Times New Roman" w:cs="Times New Roman" w:eastAsia="Times New Roman" w:hAnsi="Times New Roman"/>
          <w:b/>
          <w:bCs/>
          <w:color w:val="2F5496"/>
          <w:sz w:val="22"/>
          <w:szCs w:val="22"/>
        </w:rPr>
        <w:t xml:space="preserve">1.7.4. Le positionnement du présent travail</w:t>
      </w:r>
    </w:p>
    <w:p>
      <w:pPr>
        <w:spacing w:after="140" w:line="320"/>
        <w:ind w:firstLine="360"/>
        <w:jc w:val="both"/>
      </w:pPr>
      <w:r>
        <w:rPr>
          <w:rFonts w:ascii="Times New Roman" w:cs="Times New Roman" w:eastAsia="Times New Roman" w:hAnsi="Times New Roman"/>
          <w:sz w:val="23"/>
          <w:szCs w:val="23"/>
        </w:rPr>
        <w:t xml:space="preserve">Le présent travail se situe dans le prolongement direct de ces trois contributions, dont il retient les acquis et dont il cherche à combler les manques.</w:t>
      </w:r>
    </w:p>
    <w:p>
      <w:pPr>
        <w:spacing w:after="140" w:line="320"/>
        <w:ind w:firstLine="360"/>
        <w:jc w:val="both"/>
      </w:pPr>
      <w:r>
        <w:rPr>
          <w:rFonts w:ascii="Times New Roman" w:cs="Times New Roman" w:eastAsia="Times New Roman" w:hAnsi="Times New Roman"/>
          <w:sz w:val="23"/>
          <w:szCs w:val="23"/>
        </w:rPr>
        <w:t xml:space="preserve">Il en diffère par son terrain. Les trois travaux cités portent sur l'Institut national de la statistique, producteur statistique central disposant d'un corpus homogène et de nomenclatures normalisées. Le MINPMEESA est un ministère sectoriel, dont le patrimoine documentaire est plus hétérogène, produit par des structures multiples et selon des formats moins normalisés. Cette hétérogénéité constitue précisément la difficulté que le système doit traiter.</w:t>
      </w:r>
    </w:p>
    <w:p>
      <w:pPr>
        <w:spacing w:after="140" w:line="320"/>
        <w:ind w:firstLine="360"/>
        <w:jc w:val="both"/>
      </w:pPr>
      <w:r>
        <w:rPr>
          <w:rFonts w:ascii="Times New Roman" w:cs="Times New Roman" w:eastAsia="Times New Roman" w:hAnsi="Times New Roman"/>
          <w:sz w:val="23"/>
          <w:szCs w:val="23"/>
        </w:rPr>
        <w:t xml:space="preserve">Il en diffère par son objet. Là où FONKOUA GANKE (2026) vise la génération de commentaires analytiques, le présent travail vise d'abord l'assistance à la recherche, à l'extraction et à la vérification de l'information, la restitution demeurant strictement ancrée dans les sources. Ce déplacement est délibéré : il réduit l'exposition au risque d'hallucination numérique tout en répondant à ce qui constitue, dans le processus observé, la charge de travail dominante.</w:t>
      </w:r>
    </w:p>
    <w:p>
      <w:pPr>
        <w:spacing w:after="140" w:line="320"/>
        <w:ind w:firstLine="360"/>
        <w:jc w:val="both"/>
      </w:pPr>
      <w:r>
        <w:rPr>
          <w:rFonts w:ascii="Times New Roman" w:cs="Times New Roman" w:eastAsia="Times New Roman" w:hAnsi="Times New Roman"/>
          <w:sz w:val="23"/>
          <w:szCs w:val="23"/>
        </w:rPr>
        <w:t xml:space="preserve">Il en diffère enfin par son architecture de récupération. Là où MABIALA (2026) retient une cascade à deux niveaux, le présent travail retient une fusion de classements complétée d'un réordonnancement, configuration mieux adaptée à un corpus dépourvu d'identifiants normalisés systématiques.</w:t>
      </w:r>
    </w:p>
    <w:p>
      <w:pPr>
        <w:spacing w:after="80" w:before="180"/>
        <w:jc w:val="center"/>
      </w:pPr>
      <w:r>
        <w:rPr>
          <w:rFonts w:ascii="Times New Roman" w:cs="Times New Roman" w:eastAsia="Times New Roman" w:hAnsi="Times New Roman"/>
          <w:b/>
          <w:bCs/>
          <w:sz w:val="21"/>
          <w:szCs w:val="21"/>
        </w:rPr>
        <w:t xml:space="preserve">Tableau 1.2 : Positionnement du présent travail au regard des travaux antérieurs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Dimension</w:t>
            </w:r>
          </w:p>
        </w:tc>
        <w:tc>
          <w:tcPr>
            <w:tcW w:type="dxa" w:w="1872"/>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KEÏTA (2025)</w:t>
            </w:r>
          </w:p>
        </w:tc>
        <w:tc>
          <w:tcPr>
            <w:tcW w:type="dxa" w:w="1872"/>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MABIALA (2026)</w:t>
            </w:r>
          </w:p>
        </w:tc>
        <w:tc>
          <w:tcPr>
            <w:tcW w:type="dxa" w:w="1872"/>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FONKOUA GANKE (2026)</w:t>
            </w:r>
          </w:p>
        </w:tc>
        <w:tc>
          <w:tcPr>
            <w:tcW w:type="dxa" w:w="1872"/>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Présent travail</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Terrain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INS Cameroun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INS Cameroun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INS Cameroun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MINPMEESA</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Objet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Génération de questionnaires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Génération de questionnaires et consultation documentaire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Génération de commentaires analytiques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Recherche et vérification en production, consultation synthétique en aval</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Lexicale (TF-IDF, BM25)</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Sémantique, cascade à deux niveaux</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Sémantique dense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Hybride, fusion de classements</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Reranking</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Absent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Absent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Absent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Intégré</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Métadonnées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Non exploitées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Partiellement (identifiants)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 par type de document</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 multicritère et traçabilité</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Évaluation</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Qualitative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IR et RAGAS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Neuf métriques, deux configurations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IR, ancrage et gain opérationnel</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Traçabilité des réponses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Non systématique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Source et page citées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Contexte documentaire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Document, section et page systématiques</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Traitement des données chiffrées</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Non spécifique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Non spécifique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Analyse du risque, sans mécanisme dédié</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Citation littérale contrainte et contrôle automatique</w:t>
            </w:r>
          </w:p>
        </w:tc>
      </w:tr>
      <w:tr>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Modes d'usage</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Un seul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Un seul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Un seul</w:t>
            </w:r>
          </w:p>
        </w:tc>
        <w:tc>
          <w:tcPr>
            <w:tcW w:type="dxa" w:w="1872"/>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Deux (production et consultation)</w:t>
            </w:r>
          </w:p>
        </w:tc>
      </w:tr>
    </w:tbl>
    <w:p>
      <w:pPr>
        <w:spacing w:after="200" w:before="60"/>
        <w:jc w:val="center"/>
      </w:pPr>
      <w:r>
        <w:rPr>
          <w:rFonts w:ascii="Times New Roman" w:cs="Times New Roman" w:eastAsia="Times New Roman" w:hAnsi="Times New Roman"/>
          <w:i/>
          <w:iCs/>
          <w:sz w:val="18"/>
          <w:szCs w:val="18"/>
        </w:rPr>
        <w:t xml:space="preserve">Source : Auteur, à partir des mémoires cités.</w:t>
      </w:r>
    </w:p>
    <w:p>
      <w:pPr>
        <w:pStyle w:val="Heading2"/>
        <w:spacing w:after="140" w:before="280"/>
      </w:pPr>
      <w:r>
        <w:rPr>
          <w:rFonts w:ascii="Times New Roman" w:cs="Times New Roman" w:eastAsia="Times New Roman" w:hAnsi="Times New Roman"/>
          <w:b/>
          <w:bCs/>
          <w:color w:val="2F5496"/>
          <w:sz w:val="24"/>
          <w:szCs w:val="24"/>
        </w:rPr>
        <w:t xml:space="preserve">Conclusion du chapitre</w:t>
      </w:r>
    </w:p>
    <w:p>
      <w:pPr>
        <w:spacing w:after="140" w:line="320"/>
        <w:ind w:firstLine="360"/>
        <w:jc w:val="both"/>
      </w:pPr>
      <w:r>
        <w:rPr>
          <w:rFonts w:ascii="Times New Roman" w:cs="Times New Roman" w:eastAsia="Times New Roman" w:hAnsi="Times New Roman"/>
          <w:sz w:val="23"/>
          <w:szCs w:val="23"/>
        </w:rPr>
        <w:t xml:space="preserve">Ce chapitre a établi les fondements théoriques du travail. Il a montré que les deux familles de recherche d'information présentent des limites disjointes, la recherche lexicale échouant sur la variation de formulation et la recherche sémantique sur les libellés exacts, complémentarité qui fonde le recours à une architecture hybride. Il a établi que les modèles de langage employés seuls sont structurellement inaptes au traitement fiable d'un corpus chiffré, en raison de la tokenisation des nombres et de la nature probabiliste de la génération, ce qui justifie l'ancrage documentaire. Il a présenté les mécanismes propres à l'architecture retenue, fusion des classements, réordonnancement et exploitation des métadonnées. Il a établi que l'ancrage documentaire ne suffit pas à garantir l'exactitude des données chiffrées restituées, et a retenu à ce titre le principe d'une génération à citation littérale contrainte, assortie d'un contrôle automatique des valeurs numériques et d'un mécanisme d'abstention. Il a enfin présenté les cadres d'évaluation applicables, en distinguant l'évaluation de la récupération de celle de la restitution.</w:t>
      </w:r>
    </w:p>
    <w:p>
      <w:pPr>
        <w:spacing w:after="140" w:line="320"/>
        <w:ind w:firstLine="360"/>
        <w:jc w:val="both"/>
      </w:pPr>
      <w:r>
        <w:rPr>
          <w:rFonts w:ascii="Times New Roman" w:cs="Times New Roman" w:eastAsia="Times New Roman" w:hAnsi="Times New Roman"/>
          <w:sz w:val="23"/>
          <w:szCs w:val="23"/>
        </w:rPr>
        <w:t xml:space="preserve">La revue critique des travaux antérieurs a enfin permis de situer la contribution du présent mémoire. Trois travaux conduits à l'ISSEA constituent son antécédent direct ; le présent travail s'en distingue par son terrain, un ministère sectoriel au patrimoine documentaire hétérogène, par son objet, l'assistance à la recherche documentaire et à la consultation plutôt que la rédaction automatique libre, et par son architecture de récupération, fondée sur la fusion de classements et le réordonnancement. Le chapitre suivant présente ce terrain, analyse le processus de production des deux publications visées et formalise la démarche méthodologique ainsi que le protocole d'évaluation.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CHAPITRE 2. CONTEXTE D'ÉTUDE, ANALYSE DU BESOIN ET CADRE MÉTHODOLOGIQUE</w:t>
      </w:r>
    </w:p>
    <w:p>
      <w:pPr>
        <w:spacing w:after="200" w:line="300"/>
        <w:ind w:left="360" w:right="360"/>
        <w:jc w:val="both"/>
      </w:pPr>
      <w:r>
        <w:rPr>
          <w:rFonts w:ascii="Times New Roman" w:cs="Times New Roman" w:eastAsia="Times New Roman" w:hAnsi="Times New Roman"/>
          <w:i/>
          <w:iCs/>
          <w:sz w:val="22"/>
          <w:szCs w:val="22"/>
        </w:rPr>
        <w:t xml:space="preserve">Ce chapitre présente le terrain de l'étude et traduit la problématique en spécifications de recherche. Il décrit d'abord le MINPMEESA et la nature de son patrimoine documentaire. Il analyse ensuite les processus de production de l'Annuaire statistique et du Rapport annuel de performance, puis en dresse le diagnostic et formalise les besoins fonctionnels correspondants. Il expose enfin la démarche de recherche retenue, la composition du corpus d'étude, le protocole d'évaluation et les critères de validation des hypothèses fixés a priori.</w:t>
      </w:r>
    </w:p>
    <w:p>
      <w:pPr>
        <w:pStyle w:val="Heading2"/>
        <w:spacing w:after="140" w:before="280"/>
      </w:pPr>
      <w:r>
        <w:rPr>
          <w:rFonts w:ascii="Times New Roman" w:cs="Times New Roman" w:eastAsia="Times New Roman" w:hAnsi="Times New Roman"/>
          <w:b/>
          <w:bCs/>
          <w:color w:val="2F5496"/>
          <w:sz w:val="24"/>
          <w:szCs w:val="24"/>
        </w:rPr>
        <w:t xml:space="preserve">2.1. Le MINPMEESA et son patrimoine documentaire</w:t>
      </w:r>
    </w:p>
    <w:p>
      <w:pPr>
        <w:pStyle w:val="Heading3"/>
        <w:spacing w:after="120" w:before="220"/>
      </w:pPr>
      <w:r>
        <w:rPr>
          <w:rFonts w:ascii="Times New Roman" w:cs="Times New Roman" w:eastAsia="Times New Roman" w:hAnsi="Times New Roman"/>
          <w:b/>
          <w:bCs/>
          <w:color w:val="2F5496"/>
          <w:sz w:val="22"/>
          <w:szCs w:val="22"/>
        </w:rPr>
        <w:t xml:space="preserve">2.1.1. Missions et organisation</w:t>
      </w:r>
    </w:p>
    <w:p>
      <w:pPr>
        <w:spacing w:after="140" w:line="320"/>
        <w:ind w:firstLine="360"/>
        <w:jc w:val="both"/>
      </w:pPr>
      <w:r>
        <w:rPr>
          <w:rFonts w:ascii="Times New Roman" w:cs="Times New Roman" w:eastAsia="Times New Roman" w:hAnsi="Times New Roman"/>
          <w:sz w:val="23"/>
          <w:szCs w:val="23"/>
        </w:rPr>
        <w:t xml:space="preserve">Le Ministère des Petites et Moyennes Entreprises, de l'Économie Sociale et de l'Artisanat est chargé de l'élaboration et de la mise en œuvre de la politique du Gouvernement en matière de promotion et de développement des petites et moyennes entreprises, des organisations de l'économie sociale et de l'artisanat. Il exerce cette mission à travers des directions techniques, des délégations régionales couvrant les dix régions du pays, des structures rattachées et des organismes sous tutelle.</w:t>
      </w:r>
    </w:p>
    <w:p>
      <w:pPr>
        <w:spacing w:after="140" w:line="320"/>
        <w:ind w:firstLine="360"/>
        <w:jc w:val="both"/>
      </w:pPr>
      <w:r>
        <w:rPr>
          <w:rFonts w:ascii="Times New Roman" w:cs="Times New Roman" w:eastAsia="Times New Roman" w:hAnsi="Times New Roman"/>
          <w:sz w:val="23"/>
          <w:szCs w:val="23"/>
        </w:rPr>
        <w:t xml:space="preserve">Sa production statistique et sa production de performance relèvent de structures distinctes mais mobilisent le même vivier documentaire. La première s'inscrit dans le renforcement du Système national d'information statistique, en cohérence avec la Stratégie nationale de développement de la statistique. La seconde s'inscrit dans le dispositif du budget-programme institué par le Nouveau régime financier de l'État, qui impose à chaque responsable de programme de rendre compte annuellement de ses résultats.</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organigramme précis, dénomination exacte de la structure d'accueil, rattachement hiérarchique, effectif de l'équipe chargée de la production des deux publications, et textes réglementaires de référence à citer avec leurs numéros et dates.</w:t>
      </w:r>
    </w:p>
    <w:p>
      <w:pPr>
        <w:pStyle w:val="Heading3"/>
        <w:spacing w:after="120" w:before="220"/>
      </w:pPr>
      <w:r>
        <w:rPr>
          <w:rFonts w:ascii="Times New Roman" w:cs="Times New Roman" w:eastAsia="Times New Roman" w:hAnsi="Times New Roman"/>
          <w:b/>
          <w:bCs/>
          <w:color w:val="2F5496"/>
          <w:sz w:val="22"/>
          <w:szCs w:val="22"/>
        </w:rPr>
        <w:t xml:space="preserve">2.1.2. Les deux publications de référence</w:t>
      </w:r>
    </w:p>
    <w:p>
      <w:pPr>
        <w:spacing w:after="140" w:line="320"/>
        <w:ind w:firstLine="360"/>
        <w:jc w:val="both"/>
      </w:pPr>
      <w:r>
        <w:rPr>
          <w:rFonts w:ascii="Times New Roman" w:cs="Times New Roman" w:eastAsia="Times New Roman" w:hAnsi="Times New Roman"/>
          <w:sz w:val="23"/>
          <w:szCs w:val="23"/>
        </w:rPr>
        <w:t xml:space="preserve">L'Annuaire statistique des petites et moyennes entreprises, des organisations de l'économie sociale et des artisans constitue le tableau de bord statistique du secteur. Publié annuellement, il rassemble les données relatives à la démographie des unités économiques, à leur répartition sectorielle et régionale, à l'emploi généré, ainsi qu'aux dispositifs d'accompagnement mis en œuvre par le ministère et ses structures. Sa quatorzième édition, portant sur l'exercice 2024, a été rendue publique en mai 2025.</w:t>
      </w:r>
    </w:p>
    <w:p>
      <w:pPr>
        <w:spacing w:after="140" w:line="320"/>
        <w:ind w:firstLine="360"/>
        <w:jc w:val="both"/>
      </w:pPr>
      <w:r>
        <w:rPr>
          <w:rFonts w:ascii="Times New Roman" w:cs="Times New Roman" w:eastAsia="Times New Roman" w:hAnsi="Times New Roman"/>
          <w:sz w:val="23"/>
          <w:szCs w:val="23"/>
        </w:rPr>
        <w:t xml:space="preserve">Le Rapport annuel de performance rend compte, au titre de chaque exercice budgétaire, des résultats obtenus par les programmes du ministère au regard des objectifs et des indicateurs inscrits au projet annuel de performance. Il présente, pour chaque programme, le bilan stratégique, l'analyse détaillée des objectifs et des résultats obtenus, l'exécution financière par action et par activité, ainsi que les perspectives.</w:t>
      </w:r>
    </w:p>
    <w:p>
      <w:pPr>
        <w:spacing w:after="140" w:line="320"/>
        <w:ind w:firstLine="360"/>
        <w:jc w:val="both"/>
      </w:pPr>
      <w:r>
        <w:rPr>
          <w:rFonts w:ascii="Times New Roman" w:cs="Times New Roman" w:eastAsia="Times New Roman" w:hAnsi="Times New Roman"/>
          <w:sz w:val="23"/>
          <w:szCs w:val="23"/>
        </w:rPr>
        <w:t xml:space="preserve">Ces deux publications ont enfin une existence propre au-delà de leur production. Une fois éditées, elles constituent la référence à laquelle se rapportent les décideurs du ministère, les responsables de programmes, les administrations partenaires et les organisations internationales. Or leur volume, plusieurs centaines de pages pour l'Annuaire, en rend la consultation ponctuelle malaisée : retrouver une donnée précise suppose de parcourir une table des matières puis un ensemble de tableaux. La difficulté d'accès qui pèse sur les producteurs se reporte ainsi, sous une forme atténuée mais réelle, sur les utilisateurs finaux.</w:t>
      </w:r>
    </w:p>
    <w:p>
      <w:pPr>
        <w:spacing w:after="140" w:line="320"/>
        <w:ind w:firstLine="360"/>
        <w:jc w:val="both"/>
      </w:pPr>
      <w:r>
        <w:rPr>
          <w:rFonts w:ascii="Times New Roman" w:cs="Times New Roman" w:eastAsia="Times New Roman" w:hAnsi="Times New Roman"/>
          <w:sz w:val="23"/>
          <w:szCs w:val="23"/>
        </w:rPr>
        <w:t xml:space="preserve">Ces deux documents partagent trois caractéristiques déterminantes pour le présent travail. Ils sont annuels et récurrents, ce qui rend leur production répétitive et donc automatisable dans ses opérations les plus mécaniques. Ils sont massivement chiffrés, ce qui impose une exigence d'exactitude absolue. Ils reposent enfin sur l'agrégation d'informations provenant de structures multiples, ce qui fait de la recherche documentaire transversale leur point de charge principal.</w:t>
      </w:r>
    </w:p>
    <w:p>
      <w:pPr>
        <w:pStyle w:val="Heading3"/>
        <w:spacing w:after="120" w:before="220"/>
      </w:pPr>
      <w:r>
        <w:rPr>
          <w:rFonts w:ascii="Times New Roman" w:cs="Times New Roman" w:eastAsia="Times New Roman" w:hAnsi="Times New Roman"/>
          <w:b/>
          <w:bCs/>
          <w:color w:val="2F5496"/>
          <w:sz w:val="22"/>
          <w:szCs w:val="22"/>
        </w:rPr>
        <w:t xml:space="preserve">2.1.3. Nature et hétérogénéité du patrimoine documentaire</w:t>
      </w:r>
    </w:p>
    <w:p>
      <w:pPr>
        <w:spacing w:after="140" w:line="320"/>
        <w:ind w:firstLine="360"/>
        <w:jc w:val="both"/>
      </w:pPr>
      <w:r>
        <w:rPr>
          <w:rFonts w:ascii="Times New Roman" w:cs="Times New Roman" w:eastAsia="Times New Roman" w:hAnsi="Times New Roman"/>
          <w:sz w:val="23"/>
          <w:szCs w:val="23"/>
        </w:rPr>
        <w:t xml:space="preserve">Le patrimoine documentaire mobilisé pour la production des deux publications présente une hétérogénéité marquée, qui se manifeste sur quatre plans.</w:t>
      </w:r>
    </w:p>
    <w:p>
      <w:pPr>
        <w:spacing w:after="140" w:line="320"/>
        <w:ind w:firstLine="360"/>
        <w:jc w:val="both"/>
      </w:pPr>
      <w:r>
        <w:rPr>
          <w:rFonts w:ascii="Times New Roman" w:cs="Times New Roman" w:eastAsia="Times New Roman" w:hAnsi="Times New Roman"/>
          <w:sz w:val="23"/>
          <w:szCs w:val="23"/>
        </w:rPr>
        <w:t xml:space="preserve">Hétérogénéité des producteurs, d'abord. Les documents proviennent des directions techniques, des délégations régionales, des cellules, des structures rattachées et des organismes sous tutelle, auxquels s'ajoutent des sources externes émanant d'administrations partenaires et d'organisations internationales.</w:t>
      </w:r>
    </w:p>
    <w:p>
      <w:pPr>
        <w:spacing w:after="140" w:line="320"/>
        <w:ind w:firstLine="360"/>
        <w:jc w:val="both"/>
      </w:pPr>
      <w:r>
        <w:rPr>
          <w:rFonts w:ascii="Times New Roman" w:cs="Times New Roman" w:eastAsia="Times New Roman" w:hAnsi="Times New Roman"/>
          <w:sz w:val="23"/>
          <w:szCs w:val="23"/>
        </w:rPr>
        <w:t xml:space="preserve">Hétérogénéité des formats, ensuite. Les documents se présentent sous forme de rapports rédigés, de notes, de tableaux et de fichiers de restitution, dont la structure et la mise en page varient d'une structure émettrice à l'autre et d'un exercice à l'autre.</w:t>
      </w:r>
    </w:p>
    <w:p>
      <w:pPr>
        <w:spacing w:after="140" w:line="320"/>
        <w:ind w:firstLine="360"/>
        <w:jc w:val="both"/>
      </w:pPr>
      <w:r>
        <w:rPr>
          <w:rFonts w:ascii="Times New Roman" w:cs="Times New Roman" w:eastAsia="Times New Roman" w:hAnsi="Times New Roman"/>
          <w:sz w:val="23"/>
          <w:szCs w:val="23"/>
        </w:rPr>
        <w:t xml:space="preserve">Hétérogénéité terminologique, également. Une même réalité peut être désignée par des dénominations différentes selon la structure et selon le millésime, ce qui constitue précisément le cas de figure où la recherche par mots-clés échoue.</w:t>
      </w:r>
    </w:p>
    <w:p>
      <w:pPr>
        <w:spacing w:after="140" w:line="320"/>
        <w:ind w:firstLine="360"/>
        <w:jc w:val="both"/>
      </w:pPr>
      <w:r>
        <w:rPr>
          <w:rFonts w:ascii="Times New Roman" w:cs="Times New Roman" w:eastAsia="Times New Roman" w:hAnsi="Times New Roman"/>
          <w:sz w:val="23"/>
          <w:szCs w:val="23"/>
        </w:rPr>
        <w:t xml:space="preserve">Prédominance du contenu tabulaire, enfin. Une part substantielle de l'information utile réside dans des tableaux plutôt que dans du texte courant, ce qui soulève une difficulté technique spécifique traitée au chapitre 3.</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inventaire effectif du patrimoine, avec pour chaque type de document le nombre d'exemplaires, la période couverte, le format natif et la structure émettrice. Cet inventaire alimentera le tableau 2.1.</w:t>
      </w:r>
    </w:p>
    <w:p>
      <w:pPr>
        <w:pStyle w:val="Heading2"/>
        <w:spacing w:after="140" w:before="280"/>
      </w:pPr>
      <w:r>
        <w:rPr>
          <w:rFonts w:ascii="Times New Roman" w:cs="Times New Roman" w:eastAsia="Times New Roman" w:hAnsi="Times New Roman"/>
          <w:b/>
          <w:bCs/>
          <w:color w:val="2F5496"/>
          <w:sz w:val="24"/>
          <w:szCs w:val="24"/>
        </w:rPr>
        <w:t xml:space="preserve">2.2. Le processus de production de l'Annuaire statistique des PMEESA</w:t>
      </w:r>
    </w:p>
    <w:p>
      <w:pPr>
        <w:pStyle w:val="Heading3"/>
        <w:spacing w:after="120" w:before="220"/>
      </w:pPr>
      <w:r>
        <w:rPr>
          <w:rFonts w:ascii="Times New Roman" w:cs="Times New Roman" w:eastAsia="Times New Roman" w:hAnsi="Times New Roman"/>
          <w:b/>
          <w:bCs/>
          <w:color w:val="2F5496"/>
          <w:sz w:val="22"/>
          <w:szCs w:val="22"/>
        </w:rPr>
        <w:t xml:space="preserve">2.2.1. Les étapes du processus</w:t>
      </w:r>
    </w:p>
    <w:p>
      <w:pPr>
        <w:spacing w:after="140" w:line="320"/>
        <w:ind w:firstLine="360"/>
        <w:jc w:val="both"/>
      </w:pPr>
      <w:r>
        <w:rPr>
          <w:rFonts w:ascii="Times New Roman" w:cs="Times New Roman" w:eastAsia="Times New Roman" w:hAnsi="Times New Roman"/>
          <w:sz w:val="23"/>
          <w:szCs w:val="23"/>
        </w:rPr>
        <w:t xml:space="preserve">Le processus de production de l'Annuaire s'organise en cinq étapes successives, dont l'enchaînement est reconstitué ci-après à partir des documents disponibles et des entretiens conduits durant le stage.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collecte. Les structures contributrices transmettent leurs rapports d'activité, leurs états statistiques et leurs tableaux de restitution, selon un calendrier et un format de demande définis par la structure coordonnatrice.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L'exploitation documentaire. L'équipe de production identifie, dans les documents reçus et dans les éditions antérieures, les informations correspondant à chaque rubrique de l'Annuaire. Cette étape mobilise une recherche largement manuelle.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consolidation. Les données extraites sont rassemblées, mises en cohérence et confrontées aux séries des exercices antérieurs afin de vérifier la vraisemblance des évolutions.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rédaction des commentaires. Les tableaux sont accompagnés de commentaires analytiques rédigés par les statisticiens, en s'appuyant sur les formulations des éditions précédentes pour assurer la continuité rédactionnelle.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validation et la publication. Le projet est soumis à une chaîne de validation interne avant publication et présentation publique.</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validation de cet enchaînement auprès de l'équipe de production, durée observée de chaque étape, nombre de structures sollicitées, taux et délai de retour des contributions.</w:t>
      </w:r>
    </w:p>
    <w:p>
      <w:pPr>
        <w:pStyle w:val="Heading3"/>
        <w:spacing w:after="120" w:before="220"/>
      </w:pPr>
      <w:r>
        <w:rPr>
          <w:rFonts w:ascii="Times New Roman" w:cs="Times New Roman" w:eastAsia="Times New Roman" w:hAnsi="Times New Roman"/>
          <w:b/>
          <w:bCs/>
          <w:color w:val="2F5496"/>
          <w:sz w:val="22"/>
          <w:szCs w:val="22"/>
        </w:rPr>
        <w:t xml:space="preserve">2.2.2. La charge documentaire</w:t>
      </w:r>
    </w:p>
    <w:p>
      <w:pPr>
        <w:spacing w:after="140" w:line="320"/>
        <w:ind w:firstLine="360"/>
        <w:jc w:val="both"/>
      </w:pPr>
      <w:r>
        <w:rPr>
          <w:rFonts w:ascii="Times New Roman" w:cs="Times New Roman" w:eastAsia="Times New Roman" w:hAnsi="Times New Roman"/>
          <w:sz w:val="23"/>
          <w:szCs w:val="23"/>
        </w:rPr>
        <w:t xml:space="preserve">La deuxième étape concentre l'essentiel de la charge de travail non statistique. Elle suppose en effet de localiser, dans un ensemble de documents dont le volume cumulé atteint plusieurs centaines de pages, des informations dont ni la position ni la formulation ne sont connues à l'avance. Trois opérations y sont particulièrement chronophages.</w:t>
      </w:r>
    </w:p>
    <w:p>
      <w:pPr>
        <w:spacing w:after="140" w:line="320"/>
        <w:ind w:firstLine="360"/>
        <w:jc w:val="both"/>
      </w:pPr>
      <w:r>
        <w:rPr>
          <w:rFonts w:ascii="Times New Roman" w:cs="Times New Roman" w:eastAsia="Times New Roman" w:hAnsi="Times New Roman"/>
          <w:sz w:val="23"/>
          <w:szCs w:val="23"/>
        </w:rPr>
        <w:t xml:space="preserve">La localisation d'une donnée dans le corpus, lorsque l'agent sait quelle information il cherche mais ignore dans quel document et à quelle page elle figure. La vérification d'un chiffre repris d'une édition antérieure, qui suppose de remonter jusqu'à la source primaire pour s'assurer que la valeur n'a pas été révisée. La reconstitution d'une série pluriannuelle, qui suppose de retrouver la même information dans plusieurs éditions successives et de contrôler la stabilité de sa définition.</w:t>
      </w:r>
    </w:p>
    <w:p>
      <w:pPr>
        <w:pStyle w:val="Heading2"/>
        <w:spacing w:after="140" w:before="280"/>
      </w:pPr>
      <w:r>
        <w:rPr>
          <w:rFonts w:ascii="Times New Roman" w:cs="Times New Roman" w:eastAsia="Times New Roman" w:hAnsi="Times New Roman"/>
          <w:b/>
          <w:bCs/>
          <w:color w:val="2F5496"/>
          <w:sz w:val="24"/>
          <w:szCs w:val="24"/>
        </w:rPr>
        <w:t xml:space="preserve">2.3. Le processus de production du Rapport annuel de performance</w:t>
      </w:r>
    </w:p>
    <w:p>
      <w:pPr>
        <w:pStyle w:val="Heading3"/>
        <w:spacing w:after="120" w:before="220"/>
      </w:pPr>
      <w:r>
        <w:rPr>
          <w:rFonts w:ascii="Times New Roman" w:cs="Times New Roman" w:eastAsia="Times New Roman" w:hAnsi="Times New Roman"/>
          <w:b/>
          <w:bCs/>
          <w:color w:val="2F5496"/>
          <w:sz w:val="22"/>
          <w:szCs w:val="22"/>
        </w:rPr>
        <w:t xml:space="preserve">2.3.1. Les étapes du processus</w:t>
      </w:r>
    </w:p>
    <w:p>
      <w:pPr>
        <w:spacing w:after="140" w:line="320"/>
        <w:ind w:firstLine="360"/>
        <w:jc w:val="both"/>
      </w:pPr>
      <w:r>
        <w:rPr>
          <w:rFonts w:ascii="Times New Roman" w:cs="Times New Roman" w:eastAsia="Times New Roman" w:hAnsi="Times New Roman"/>
          <w:sz w:val="23"/>
          <w:szCs w:val="23"/>
        </w:rPr>
        <w:t xml:space="preserve">La production du Rapport annuel de performance suit une logique voisine, mais s'organise autour de l'architecture programmatique du ministère plutôt qu'autour d'une nomenclature statistique.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remontée des contributions. Les responsables de programmes et les responsables de budgets opérationnels transmettent leurs rapports périodiques d'exécution.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 renseignement des indicateurs. Pour chaque objectif, la valeur atteinte de l'indicateur est recherchée dans les contributions reçues et confrontée à la cible inscrite au projet annuel de performance.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L'analyse des écarts. Les écarts entre réalisations et cibles sont analysés et motivés, ce qui suppose de retrouver dans les rapports les éléments d'explication correspondants.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 traitement de l'exécution financière. Les taux d'exécution sont établis par programme, par action et par activité.</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La consolidation et la validation. Les rapports des différents programmes sont consolidés en un document ministériel unique, puis validés.</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nombre et intitulés des programmes du ministère, nombre d'indicateurs de performance suivis, calendrier réglementaire de production, structure exacte du document tel qu'il est produit au MINPMEESA.</w:t>
      </w:r>
    </w:p>
    <w:p>
      <w:pPr>
        <w:pStyle w:val="Heading3"/>
        <w:spacing w:after="120" w:before="220"/>
      </w:pPr>
      <w:r>
        <w:rPr>
          <w:rFonts w:ascii="Times New Roman" w:cs="Times New Roman" w:eastAsia="Times New Roman" w:hAnsi="Times New Roman"/>
          <w:b/>
          <w:bCs/>
          <w:color w:val="2F5496"/>
          <w:sz w:val="22"/>
          <w:szCs w:val="22"/>
        </w:rPr>
        <w:t xml:space="preserve">2.3.2. Une charge documentaire de même nature</w:t>
      </w:r>
    </w:p>
    <w:p>
      <w:pPr>
        <w:spacing w:after="140" w:line="320"/>
        <w:ind w:firstLine="360"/>
        <w:jc w:val="both"/>
      </w:pPr>
      <w:r>
        <w:rPr>
          <w:rFonts w:ascii="Times New Roman" w:cs="Times New Roman" w:eastAsia="Times New Roman" w:hAnsi="Times New Roman"/>
          <w:sz w:val="23"/>
          <w:szCs w:val="23"/>
        </w:rPr>
        <w:t xml:space="preserve">La deuxième et la troisième étape présentent la même caractéristique que l'exploitation documentaire de l'Annuaire : elles consistent à retrouver, dans un ensemble de rapports hétérogènes, des informations dispersées, dont la formulation ne coïncide pas nécessairement avec celle de l'indicateur recherché. Le renseignement d'un indicateur suppose souvent de croiser plusieurs contributions, et la motivation d'un écart suppose de retrouver des éléments qualitatifs disséminés dans des rapports d'activité.</w:t>
      </w:r>
    </w:p>
    <w:p>
      <w:pPr>
        <w:spacing w:after="140" w:line="320"/>
        <w:ind w:firstLine="360"/>
        <w:jc w:val="both"/>
      </w:pPr>
      <w:r>
        <w:rPr>
          <w:rFonts w:ascii="Times New Roman" w:cs="Times New Roman" w:eastAsia="Times New Roman" w:hAnsi="Times New Roman"/>
          <w:sz w:val="23"/>
          <w:szCs w:val="23"/>
        </w:rPr>
        <w:t xml:space="preserve">Cette convergence entre les deux processus est ce qui justifie qu'un système unique puisse les servir tous les deux. Les deux publications diffèrent par leur finalité et par leur structure, mais elles mobilisent le même patrimoine documentaire et exposent le même besoin : interroger transversalement ce patrimoine et obtenir des réponses accompagnées de leurs sources.</w:t>
      </w:r>
    </w:p>
    <w:p>
      <w:pPr>
        <w:pStyle w:val="Heading2"/>
        <w:spacing w:after="140" w:before="280"/>
      </w:pPr>
      <w:r>
        <w:rPr>
          <w:rFonts w:ascii="Times New Roman" w:cs="Times New Roman" w:eastAsia="Times New Roman" w:hAnsi="Times New Roman"/>
          <w:b/>
          <w:bCs/>
          <w:color w:val="2F5496"/>
          <w:sz w:val="24"/>
          <w:szCs w:val="24"/>
        </w:rPr>
        <w:t xml:space="preserve">2.4. Diagnostic des difficultés, modes d'usage et besoins fonctionnels</w:t>
      </w:r>
    </w:p>
    <w:p>
      <w:pPr>
        <w:pStyle w:val="Heading3"/>
        <w:spacing w:after="120" w:before="220"/>
      </w:pPr>
      <w:r>
        <w:rPr>
          <w:rFonts w:ascii="Times New Roman" w:cs="Times New Roman" w:eastAsia="Times New Roman" w:hAnsi="Times New Roman"/>
          <w:b/>
          <w:bCs/>
          <w:color w:val="2F5496"/>
          <w:sz w:val="22"/>
          <w:szCs w:val="22"/>
        </w:rPr>
        <w:t xml:space="preserve">2.4.1. Les difficultés observées</w:t>
      </w:r>
    </w:p>
    <w:p>
      <w:pPr>
        <w:spacing w:after="140" w:line="320"/>
        <w:ind w:firstLine="360"/>
        <w:jc w:val="both"/>
      </w:pPr>
      <w:r>
        <w:rPr>
          <w:rFonts w:ascii="Times New Roman" w:cs="Times New Roman" w:eastAsia="Times New Roman" w:hAnsi="Times New Roman"/>
          <w:sz w:val="23"/>
          <w:szCs w:val="23"/>
        </w:rPr>
        <w:t xml:space="preserve">L'analyse des deux processus met en évidence cinq difficultés, dont les quatre premières relèvent directement du périmètre du présent travail.</w:t>
      </w:r>
    </w:p>
    <w:p>
      <w:pPr>
        <w:spacing w:after="140" w:line="320"/>
        <w:ind w:firstLine="360"/>
        <w:jc w:val="both"/>
      </w:pPr>
      <w:r>
        <w:rPr>
          <w:rFonts w:ascii="Times New Roman" w:cs="Times New Roman" w:eastAsia="Times New Roman" w:hAnsi="Times New Roman"/>
          <w:sz w:val="23"/>
          <w:szCs w:val="23"/>
        </w:rPr>
        <w:t xml:space="preserve">Première difficulté : la dispersion de l'information. Aucune ressource ne permet d'interroger simultanément l'ensemble des documents mobilisés. La recherche s'effectue document par document, ce qui suppose de savoir a priori dans lequel chercher.</w:t>
      </w:r>
    </w:p>
    <w:p>
      <w:pPr>
        <w:spacing w:after="140" w:line="320"/>
        <w:ind w:firstLine="360"/>
        <w:jc w:val="both"/>
      </w:pPr>
      <w:r>
        <w:rPr>
          <w:rFonts w:ascii="Times New Roman" w:cs="Times New Roman" w:eastAsia="Times New Roman" w:hAnsi="Times New Roman"/>
          <w:sz w:val="23"/>
          <w:szCs w:val="23"/>
        </w:rPr>
        <w:t xml:space="preserve">Deuxième difficulté : l'inefficacité de la recherche par mots-clés. La recherche disponible dans les lecteurs de documents repose sur la correspondance exacte des chaînes de caractères. Elle échoue dès que l'information est formulée autrement que la requête, situation fréquente dans un corpus terminologiquement hétérogène.</w:t>
      </w:r>
    </w:p>
    <w:p>
      <w:pPr>
        <w:spacing w:after="140" w:line="320"/>
        <w:ind w:firstLine="360"/>
        <w:jc w:val="both"/>
      </w:pPr>
      <w:r>
        <w:rPr>
          <w:rFonts w:ascii="Times New Roman" w:cs="Times New Roman" w:eastAsia="Times New Roman" w:hAnsi="Times New Roman"/>
          <w:sz w:val="23"/>
          <w:szCs w:val="23"/>
        </w:rPr>
        <w:t xml:space="preserve">Troisième difficulté : le coût de la vérification. Rattacher une donnée à sa source primaire suppose un parcours manuel des documents, opération suffisamment coûteuse pour être parfois abrégée, au détriment de la fiabilité.</w:t>
      </w:r>
    </w:p>
    <w:p>
      <w:pPr>
        <w:spacing w:after="140" w:line="320"/>
        <w:ind w:firstLine="360"/>
        <w:jc w:val="both"/>
      </w:pPr>
      <w:r>
        <w:rPr>
          <w:rFonts w:ascii="Times New Roman" w:cs="Times New Roman" w:eastAsia="Times New Roman" w:hAnsi="Times New Roman"/>
          <w:sz w:val="23"/>
          <w:szCs w:val="23"/>
        </w:rPr>
        <w:t xml:space="preserve">Quatrième difficulté : la perte de mémoire documentaire. Les arbitrages méthodologiques et les formulations retenues lors des éditions antérieures ne sont pas capitalisés de manière interrogeable, de sorte que chaque édition rejoue une part du travail de la précédente.</w:t>
      </w:r>
    </w:p>
    <w:p>
      <w:pPr>
        <w:spacing w:after="140" w:line="320"/>
        <w:ind w:firstLine="360"/>
        <w:jc w:val="both"/>
      </w:pPr>
      <w:r>
        <w:rPr>
          <w:rFonts w:ascii="Times New Roman" w:cs="Times New Roman" w:eastAsia="Times New Roman" w:hAnsi="Times New Roman"/>
          <w:sz w:val="23"/>
          <w:szCs w:val="23"/>
        </w:rPr>
        <w:t xml:space="preserve">Cinquième difficulté : la dépendance aux délais de transmission des contributions. Celle-ci relève de l'organisation et non de l'outillage documentaire ; elle est mentionnée pour mémoire mais reste hors du périmètre du système proposé.</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quantification de ces difficultés à partir des entretiens, en particulier une estimation du temps consacré à la recherche documentaire rapporté au temps total de production, et un recensement des questions réellement posées par les agents, qui alimentera le jeu de test défini en section 2.6.</w:t>
      </w:r>
    </w:p>
    <w:p>
      <w:pPr>
        <w:pStyle w:val="Heading3"/>
        <w:spacing w:after="120" w:before="220"/>
      </w:pPr>
      <w:r>
        <w:rPr>
          <w:rFonts w:ascii="Times New Roman" w:cs="Times New Roman" w:eastAsia="Times New Roman" w:hAnsi="Times New Roman"/>
          <w:b/>
          <w:bCs/>
          <w:color w:val="2F5496"/>
          <w:sz w:val="22"/>
          <w:szCs w:val="22"/>
        </w:rPr>
        <w:t xml:space="preserve">2.4.2. Les deux modes d'usage retenus</w:t>
      </w:r>
    </w:p>
    <w:p>
      <w:pPr>
        <w:spacing w:after="140" w:line="320"/>
        <w:ind w:firstLine="360"/>
        <w:jc w:val="both"/>
      </w:pPr>
      <w:r>
        <w:rPr>
          <w:rFonts w:ascii="Times New Roman" w:cs="Times New Roman" w:eastAsia="Times New Roman" w:hAnsi="Times New Roman"/>
          <w:sz w:val="23"/>
          <w:szCs w:val="23"/>
        </w:rPr>
        <w:t xml:space="preserve">Les quatre difficultés retenues se manifestent à deux moments distincts du cycle de vie des publications, auprès de deux populations d'utilisateurs différentes. Le système est en conséquence conçu selon deux modes d'usage, servis par une architecture unique mais par des alimentations et des profils d'accès différents.</w:t>
      </w:r>
    </w:p>
    <w:p>
      <w:pPr>
        <w:spacing w:after="140" w:line="320"/>
        <w:ind w:firstLine="360"/>
        <w:jc w:val="both"/>
      </w:pPr>
      <w:r>
        <w:rPr>
          <w:rFonts w:ascii="Times New Roman" w:cs="Times New Roman" w:eastAsia="Times New Roman" w:hAnsi="Times New Roman"/>
          <w:sz w:val="23"/>
          <w:szCs w:val="23"/>
        </w:rPr>
        <w:t xml:space="preserve">Le mode production s'adresse aux agents chargés d'élaborer l'Annuaire statistique et le Rapport annuel de performance. Le corpus interrogé réunit les documents sources internes et les éditions antérieures. Les requêtes sont pointues, fréquemment exactes, et portent sur la localisation, la vérification et le rapprochement d'informations dispersées.</w:t>
      </w:r>
    </w:p>
    <w:p>
      <w:pPr>
        <w:spacing w:after="140" w:line="320"/>
        <w:ind w:firstLine="360"/>
        <w:jc w:val="both"/>
      </w:pPr>
      <w:r>
        <w:rPr>
          <w:rFonts w:ascii="Times New Roman" w:cs="Times New Roman" w:eastAsia="Times New Roman" w:hAnsi="Times New Roman"/>
          <w:sz w:val="23"/>
          <w:szCs w:val="23"/>
        </w:rPr>
        <w:t xml:space="preserve">Le mode consultation s'adresse aux décideurs, aux responsables de programmes et aux partenaires. Le corpus interrogé est restreint aux publications éditées et validées. Les requêtes sont plus larges et souvent comparatives, et portent sur l'accès rapide à une information de synthèse.</w:t>
      </w:r>
    </w:p>
    <w:p>
      <w:pPr>
        <w:spacing w:after="140" w:line="320"/>
        <w:ind w:firstLine="360"/>
        <w:jc w:val="both"/>
      </w:pPr>
      <w:r>
        <w:rPr>
          <w:rFonts w:ascii="Times New Roman" w:cs="Times New Roman" w:eastAsia="Times New Roman" w:hAnsi="Times New Roman"/>
          <w:sz w:val="23"/>
          <w:szCs w:val="23"/>
        </w:rPr>
        <w:t xml:space="preserve">La séparation entre les deux modes est portée par une métadonnée de statut de diffusion attachée à chaque document, qui indique s'il est interne ou publié. Cette métadonnée remplit une double fonction. Elle constitue un filtre de recherche, en restreignant le mode consultation au seul corpus publié. Elle constitue surtout un mécanisme de cloisonnement : un utilisateur en mode consultation ne doit en aucun cas accéder à un document interne non validé, ni à un passage qui en serait issu. Cette exigence, qui relève de la sécurité et non du confort, est traitée au chapitre 3.</w:t>
      </w:r>
    </w:p>
    <w:p>
      <w:pPr>
        <w:spacing w:after="140" w:line="320"/>
        <w:ind w:firstLine="360"/>
        <w:jc w:val="both"/>
      </w:pPr>
      <w:r>
        <w:rPr>
          <w:rFonts w:ascii="Times New Roman" w:cs="Times New Roman" w:eastAsia="Times New Roman" w:hAnsi="Times New Roman"/>
          <w:sz w:val="23"/>
          <w:szCs w:val="23"/>
        </w:rPr>
        <w:t xml:space="preserve">Une règle de restitution commune aux deux modes est retenue. Le système peut produire une synthèse rédigée à partir des passages récupérés, ce qui est particulièrement utile en mode consultation, mais toute donnée chiffrée qui y figure est reprise littéralement du passage source, sans reformulation, sans recalcul et sans arrondi, et accompagnée de sa référence. Cette règle, dont les fondements théoriques ont été exposés en section 1.5, préserve l'utilité de la synthèse tout en neutralisant le risque d'hallucination numérique.</w:t>
      </w:r>
    </w:p>
    <w:p>
      <w:pPr>
        <w:pStyle w:val="Heading3"/>
        <w:spacing w:after="120" w:before="220"/>
      </w:pPr>
      <w:r>
        <w:rPr>
          <w:rFonts w:ascii="Times New Roman" w:cs="Times New Roman" w:eastAsia="Times New Roman" w:hAnsi="Times New Roman"/>
          <w:b/>
          <w:bCs/>
          <w:color w:val="2F5496"/>
          <w:sz w:val="22"/>
          <w:szCs w:val="22"/>
        </w:rPr>
        <w:t xml:space="preserve">2.4.3. Les besoins fonctionnels</w:t>
      </w:r>
    </w:p>
    <w:p>
      <w:pPr>
        <w:spacing w:after="140" w:line="320"/>
        <w:ind w:firstLine="360"/>
        <w:jc w:val="both"/>
      </w:pPr>
      <w:r>
        <w:rPr>
          <w:rFonts w:ascii="Times New Roman" w:cs="Times New Roman" w:eastAsia="Times New Roman" w:hAnsi="Times New Roman"/>
          <w:sz w:val="23"/>
          <w:szCs w:val="23"/>
        </w:rPr>
        <w:t xml:space="preserve">Les difficultés identifiées se traduisent en six besoins fonctionnels, qui constituent le cahier des charges du système conçu au chapitre 3.</w:t>
      </w:r>
    </w:p>
    <w:p>
      <w:pPr>
        <w:spacing w:after="80" w:before="180"/>
        <w:jc w:val="center"/>
      </w:pPr>
      <w:r>
        <w:rPr>
          <w:rFonts w:ascii="Times New Roman" w:cs="Times New Roman" w:eastAsia="Times New Roman" w:hAnsi="Times New Roman"/>
          <w:b/>
          <w:bCs/>
          <w:sz w:val="21"/>
          <w:szCs w:val="21"/>
        </w:rPr>
        <w:t xml:space="preserve">Tableau 2.1 : Besoins fonctionnels et réponses attendues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Besoin</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Difficulté à laquelle il répond</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Réponse attendue du système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BF1. Interroger l'ensemble du patrimoine en une seule requête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Dispersion de l'information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Index unique couvrant tous les documents du corpus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BF2. Formuler la requête en langage naturel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Inefficacité de la recherche par mots-clés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 sémantique par représentations vectorielles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BF3. Retrouver des libellés, sigles et intitulés exacts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Inefficacité de la recherche sémantique seule sur les termes exacts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 lexicale conservée et fusionnée avec la précédente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BF4. Restreindre la recherche à un exercice, un type de document ou une structure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Confusion entre millésimes et entre sources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 par métadonnées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BF5. Vérifier immédiatement l'information restituée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Coût de la vérification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Affichage systématique du document, de la section et de la page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BF6. Ne pas se voir présenter d'information non fondée sur les sources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Risque d'hallucination, en particulier numérique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 contrainte au contexte récupéré et mécanisme d'abstention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BF7. Disposer d'une synthèse rédigée dont les chiffres sont exacts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Volume des publications, difficulté d'accès pour les décideurs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Génération à citation littérale contrainte et contrôle automatique des valeurs numériques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BF8. Empêcher l'accès aux documents internes en mode consultation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Confidentialité des documents non validés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Cloisonnement par la métadonnée de statut de diffusion</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3"/>
        <w:spacing w:after="120" w:before="220"/>
      </w:pPr>
      <w:r>
        <w:rPr>
          <w:rFonts w:ascii="Times New Roman" w:cs="Times New Roman" w:eastAsia="Times New Roman" w:hAnsi="Times New Roman"/>
          <w:b/>
          <w:bCs/>
          <w:color w:val="2F5496"/>
          <w:sz w:val="22"/>
          <w:szCs w:val="22"/>
        </w:rPr>
        <w:t xml:space="preserve">2.4.4. Les cas d'usage retenus</w:t>
      </w:r>
    </w:p>
    <w:p>
      <w:pPr>
        <w:spacing w:after="140" w:line="320"/>
        <w:ind w:firstLine="360"/>
        <w:jc w:val="both"/>
      </w:pPr>
      <w:r>
        <w:rPr>
          <w:rFonts w:ascii="Times New Roman" w:cs="Times New Roman" w:eastAsia="Times New Roman" w:hAnsi="Times New Roman"/>
          <w:sz w:val="23"/>
          <w:szCs w:val="23"/>
        </w:rPr>
        <w:t xml:space="preserve">Cinq cas d'usage sont retenus pour la conception et pour l'évaluation. Les quatre premiers relèvent du mode production et correspondent aux types de sollicitation identifiés dans les deux processus. Le cinquième relève du mode consultation.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CU1. Localisation d'une donnée. L'agent recherche une valeur précise et attend la valeur accompagnée de sa source. Exemple : le nombre d'unités de production artisanale enregistrées dans une région donnée au titre d'un exercice donné.</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CU2. Recherche thématique ouverte. L'agent recherche l'ensemble des éléments disponibles sur un thème, sans connaître les termes exacts employés dans le corpus. Exemple : les éléments relatifs à l'accompagnement des entreprises en matière d'accès au financement.</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CU3. Vérification et rapprochement. L'agent dispose d'une valeur et souhaite en retrouver la source primaire, ou comparer plusieurs occurrences d'une même information dans des documents différents.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CU4. Reconstitution d'une série. L'agent recherche la même information dans plusieurs exercices successifs, avec contrôle de la stabilité de sa définition.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CU5. Consultation synthétique. Le décideur pose une question large sur le contenu des publications éditées et attend une réponse de synthèse rédigée, dont chaque donnée chiffrée est citée littéralement et référencée. Exemple : l'évolution de la création de PME sur les trois derniers exercices, ou les programmes ayant atteint leurs cibles au titre du dernier exercice.</w:t>
      </w:r>
    </w:p>
    <w:p>
      <w:pPr>
        <w:pStyle w:val="Heading2"/>
        <w:spacing w:after="140" w:before="280"/>
      </w:pPr>
      <w:r>
        <w:rPr>
          <w:rFonts w:ascii="Times New Roman" w:cs="Times New Roman" w:eastAsia="Times New Roman" w:hAnsi="Times New Roman"/>
          <w:b/>
          <w:bCs/>
          <w:color w:val="2F5496"/>
          <w:sz w:val="24"/>
          <w:szCs w:val="24"/>
        </w:rPr>
        <w:t xml:space="preserve">2.5. Démarche de recherche et corpus d'étude</w:t>
      </w:r>
    </w:p>
    <w:p>
      <w:pPr>
        <w:pStyle w:val="Heading3"/>
        <w:spacing w:after="120" w:before="220"/>
      </w:pPr>
      <w:r>
        <w:rPr>
          <w:rFonts w:ascii="Times New Roman" w:cs="Times New Roman" w:eastAsia="Times New Roman" w:hAnsi="Times New Roman"/>
          <w:b/>
          <w:bCs/>
          <w:color w:val="2F5496"/>
          <w:sz w:val="22"/>
          <w:szCs w:val="22"/>
        </w:rPr>
        <w:t xml:space="preserve">2.5.1. La démarche de recherche par conception d'artefact</w:t>
      </w:r>
    </w:p>
    <w:p>
      <w:pPr>
        <w:spacing w:after="140" w:line="320"/>
        <w:ind w:firstLine="360"/>
        <w:jc w:val="both"/>
      </w:pPr>
      <w:r>
        <w:rPr>
          <w:rFonts w:ascii="Times New Roman" w:cs="Times New Roman" w:eastAsia="Times New Roman" w:hAnsi="Times New Roman"/>
          <w:sz w:val="23"/>
          <w:szCs w:val="23"/>
        </w:rPr>
        <w:t xml:space="preserve">La démarche retenue est celle de la recherche par conception d'artefact, formalisée par Hevner et al. (2004). Elle consiste à concevoir un artefact en réponse à un problème identifié dans un contexte organisationnel réel, puis à en évaluer les propriétés selon des critères mesurables définis a priori.</w:t>
      </w:r>
    </w:p>
    <w:p>
      <w:pPr>
        <w:spacing w:after="140" w:line="320"/>
        <w:ind w:firstLine="360"/>
        <w:jc w:val="both"/>
      </w:pPr>
      <w:r>
        <w:rPr>
          <w:rFonts w:ascii="Times New Roman" w:cs="Times New Roman" w:eastAsia="Times New Roman" w:hAnsi="Times New Roman"/>
          <w:sz w:val="23"/>
          <w:szCs w:val="23"/>
        </w:rPr>
        <w:t xml:space="preserve">Ce choix se justifie par trois considérations. Le travail produit simultanément un objet opérationnel utilisable par le ministère et une contribution évaluable sur le plan méthodologique. Il tolère l'adaptation de l'artefact aux contraintes matérielles effectivement rencontrées, ce qui est déterminant dans un contexte de ressources limitées. Il impose enfin la définition préalable des critères d'évaluation, ce qui protège l'interprétation des résultats contre le biais consistant à ajuster les seuils après observation.</w:t>
      </w:r>
    </w:p>
    <w:p>
      <w:pPr>
        <w:spacing w:after="140" w:line="320"/>
        <w:ind w:firstLine="360"/>
        <w:jc w:val="both"/>
      </w:pPr>
      <w:r>
        <w:rPr>
          <w:rFonts w:ascii="Times New Roman" w:cs="Times New Roman" w:eastAsia="Times New Roman" w:hAnsi="Times New Roman"/>
          <w:sz w:val="23"/>
          <w:szCs w:val="23"/>
        </w:rPr>
        <w:t xml:space="preserve">La démarche se déroule en cinq phases.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Phase 1. Analyse du besoin métier : reconstitution des deux processus de production, identification des structures contributrices et des tâches chronophages, recensement des questions réellement posées par les agents.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Phase 2. Constitution du corpus : collecte, sélection, classification et versionnage des documents retenus.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Phase 3. Ingestion et structuration : extraction du texte et des tableaux, nettoyage, normalisation, segmentation et extraction des métadonnées.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Phase 4. Conception de l'architecture : indexation lexicale, indexation vectorielle, fusion des classements, réordonnancement, construction du contexte et restitution sourcée.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Phase 5. Évaluation : constitution du jeu de test, comparaison des configurations, mesure de la récupération, de l'ancrage et du gain opérationnel.</w:t>
      </w:r>
    </w:p>
    <w:p>
      <w:pPr>
        <w:pStyle w:val="Heading3"/>
        <w:spacing w:after="120" w:before="220"/>
      </w:pPr>
      <w:r>
        <w:rPr>
          <w:rFonts w:ascii="Times New Roman" w:cs="Times New Roman" w:eastAsia="Times New Roman" w:hAnsi="Times New Roman"/>
          <w:b/>
          <w:bCs/>
          <w:color w:val="2F5496"/>
          <w:sz w:val="22"/>
          <w:szCs w:val="22"/>
        </w:rPr>
        <w:t xml:space="preserve">2.5.2. Le corpus d'étude</w:t>
      </w:r>
    </w:p>
    <w:p>
      <w:pPr>
        <w:spacing w:after="140" w:line="320"/>
        <w:ind w:firstLine="360"/>
        <w:jc w:val="both"/>
      </w:pPr>
      <w:r>
        <w:rPr>
          <w:rFonts w:ascii="Times New Roman" w:cs="Times New Roman" w:eastAsia="Times New Roman" w:hAnsi="Times New Roman"/>
          <w:sz w:val="23"/>
          <w:szCs w:val="23"/>
        </w:rPr>
        <w:t xml:space="preserve">Le corpus retenu réunit deux ensembles de documents, distingués par leur statut et par leur fonction dans l'étude.</w:t>
      </w:r>
    </w:p>
    <w:p>
      <w:pPr>
        <w:spacing w:after="140" w:line="320"/>
        <w:ind w:firstLine="360"/>
        <w:jc w:val="both"/>
      </w:pPr>
      <w:r>
        <w:rPr>
          <w:rFonts w:ascii="Times New Roman" w:cs="Times New Roman" w:eastAsia="Times New Roman" w:hAnsi="Times New Roman"/>
          <w:sz w:val="23"/>
          <w:szCs w:val="23"/>
        </w:rPr>
        <w:t xml:space="preserve">Le premier ensemble rassemble les publications de référence du ministère, à savoir les éditions successives de l'Annuaire statistique des PMEESA et des rapports annuels de performance. Ces documents sont publics et constituent à la fois une source d'information et une référence de formulation.</w:t>
      </w:r>
    </w:p>
    <w:p>
      <w:pPr>
        <w:spacing w:after="140" w:line="320"/>
        <w:ind w:firstLine="360"/>
        <w:jc w:val="both"/>
      </w:pPr>
      <w:r>
        <w:rPr>
          <w:rFonts w:ascii="Times New Roman" w:cs="Times New Roman" w:eastAsia="Times New Roman" w:hAnsi="Times New Roman"/>
          <w:sz w:val="23"/>
          <w:szCs w:val="23"/>
        </w:rPr>
        <w:t xml:space="preserve">Le second ensemble rassemble les documents intermédiaires effectivement mobilisés pour la production des deux publications : rapports d'activité des directions et des délégations régionales, notes et bilans des structures rattachées et sous tutelle, états statistiques transmis par les partenaires. Ce sont ces documents qui portent l'essentiel de la difficulté de recherche, et leur inclusion est indispensable à la validité de l'étude.</w:t>
      </w:r>
    </w:p>
    <w:p>
      <w:pPr>
        <w:spacing w:after="140" w:line="320"/>
        <w:ind w:firstLine="360"/>
        <w:jc w:val="both"/>
      </w:pPr>
      <w:r>
        <w:rPr>
          <w:rFonts w:ascii="Times New Roman" w:cs="Times New Roman" w:eastAsia="Times New Roman" w:hAnsi="Times New Roman"/>
          <w:sz w:val="23"/>
          <w:szCs w:val="23"/>
        </w:rPr>
        <w:t xml:space="preserve">Le périmètre temporel proposé couvre les exercices les plus récents pour lesquels la documentation intermédiaire demeure accessible, arbitrage à valider avec l'encadreur.</w:t>
      </w:r>
    </w:p>
    <w:p>
      <w:pPr>
        <w:spacing w:after="140" w:line="320"/>
        <w:ind w:firstLine="360"/>
        <w:jc w:val="both"/>
      </w:pPr>
      <w:r>
        <w:rPr>
          <w:rFonts w:ascii="Times New Roman" w:cs="Times New Roman" w:eastAsia="Times New Roman" w:hAnsi="Times New Roman"/>
          <w:sz w:val="23"/>
          <w:szCs w:val="23"/>
        </w:rPr>
        <w:t xml:space="preserve">La répartition entre les deux modes découle directement de cette distinction. Le mode production interroge l'ensemble du corpus, publications de référence et documents intermédiaires réunis. Le mode consultation n'interroge que le premier ensemble. Un même document indexé une seule fois est ainsi accessible ou non selon le mode, sans duplication de l'index, la sélection s'opérant par la métadonnée de statut de diffusion.</w:t>
      </w:r>
    </w:p>
    <w:p>
      <w:pPr>
        <w:spacing w:after="80" w:before="180"/>
        <w:jc w:val="center"/>
      </w:pPr>
      <w:r>
        <w:rPr>
          <w:rFonts w:ascii="Times New Roman" w:cs="Times New Roman" w:eastAsia="Times New Roman" w:hAnsi="Times New Roman"/>
          <w:b/>
          <w:bCs/>
          <w:sz w:val="21"/>
          <w:szCs w:val="21"/>
        </w:rPr>
        <w:t xml:space="preserve">Tableau 2.2 : Composition du corpus d'étude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Ensemble</w:t>
            </w:r>
          </w:p>
        </w:tc>
        <w:tc>
          <w:tcPr>
            <w:tcW w:type="dxa" w:w="156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Type de document</w:t>
            </w:r>
          </w:p>
        </w:tc>
        <w:tc>
          <w:tcPr>
            <w:tcW w:type="dxa" w:w="156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Nombre</w:t>
            </w:r>
          </w:p>
        </w:tc>
        <w:tc>
          <w:tcPr>
            <w:tcW w:type="dxa" w:w="156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Période</w:t>
            </w:r>
          </w:p>
        </w:tc>
        <w:tc>
          <w:tcPr>
            <w:tcW w:type="dxa" w:w="156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Statut</w:t>
            </w:r>
          </w:p>
        </w:tc>
        <w:tc>
          <w:tcPr>
            <w:tcW w:type="dxa" w:w="156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Modes</w:t>
            </w:r>
          </w:p>
        </w:tc>
      </w:tr>
      <w:tr>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Publications de référence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Annuaire statistique des PMEESA</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Les deux</w:t>
            </w:r>
          </w:p>
        </w:tc>
      </w:tr>
      <w:tr>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Publications de référence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Rapport annuel de performance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Les deux</w:t>
            </w:r>
          </w:p>
        </w:tc>
      </w:tr>
      <w:tr>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Documents intermédiaires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Rapports d'activité des directions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Interne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Production</w:t>
            </w:r>
          </w:p>
        </w:tc>
      </w:tr>
      <w:tr>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Documents intermédiaires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Rapports des délégations régionales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Interne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Production</w:t>
            </w:r>
          </w:p>
        </w:tc>
      </w:tr>
      <w:tr>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Documents intermédiaires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Rapports des structures sous tutelle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Interne</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Production</w:t>
            </w:r>
          </w:p>
        </w:tc>
      </w:tr>
      <w:tr>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Sources externes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Documents des administrations partenaires</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Public</w:t>
            </w:r>
          </w:p>
        </w:tc>
        <w:tc>
          <w:tcPr>
            <w:tcW w:type="dxa" w:w="156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Production</w:t>
            </w:r>
          </w:p>
        </w:tc>
      </w:tr>
    </w:tbl>
    <w:p>
      <w:pPr>
        <w:spacing w:after="200" w:before="60"/>
        <w:jc w:val="center"/>
      </w:pPr>
      <w:r>
        <w:rPr>
          <w:rFonts w:ascii="Times New Roman" w:cs="Times New Roman" w:eastAsia="Times New Roman" w:hAnsi="Times New Roman"/>
          <w:i/>
          <w:iCs/>
          <w:sz w:val="18"/>
          <w:szCs w:val="18"/>
        </w:rPr>
        <w:t xml:space="preserve">Source : Auteur.</w:t>
      </w:r>
    </w:p>
    <w:p>
      <w:pPr>
        <w:spacing w:after="140" w:line="320"/>
        <w:ind w:firstLine="360"/>
        <w:jc w:val="both"/>
      </w:pPr>
      <w:r>
        <w:rPr>
          <w:rFonts w:ascii="Times New Roman" w:cs="Times New Roman" w:eastAsia="Times New Roman" w:hAnsi="Times New Roman"/>
          <w:sz w:val="23"/>
          <w:szCs w:val="23"/>
        </w:rPr>
        <w:t xml:space="preserve">Une précision méthodologique s'impose s'agissant des documents internes. Leur présence dans le corpus impose un déploiement entièrement local du système, sans transmission vers des services externes. Cette contrainte, identique à celle relevée par FONKOUA GANKE (2026) dans le cas des données statistiques nationales, conditionne l'ensemble des choix techniques opérés au chapitre 3.</w:t>
      </w:r>
    </w:p>
    <w:p>
      <w:pPr>
        <w:pStyle w:val="Heading3"/>
        <w:spacing w:after="120" w:before="220"/>
      </w:pPr>
      <w:r>
        <w:rPr>
          <w:rFonts w:ascii="Times New Roman" w:cs="Times New Roman" w:eastAsia="Times New Roman" w:hAnsi="Times New Roman"/>
          <w:b/>
          <w:bCs/>
          <w:color w:val="2F5496"/>
          <w:sz w:val="22"/>
          <w:szCs w:val="22"/>
        </w:rPr>
        <w:t xml:space="preserve">2.5.3. Les métadonnées retenues</w:t>
      </w:r>
    </w:p>
    <w:p>
      <w:pPr>
        <w:spacing w:after="140" w:line="320"/>
        <w:ind w:firstLine="360"/>
        <w:jc w:val="both"/>
      </w:pPr>
      <w:r>
        <w:rPr>
          <w:rFonts w:ascii="Times New Roman" w:cs="Times New Roman" w:eastAsia="Times New Roman" w:hAnsi="Times New Roman"/>
          <w:sz w:val="23"/>
          <w:szCs w:val="23"/>
        </w:rPr>
        <w:t xml:space="preserve">Chaque segment indexé est documenté par un ensemble de métadonnées destinées à la fois au filtrage et à la traçabilité.</w:t>
      </w:r>
    </w:p>
    <w:p>
      <w:pPr>
        <w:spacing w:after="80" w:before="180"/>
        <w:jc w:val="center"/>
      </w:pPr>
      <w:r>
        <w:rPr>
          <w:rFonts w:ascii="Times New Roman" w:cs="Times New Roman" w:eastAsia="Times New Roman" w:hAnsi="Times New Roman"/>
          <w:b/>
          <w:bCs/>
          <w:sz w:val="21"/>
          <w:szCs w:val="21"/>
        </w:rPr>
        <w:t xml:space="preserve">Tableau 2.3 : Métadonnées associées à chaque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Métadonnée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Description</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Fonction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Identifiant du document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Clé unique du document source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Traçabilité</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Titre du document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Intitulé complet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Traçabilité et affichage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Type de document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Annuaire, RAP, rapport d'activité, note, source externe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Structure émettrice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Direction, délégation, structure sous tutelle, partenaire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Exercice de référence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Année sur laquelle porte l'information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 (déterminant en corpus pluriannuel)</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Section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Titre de la section ou du chapitre d'origine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Contextualisation et affichage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Numéro de page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Page du document source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Vérification par l'utilisateur</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Statut de diffusion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Interne ou publié</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 par mode et cloisonnement d'accès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Nature du contenu</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Texte courant ou tableau</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Adaptation du traitement et de l'affichage</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2"/>
        <w:spacing w:after="140" w:before="280"/>
      </w:pPr>
      <w:r>
        <w:rPr>
          <w:rFonts w:ascii="Times New Roman" w:cs="Times New Roman" w:eastAsia="Times New Roman" w:hAnsi="Times New Roman"/>
          <w:b/>
          <w:bCs/>
          <w:color w:val="2F5496"/>
          <w:sz w:val="24"/>
          <w:szCs w:val="24"/>
        </w:rPr>
        <w:t xml:space="preserve">2.6. Protocole d'évaluation et critères de validation des hypothèses</w:t>
      </w:r>
    </w:p>
    <w:p>
      <w:pPr>
        <w:pStyle w:val="Heading3"/>
        <w:spacing w:after="120" w:before="220"/>
      </w:pPr>
      <w:r>
        <w:rPr>
          <w:rFonts w:ascii="Times New Roman" w:cs="Times New Roman" w:eastAsia="Times New Roman" w:hAnsi="Times New Roman"/>
          <w:b/>
          <w:bCs/>
          <w:color w:val="2F5496"/>
          <w:sz w:val="22"/>
          <w:szCs w:val="22"/>
        </w:rPr>
        <w:t xml:space="preserve">2.6.1. Les configurations expérimentales comparées</w:t>
      </w:r>
    </w:p>
    <w:p>
      <w:pPr>
        <w:spacing w:after="140" w:line="320"/>
        <w:ind w:firstLine="360"/>
        <w:jc w:val="both"/>
      </w:pPr>
      <w:r>
        <w:rPr>
          <w:rFonts w:ascii="Times New Roman" w:cs="Times New Roman" w:eastAsia="Times New Roman" w:hAnsi="Times New Roman"/>
          <w:sz w:val="23"/>
          <w:szCs w:val="23"/>
        </w:rPr>
        <w:t xml:space="preserve">L'évaluation repose sur la comparaison de cinq configurations, dont les différences sont conçues pour isoler l'apport de chaque composant de l'architecture. Toutes les autres caractéristiques restent identiques entre configurations : corpus, segmentation, modèles et paramètres de restitution.</w:t>
      </w:r>
    </w:p>
    <w:p>
      <w:pPr>
        <w:spacing w:after="80" w:before="180"/>
        <w:jc w:val="center"/>
      </w:pPr>
      <w:r>
        <w:rPr>
          <w:rFonts w:ascii="Times New Roman" w:cs="Times New Roman" w:eastAsia="Times New Roman" w:hAnsi="Times New Roman"/>
          <w:b/>
          <w:bCs/>
          <w:sz w:val="21"/>
          <w:szCs w:val="21"/>
        </w:rPr>
        <w:t xml:space="preserve">Tableau 2.4 : Configurations expérimentales comparées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Configuration</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Description</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Hypothèse éclairée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C0. Sans récupération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 produite sans contexte documentaire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H3 (référence basse)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C1. Lexicale seule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 par BM25</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H1 (référence)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C2. Sémantique seule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 par similarité vectorielle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H1 (référence)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C3. Hybride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Fusion des classements de C1 et C2</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H1</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C4. Hybride, métadonnées et reranking</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C3 avec filtrage par métadonnées et réordonnancement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H2 et H3</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C5. C4 avec citation littérale contrainte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C4 assortie de la règle de citation littérale et du contrôle automatique des valeurs numériques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H3 et H5</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3"/>
        <w:spacing w:after="120" w:before="220"/>
      </w:pPr>
      <w:r>
        <w:rPr>
          <w:rFonts w:ascii="Times New Roman" w:cs="Times New Roman" w:eastAsia="Times New Roman" w:hAnsi="Times New Roman"/>
          <w:b/>
          <w:bCs/>
          <w:color w:val="2F5496"/>
          <w:sz w:val="22"/>
          <w:szCs w:val="22"/>
        </w:rPr>
        <w:t xml:space="preserve">2.6.2. Le jeu de test</w:t>
      </w:r>
    </w:p>
    <w:p>
      <w:pPr>
        <w:spacing w:after="140" w:line="320"/>
        <w:ind w:firstLine="360"/>
        <w:jc w:val="both"/>
      </w:pPr>
      <w:r>
        <w:rPr>
          <w:rFonts w:ascii="Times New Roman" w:cs="Times New Roman" w:eastAsia="Times New Roman" w:hAnsi="Times New Roman"/>
          <w:sz w:val="23"/>
          <w:szCs w:val="23"/>
        </w:rPr>
        <w:t xml:space="preserve">Le jeu de test est construit à partir des questions réellement posées par les agents durant la production des deux publications, recensées lors de la phase d'analyse du besoin. Ce fondement empirique est essentiel : un jeu de questions construit par le seul concepteur risquerait de refléter les capacités du système plutôt que les besoins des utilisateurs.</w:t>
      </w:r>
    </w:p>
    <w:p>
      <w:pPr>
        <w:spacing w:after="140" w:line="320"/>
        <w:ind w:firstLine="360"/>
        <w:jc w:val="both"/>
      </w:pPr>
      <w:r>
        <w:rPr>
          <w:rFonts w:ascii="Times New Roman" w:cs="Times New Roman" w:eastAsia="Times New Roman" w:hAnsi="Times New Roman"/>
          <w:sz w:val="23"/>
          <w:szCs w:val="23"/>
        </w:rPr>
        <w:t xml:space="preserve">Les questions sont réparties en cinq catégories, correspondant aux cinq cas d'usage définis en section 2.4.4, auxquelles s'ajoute un ensemble de requêtes hors périmètre, avec un effectif minimal par catégorie destiné à garantir la lisibilité des résultats par type de requête.</w:t>
      </w:r>
    </w:p>
    <w:p>
      <w:pPr>
        <w:spacing w:after="80" w:before="180"/>
        <w:jc w:val="center"/>
      </w:pPr>
      <w:r>
        <w:rPr>
          <w:rFonts w:ascii="Times New Roman" w:cs="Times New Roman" w:eastAsia="Times New Roman" w:hAnsi="Times New Roman"/>
          <w:b/>
          <w:bCs/>
          <w:sz w:val="21"/>
          <w:szCs w:val="21"/>
        </w:rPr>
        <w:t xml:space="preserve">Tableau 2.5 : Composition proposée du jeu de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Catégorie</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Cas d'usage</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Effectif proposé</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Objet de la mesure</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exactes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CU1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 de libellés, sigles et intitulés exacts</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thématiques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CU2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15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 sur reformulation</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de vérification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CU3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 de la source primaire</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pluriannuelles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CU4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Filtrage par exercice et cohérence des séries</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de consultation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CU5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10</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Qualité et exactitude de la synthèse rédigée en mode aval</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Requêtes hors périmètre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Aucun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Capacité à ne rien restituer plutôt qu'à inventer</w:t>
            </w:r>
          </w:p>
        </w:tc>
      </w:tr>
    </w:tbl>
    <w:p>
      <w:pPr>
        <w:spacing w:after="200" w:before="60"/>
        <w:jc w:val="center"/>
      </w:pPr>
      <w:r>
        <w:rPr>
          <w:rFonts w:ascii="Times New Roman" w:cs="Times New Roman" w:eastAsia="Times New Roman" w:hAnsi="Times New Roman"/>
          <w:i/>
          <w:iCs/>
          <w:sz w:val="18"/>
          <w:szCs w:val="18"/>
        </w:rPr>
        <w:t xml:space="preserve">Source : Auteur.</w:t>
      </w:r>
    </w:p>
    <w:p>
      <w:pPr>
        <w:spacing w:after="140" w:line="320"/>
        <w:ind w:firstLine="360"/>
        <w:jc w:val="both"/>
      </w:pPr>
      <w:r>
        <w:rPr>
          <w:rFonts w:ascii="Times New Roman" w:cs="Times New Roman" w:eastAsia="Times New Roman" w:hAnsi="Times New Roman"/>
          <w:sz w:val="23"/>
          <w:szCs w:val="23"/>
        </w:rPr>
        <w:t xml:space="preserve">Pour chaque question, une vérité de terrain est établie manuellement : le ou les passages du corpus qui constituent la réponse attendue, avec leur document et leur page. Cette annotation est réalisée avant toute exécution du système, afin d'éviter que la vérité de terrain ne soit influencée par les résultats observés. Les cinq requêtes hors périmètre ne possèdent pas de passage pertinent ; elles servent à vérifier que le système s'abstient plutôt que de produire une réponse non fondée.</w:t>
      </w:r>
    </w:p>
    <w:p>
      <w:pPr>
        <w:spacing w:after="140" w:line="320"/>
        <w:ind w:firstLine="360"/>
        <w:jc w:val="both"/>
      </w:pPr>
      <w:r>
        <w:rPr>
          <w:rFonts w:ascii="Times New Roman" w:cs="Times New Roman" w:eastAsia="Times New Roman" w:hAnsi="Times New Roman"/>
          <w:sz w:val="23"/>
          <w:szCs w:val="23"/>
        </w:rPr>
        <w:t xml:space="preserve">Les questions de consultation, qui relèvent du cinquième cas d'usage, sont recueillies auprès d'utilisateurs du mode aval plutôt qu'auprès des producteurs, leurs besoins étant de nature différente. Chacune est associée non seulement aux passages attendus mais aussi à l'ensemble des valeurs numériques que la réponse doit contenir, afin de permettre le contrôle d'exactitude prévu au titre de H3 et de H5.</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le recensement effectif des questions posées par les agents et par les utilisateurs des publications, qui déterminera la composition définitive du jeu de test et la répartition entre catégories.</w:t>
      </w:r>
    </w:p>
    <w:p>
      <w:pPr>
        <w:pStyle w:val="Heading3"/>
        <w:spacing w:after="120" w:before="220"/>
      </w:pPr>
      <w:r>
        <w:rPr>
          <w:rFonts w:ascii="Times New Roman" w:cs="Times New Roman" w:eastAsia="Times New Roman" w:hAnsi="Times New Roman"/>
          <w:b/>
          <w:bCs/>
          <w:color w:val="2F5496"/>
          <w:sz w:val="22"/>
          <w:szCs w:val="22"/>
        </w:rPr>
        <w:t xml:space="preserve">2.6.3. Les métriques retenues</w:t>
      </w:r>
    </w:p>
    <w:p>
      <w:pPr>
        <w:spacing w:after="140" w:line="320"/>
        <w:ind w:firstLine="360"/>
        <w:jc w:val="both"/>
      </w:pPr>
      <w:r>
        <w:rPr>
          <w:rFonts w:ascii="Times New Roman" w:cs="Times New Roman" w:eastAsia="Times New Roman" w:hAnsi="Times New Roman"/>
          <w:sz w:val="23"/>
          <w:szCs w:val="23"/>
        </w:rPr>
        <w:t xml:space="preserve">Le protocole mesure trois dimensions distinctes, sans agrégation en un score composite, afin de préserver la lisibilité des écarts entre dimensions.</w:t>
      </w:r>
    </w:p>
    <w:p>
      <w:pPr>
        <w:spacing w:after="140" w:line="320"/>
        <w:ind w:firstLine="360"/>
        <w:jc w:val="both"/>
      </w:pPr>
      <w:r>
        <w:rPr>
          <w:rFonts w:ascii="Times New Roman" w:cs="Times New Roman" w:eastAsia="Times New Roman" w:hAnsi="Times New Roman"/>
          <w:sz w:val="23"/>
          <w:szCs w:val="23"/>
        </w:rPr>
        <w:t xml:space="preserve">La qualité de la récupération est mesurée par la précision à K, le rappel à K, le rang réciproque moyen et le gain cumulé actualisé normalisé, calculés pour K égal à 3 et à 5. Le gain cumulé actualisé normalisé constitue la métrique principale de cette dimension, pour les raisons d'attention positionnelle exposées au chapitre 1.</w:t>
      </w:r>
    </w:p>
    <w:p>
      <w:pPr>
        <w:spacing w:after="140" w:line="320"/>
        <w:ind w:firstLine="360"/>
        <w:jc w:val="both"/>
      </w:pPr>
      <w:r>
        <w:rPr>
          <w:rFonts w:ascii="Times New Roman" w:cs="Times New Roman" w:eastAsia="Times New Roman" w:hAnsi="Times New Roman"/>
          <w:sz w:val="23"/>
          <w:szCs w:val="23"/>
        </w:rPr>
        <w:t xml:space="preserve">La qualité de la restitution est mesurée par la fidélité, définie comme la proportion des énoncés de la réponse soutenus par le contexte fourni, et par le taux d'énoncés non soutenus qui en constitue le complément. Deux métriques spécifiques s'y ajoutent, imposées par la règle de citation littérale. L'exactitude numérique mesure la proportion des valeurs chiffrées de la réponse retrouvées à l'identique dans les passages fournis ; elle est calculée automatiquement par appariement des expressions numériques et constitue la métrique la plus directement liée à la crédibilité du système. Le taux d'abstention sur les requêtes hors périmètre mesure enfin la capacité du système à ne pas répondre en l'absence de source pertinente.</w:t>
      </w:r>
    </w:p>
    <w:p>
      <w:pPr>
        <w:spacing w:after="140" w:line="320"/>
        <w:ind w:firstLine="360"/>
        <w:jc w:val="both"/>
      </w:pPr>
      <w:r>
        <w:rPr>
          <w:rFonts w:ascii="Times New Roman" w:cs="Times New Roman" w:eastAsia="Times New Roman" w:hAnsi="Times New Roman"/>
          <w:sz w:val="23"/>
          <w:szCs w:val="23"/>
        </w:rPr>
        <w:t xml:space="preserve">Le gain opérationnel est mesuré par le temps de localisation d'une information, comparé entre recherche manuelle et recherche assistée par le système, sur un sous-ensemble de questions et un échantillon d'agents définis a priori.</w:t>
      </w:r>
    </w:p>
    <w:p>
      <w:pPr>
        <w:spacing w:after="80" w:before="180"/>
        <w:jc w:val="center"/>
      </w:pPr>
      <w:r>
        <w:rPr>
          <w:rFonts w:ascii="Times New Roman" w:cs="Times New Roman" w:eastAsia="Times New Roman" w:hAnsi="Times New Roman"/>
          <w:b/>
          <w:bCs/>
          <w:sz w:val="21"/>
          <w:szCs w:val="21"/>
        </w:rPr>
        <w:t xml:space="preserve">Tableau 2.6 : Synthèse du protocole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Dimension</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Métrique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Ce qu'elle mesure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Precision@K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Pureté du contexte transmis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Recall@K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Exhaustivité de la récupération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MRR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Position du premier passage pertinent</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Récupération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nDCG@K</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Qualité de l'ordonnancement</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Fidélité</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Part des énoncés soutenus par les sources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Taux d'énoncés non soutenus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Part des énoncés sans appui documentaire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Exactitude numérique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Part des valeurs chiffrées retrouvées à l'identique dans les sources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Taux d'abstention hors périmètre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Capacité à ne pas répondre en l'absence de source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Opérationnel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Temps de localisation (mode production)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Gain de temps de l'agent par rapport à la recherche manuelle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Opérationnel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Temps d'obtention d'une réponse (mode consultation)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Gain de temps de l'utilisateur final par rapport à la lecture des publications</w:t>
            </w:r>
          </w:p>
        </w:tc>
      </w:tr>
    </w:tbl>
    <w:p>
      <w:pPr>
        <w:spacing w:after="200" w:before="60"/>
        <w:jc w:val="center"/>
      </w:pPr>
      <w:r>
        <w:rPr>
          <w:rFonts w:ascii="Times New Roman" w:cs="Times New Roman" w:eastAsia="Times New Roman" w:hAnsi="Times New Roman"/>
          <w:i/>
          <w:iCs/>
          <w:sz w:val="18"/>
          <w:szCs w:val="18"/>
        </w:rPr>
        <w:t xml:space="preserve">Source : Auteur, à partir de Es et al. (2024), Gao et al. (2023) et FONKOUA GANKE (2026).</w:t>
      </w:r>
    </w:p>
    <w:p>
      <w:pPr>
        <w:pStyle w:val="Heading3"/>
        <w:spacing w:after="120" w:before="220"/>
      </w:pPr>
      <w:r>
        <w:rPr>
          <w:rFonts w:ascii="Times New Roman" w:cs="Times New Roman" w:eastAsia="Times New Roman" w:hAnsi="Times New Roman"/>
          <w:b/>
          <w:bCs/>
          <w:color w:val="2F5496"/>
          <w:sz w:val="22"/>
          <w:szCs w:val="22"/>
        </w:rPr>
        <w:t xml:space="preserve">2.6.4. Le protocole de mesure du gain opérationnel</w:t>
      </w:r>
    </w:p>
    <w:p>
      <w:pPr>
        <w:spacing w:after="140" w:line="320"/>
        <w:ind w:firstLine="360"/>
        <w:jc w:val="both"/>
      </w:pPr>
      <w:r>
        <w:rPr>
          <w:rFonts w:ascii="Times New Roman" w:cs="Times New Roman" w:eastAsia="Times New Roman" w:hAnsi="Times New Roman"/>
          <w:sz w:val="23"/>
          <w:szCs w:val="23"/>
        </w:rPr>
        <w:t xml:space="preserve">La mesure du gain opérationnel requiert un protocole explicite, faute de quoi elle prêterait à contestation.</w:t>
      </w:r>
    </w:p>
    <w:p>
      <w:pPr>
        <w:spacing w:after="140" w:line="320"/>
        <w:ind w:firstLine="360"/>
        <w:jc w:val="both"/>
      </w:pPr>
      <w:r>
        <w:rPr>
          <w:rFonts w:ascii="Times New Roman" w:cs="Times New Roman" w:eastAsia="Times New Roman" w:hAnsi="Times New Roman"/>
          <w:sz w:val="23"/>
          <w:szCs w:val="23"/>
        </w:rPr>
        <w:t xml:space="preserve">Un sous-ensemble de questions est tiré du jeu de test. Un échantillon d'agents du ministère est réparti en deux groupes. Chaque question est traitée par un groupe en recherche manuelle dans le corpus et par l'autre groupe à l'aide du système, les rôles étant permutés d'une question à l'autre afin de neutraliser l'effet de l'expérience individuelle. Le temps de localisation est chronométré et la réponse fournie est confrontée à la vérité de terrain, une réponse erronée étant comptabilisée comme un échec et non comme un temps.</w:t>
      </w:r>
    </w:p>
    <w:p>
      <w:pPr>
        <w:spacing w:after="140" w:line="320"/>
        <w:ind w:firstLine="360"/>
        <w:jc w:val="both"/>
      </w:pPr>
      <w:r>
        <w:rPr>
          <w:rFonts w:ascii="Times New Roman" w:cs="Times New Roman" w:eastAsia="Times New Roman" w:hAnsi="Times New Roman"/>
          <w:sz w:val="23"/>
          <w:szCs w:val="23"/>
        </w:rPr>
        <w:t xml:space="preserve">La comparaison porte sur le temps médian plutôt que sur la moyenne, la distribution des temps de recherche documentaire étant fortement asymétrique. Les effectifs mobilisables étant réduits, les résultats seront présentés comme indicatifs et non comme statistiquement représentatifs, précision qu'il convient d'assumer explicitement plutôt que de laisser le jury la formuler.</w:t>
      </w:r>
    </w:p>
    <w:p>
      <w:pPr>
        <w:spacing w:after="140" w:line="320"/>
        <w:ind w:firstLine="360"/>
        <w:jc w:val="both"/>
      </w:pPr>
      <w:r>
        <w:rPr>
          <w:rFonts w:ascii="Times New Roman" w:cs="Times New Roman" w:eastAsia="Times New Roman" w:hAnsi="Times New Roman"/>
          <w:sz w:val="23"/>
          <w:szCs w:val="23"/>
        </w:rPr>
        <w:t xml:space="preserve">Un protocole symétrique est appliqué au mode consultation, avec un échantillon distinct d'utilisateurs finaux et un sous-ensemble de questions de synthèse. La différence tient au critère de réussite : outre le temps, la réponse fournie est contrôlée sur son exactitude numérique et sur la présence effective des références, une réponse exacte mais non sourcée étant comptabilisée comme un échec partiel.</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taille de l'échantillon d'agents effectivement mobilisable, nombre de questions retenues et modalités pratiques de la séance de mesure, à arrêter avec la structure d'accueil.</w:t>
      </w:r>
    </w:p>
    <w:p>
      <w:pPr>
        <w:pStyle w:val="Heading3"/>
        <w:spacing w:after="120" w:before="220"/>
      </w:pPr>
      <w:r>
        <w:rPr>
          <w:rFonts w:ascii="Times New Roman" w:cs="Times New Roman" w:eastAsia="Times New Roman" w:hAnsi="Times New Roman"/>
          <w:b/>
          <w:bCs/>
          <w:color w:val="2F5496"/>
          <w:sz w:val="22"/>
          <w:szCs w:val="22"/>
        </w:rPr>
        <w:t xml:space="preserve">2.6.5. Les critères de validation des hypothèses</w:t>
      </w:r>
    </w:p>
    <w:p>
      <w:pPr>
        <w:spacing w:after="140" w:line="320"/>
        <w:ind w:firstLine="360"/>
        <w:jc w:val="both"/>
      </w:pPr>
      <w:r>
        <w:rPr>
          <w:rFonts w:ascii="Times New Roman" w:cs="Times New Roman" w:eastAsia="Times New Roman" w:hAnsi="Times New Roman"/>
          <w:sz w:val="23"/>
          <w:szCs w:val="23"/>
        </w:rPr>
        <w:t xml:space="preserve">Chaque hypothèse est associée à un critère de validation quantifié, fixé avant l'expérimentation. Ce dispositif garantit l'objectivité de l'interprétation et limite le risque de justification a posteriori.</w:t>
      </w:r>
    </w:p>
    <w:p>
      <w:pPr>
        <w:spacing w:after="80" w:before="180"/>
        <w:jc w:val="center"/>
      </w:pPr>
      <w:r>
        <w:rPr>
          <w:rFonts w:ascii="Times New Roman" w:cs="Times New Roman" w:eastAsia="Times New Roman" w:hAnsi="Times New Roman"/>
          <w:b/>
          <w:bCs/>
          <w:sz w:val="21"/>
          <w:szCs w:val="21"/>
        </w:rPr>
        <w:t xml:space="preserve">Tableau 2.7 : Critères de validation des hypothèses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Hypothèse</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Configurations comparées</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Métriques</w:t>
            </w:r>
          </w:p>
        </w:tc>
        <w:tc>
          <w:tcPr>
            <w:tcW w:type="dxa" w:w="234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Critère de validation</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H1</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C3 contre C1 et C2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nDCG@5, MRR</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Gain d'au moins 5 points de nDCG@5 et de MRR de C3 sur la meilleure de C1 et C2</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H2</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C4 contre C3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nDCG@5, Precision@3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Gain d'au moins 3 points de nDCG@5 et de Precision@3 de C4 sur C3</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H3</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C5 contre C0, et C5 contre C4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Fidélité, taux d'énoncés non soutenus, exactitude numérique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Taux d'énoncés non soutenus inférieur de plus de 20 points en C5 par rapport à C0, fidélité supérieure à 0,80 et exactitude numérique supérieure à 0,95 en C5</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H4</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Mode production, recherche assistée contre recherche manuelle</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Temps médian de localisation</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Réduction d'au moins 50 % du temps médian</w:t>
            </w:r>
          </w:p>
        </w:tc>
      </w:tr>
      <w:tr>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H5</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Mode consultation, système contre lecture des publications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Temps médian, exactitude et présence des références</w:t>
            </w:r>
          </w:p>
        </w:tc>
        <w:tc>
          <w:tcPr>
            <w:tcW w:type="dxa" w:w="234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Réduction d'au moins 50 % du temps médian et taux de réponses exactes et sourcées supérieur à 0,85</w:t>
            </w:r>
          </w:p>
        </w:tc>
      </w:tr>
    </w:tbl>
    <w:p>
      <w:pPr>
        <w:spacing w:after="200" w:before="60"/>
        <w:jc w:val="center"/>
      </w:pPr>
      <w:r>
        <w:rPr>
          <w:rFonts w:ascii="Times New Roman" w:cs="Times New Roman" w:eastAsia="Times New Roman" w:hAnsi="Times New Roman"/>
          <w:i/>
          <w:iCs/>
          <w:sz w:val="18"/>
          <w:szCs w:val="18"/>
        </w:rPr>
        <w:t xml:space="preserve">Source : Auteur.</w:t>
      </w:r>
    </w:p>
    <w:p>
      <w:pPr>
        <w:spacing w:after="140" w:line="320"/>
        <w:ind w:firstLine="360"/>
        <w:jc w:val="both"/>
      </w:pPr>
      <w:r>
        <w:rPr>
          <w:rFonts w:ascii="Times New Roman" w:cs="Times New Roman" w:eastAsia="Times New Roman" w:hAnsi="Times New Roman"/>
          <w:sz w:val="23"/>
          <w:szCs w:val="23"/>
        </w:rPr>
        <w:t xml:space="preserve">Une hypothèse dont le critère n'est atteint que sur une partie des métriques ou sur une partie des catégories de requêtes sera déclarée partiellement validée, avec analyse des cas d'échec. Cette gradation, retenue par FONKOUA GANKE (2026), est préférable à un verdict binaire qui masquerait les enseignements les plus utiles du travail.</w:t>
      </w:r>
    </w:p>
    <w:p>
      <w:pPr>
        <w:pStyle w:val="Heading2"/>
        <w:spacing w:after="140" w:before="280"/>
      </w:pPr>
      <w:r>
        <w:rPr>
          <w:rFonts w:ascii="Times New Roman" w:cs="Times New Roman" w:eastAsia="Times New Roman" w:hAnsi="Times New Roman"/>
          <w:b/>
          <w:bCs/>
          <w:color w:val="2F5496"/>
          <w:sz w:val="24"/>
          <w:szCs w:val="24"/>
        </w:rPr>
        <w:t xml:space="preserve">Conclusion du chapitre</w:t>
      </w:r>
    </w:p>
    <w:p>
      <w:pPr>
        <w:spacing w:after="140" w:line="320"/>
        <w:ind w:firstLine="360"/>
        <w:jc w:val="both"/>
      </w:pPr>
      <w:r>
        <w:rPr>
          <w:rFonts w:ascii="Times New Roman" w:cs="Times New Roman" w:eastAsia="Times New Roman" w:hAnsi="Times New Roman"/>
          <w:sz w:val="23"/>
          <w:szCs w:val="23"/>
        </w:rPr>
        <w:t xml:space="preserve">Ce chapitre a présenté le terrain de l'étude et traduit la problématique en spécifications de recherche. L'analyse des deux processus de production a montré qu'ils diffèrent par leur finalité et par leur structure mais convergent sur leur point de charge : l'exploitation d'un patrimoine documentaire dispersé, terminologiquement hétérogène et massivement tabulaire, dont l'interrogation transversale n'est aujourd'hui outillée par aucune ressource adaptée.</w:t>
      </w:r>
    </w:p>
    <w:p>
      <w:pPr>
        <w:spacing w:after="140" w:line="320"/>
        <w:ind w:firstLine="360"/>
        <w:jc w:val="both"/>
      </w:pPr>
      <w:r>
        <w:rPr>
          <w:rFonts w:ascii="Times New Roman" w:cs="Times New Roman" w:eastAsia="Times New Roman" w:hAnsi="Times New Roman"/>
          <w:sz w:val="23"/>
          <w:szCs w:val="23"/>
        </w:rPr>
        <w:t xml:space="preserve">Ce diagnostic a conduit à retenir deux modes d'usage servis par une architecture unique, le mode production destiné aux agents et interrogeant l'ensemble du corpus, et le mode consultation destiné aux décideurs et restreint aux publications éditées, la séparation étant portée par une métadonnée de statut de diffusion assurant à la fois le filtrage et le cloisonnement. Il a été traduit en huit besoins fonctionnels et cinq cas d'usage, qui constituent le cahier des charges du système. La démarche de recherche par conception d'artefact a été retenue et déclinée en cinq phases. Le corpus d'étude a été délimité, en soulignant que l'inclusion de documents internes impose un déploiement entièrement local. Le protocole d'évaluation a enfin été arrêté : six configurations comparées, un jeu de test fondé sur les questions réellement posées par les agents et par les utilisateurs des publications, trois dimensions de mesure sans agrégation composite dont une métrique d'exactitude numérique imposée par la règle de citation littérale, et des critères de validation quantifiés fixés a priori.</w:t>
      </w:r>
    </w:p>
    <w:p>
      <w:pPr>
        <w:spacing w:after="140" w:line="320"/>
        <w:ind w:firstLine="360"/>
        <w:jc w:val="both"/>
      </w:pPr>
      <w:r>
        <w:rPr>
          <w:rFonts w:ascii="Times New Roman" w:cs="Times New Roman" w:eastAsia="Times New Roman" w:hAnsi="Times New Roman"/>
          <w:sz w:val="23"/>
          <w:szCs w:val="23"/>
        </w:rPr>
        <w:t xml:space="preserve">Le chapitre suivant traduit ces spécifications en choix techniques et présente la conception ainsi que l'implémentation du système, depuis l'ingestion des documents jusqu'à la restitution sourcée.</w:t>
      </w:r>
    </w:p>
    <w:p>
      <w:r>
        <w:br w:type="page"/>
      </w:r>
    </w:p>
    <w:p>
      <w:pPr>
        <w:pStyle w:val="Heading1"/>
        <w:spacing w:after="200" w:before="360"/>
      </w:pPr>
      <w:r>
        <w:rPr>
          <w:rFonts w:ascii="Times New Roman" w:cs="Times New Roman" w:eastAsia="Times New Roman" w:hAnsi="Times New Roman"/>
          <w:b/>
          <w:bCs/>
          <w:color w:val="1F3864"/>
          <w:sz w:val="28"/>
          <w:szCs w:val="28"/>
        </w:rPr>
        <w:t xml:space="preserve">CHAPITRE 3. CONCEPTION ET IMPLÉMENTATION DU SYSTÈME</w:t>
      </w:r>
    </w:p>
    <w:p>
      <w:pPr>
        <w:spacing w:after="200" w:line="300"/>
        <w:ind w:left="360" w:right="360"/>
        <w:jc w:val="both"/>
      </w:pPr>
      <w:r>
        <w:rPr>
          <w:rFonts w:ascii="Times New Roman" w:cs="Times New Roman" w:eastAsia="Times New Roman" w:hAnsi="Times New Roman"/>
          <w:i/>
          <w:iCs/>
          <w:sz w:val="22"/>
          <w:szCs w:val="22"/>
        </w:rPr>
        <w:t xml:space="preserve">Ce chapitre traduit les spécifications établies au chapitre précédent en choix techniques et en composants opérationnels. Il présente d'abord l'architecture générale du système et l'environnement de déploiement, en justifiant chaque choix au regard des contraintes matérielles et de confidentialité. Il détaille ensuite la chaîne d'ingestion des documents, puis les deux index et leur fusion, avant d'exposer la construction du contexte, la règle de citation littérale et les garde-fous associés. Il présente enfin le prototype, ses deux modes et son interface.</w:t>
      </w:r>
    </w:p>
    <w:p>
      <w:pPr>
        <w:pStyle w:val="Heading2"/>
        <w:spacing w:after="140" w:before="280"/>
      </w:pPr>
      <w:r>
        <w:rPr>
          <w:rFonts w:ascii="Times New Roman" w:cs="Times New Roman" w:eastAsia="Times New Roman" w:hAnsi="Times New Roman"/>
          <w:b/>
          <w:bCs/>
          <w:color w:val="2F5496"/>
          <w:sz w:val="24"/>
          <w:szCs w:val="24"/>
        </w:rPr>
        <w:t xml:space="preserve">3.1. Architecture générale et environnement technique</w:t>
      </w:r>
    </w:p>
    <w:p>
      <w:pPr>
        <w:pStyle w:val="Heading3"/>
        <w:spacing w:after="120" w:before="220"/>
      </w:pPr>
      <w:r>
        <w:rPr>
          <w:rFonts w:ascii="Times New Roman" w:cs="Times New Roman" w:eastAsia="Times New Roman" w:hAnsi="Times New Roman"/>
          <w:b/>
          <w:bCs/>
          <w:color w:val="2F5496"/>
          <w:sz w:val="22"/>
          <w:szCs w:val="22"/>
        </w:rPr>
        <w:t xml:space="preserve">3.1.1. Vue d'ensemble</w:t>
      </w:r>
    </w:p>
    <w:p>
      <w:pPr>
        <w:spacing w:after="140" w:line="320"/>
        <w:ind w:firstLine="360"/>
        <w:jc w:val="both"/>
      </w:pPr>
      <w:r>
        <w:rPr>
          <w:rFonts w:ascii="Times New Roman" w:cs="Times New Roman" w:eastAsia="Times New Roman" w:hAnsi="Times New Roman"/>
          <w:sz w:val="23"/>
          <w:szCs w:val="23"/>
        </w:rPr>
        <w:t xml:space="preserve">Le système s'organise en deux phases indépendantes, communicant par l'intermédiaire d'une base de données unique qui assure la persistance des données indexées.</w:t>
      </w:r>
    </w:p>
    <w:p>
      <w:pPr>
        <w:spacing w:after="140" w:line="320"/>
        <w:ind w:firstLine="360"/>
        <w:jc w:val="both"/>
      </w:pPr>
      <w:r>
        <w:rPr>
          <w:rFonts w:ascii="Times New Roman" w:cs="Times New Roman" w:eastAsia="Times New Roman" w:hAnsi="Times New Roman"/>
          <w:sz w:val="23"/>
          <w:szCs w:val="23"/>
        </w:rPr>
        <w:t xml:space="preserve">La phase d'indexation, dite hors ligne, transforme les documents du patrimoine en segments indexés. Elle est exécutée une fois par document, puis à chaque enrichissement du corpus. Elle enchaîne l'extraction, le nettoyage, la segmentation, l'extraction des métadonnées, l'encodage vectoriel et le stockage.</w:t>
      </w:r>
    </w:p>
    <w:p>
      <w:pPr>
        <w:spacing w:after="140" w:line="320"/>
        <w:ind w:firstLine="360"/>
        <w:jc w:val="both"/>
      </w:pPr>
      <w:r>
        <w:rPr>
          <w:rFonts w:ascii="Times New Roman" w:cs="Times New Roman" w:eastAsia="Times New Roman" w:hAnsi="Times New Roman"/>
          <w:sz w:val="23"/>
          <w:szCs w:val="23"/>
        </w:rPr>
        <w:t xml:space="preserve">La phase d'interrogation, dite en ligne, traite chaque requête utilisateur. Elle enchaîne l'analyse de la requête, la récupération lexicale et la récupération sémantique conduites en parallèle, la fusion des deux classements, le réordonnancement, la construction du contexte, la restitution contrainte et le contrôle de la réponse produite.</w:t>
      </w:r>
    </w:p>
    <w:p>
      <w:pPr>
        <w:spacing w:after="140" w:line="320"/>
        <w:ind w:firstLine="360"/>
        <w:jc w:val="both"/>
      </w:pPr>
      <w:r>
        <w:rPr>
          <w:rFonts w:ascii="Times New Roman" w:cs="Times New Roman" w:eastAsia="Times New Roman" w:hAnsi="Times New Roman"/>
          <w:sz w:val="23"/>
          <w:szCs w:val="23"/>
        </w:rPr>
        <w:t xml:space="preserve">Cette séparation présente un avantage opérationnel décisif dans le contexte du ministère. L'indexation, coûteuse en temps de calcul, est réalisée en dehors des périodes de production. L'interrogation, seule opération que l'utilisateur perçoit, ne supporte que le coût de la récupération et de la restitution.</w:t>
      </w:r>
    </w:p>
    <w:p>
      <w:pPr>
        <w:spacing w:after="140" w:line="320"/>
        <w:ind w:firstLine="360"/>
        <w:jc w:val="both"/>
      </w:pPr>
      <w:r>
        <w:rPr>
          <w:rFonts w:ascii="Times New Roman" w:cs="Times New Roman" w:eastAsia="Times New Roman" w:hAnsi="Times New Roman"/>
          <w:sz w:val="23"/>
          <w:szCs w:val="23"/>
        </w:rPr>
        <w:t xml:space="preserve">Les deux modes d'usage définis au chapitre 2 ne donnent pas lieu à deux systèmes ni à deux index. Ils correspondent à deux profils d'accès appliqués au même index, la sélection s'opérant par la métadonnée de statut de diffusion au moment de la récupération.</w:t>
      </w:r>
    </w:p>
    <w:p>
      <w:pPr>
        <w:spacing w:after="80" w:before="180"/>
        <w:jc w:val="center"/>
      </w:pPr>
      <w:r>
        <w:rPr>
          <w:rFonts w:ascii="Times New Roman" w:cs="Times New Roman" w:eastAsia="Times New Roman" w:hAnsi="Times New Roman"/>
          <w:b/>
          <w:bCs/>
          <w:sz w:val="21"/>
          <w:szCs w:val="21"/>
        </w:rPr>
        <w:t xml:space="preserve">Tableau 3.1 : Les composants du système et leur fonction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Composant</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Phase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Fonction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Extracteur documentaire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Indexation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Extraire le texte et les tableaux des documents sources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Module de segmentation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Indexation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Découper les documents en segments et associer les métadonnées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Modèle d'embeddings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Indexation et 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Encoder segments et requêtes en vecteurs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Base de données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Les deux</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Stocker segments, métadonnées, index lexical et vecteurs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Moteur lexical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Classer les segments par correspondance pondérée des termes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Moteur sémantique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Classer les segments par similarité vectorielle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Module de fusion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Combiner les deux classements en un classement unique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Module de réordonnancement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Reclasser finement les candidats retenus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Module de restitution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Produire la réponse sourcée sous contrainte de citation littérale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Module de contrôle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Vérifier les valeurs numériques et déclencher l'abstention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Interface utilisateur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Interrogation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Recueillir la requête et présenter la réponse et ses sources</w:t>
            </w:r>
          </w:p>
        </w:tc>
      </w:tr>
    </w:tbl>
    <w:p>
      <w:pPr>
        <w:spacing w:after="200" w:before="60"/>
        <w:jc w:val="center"/>
      </w:pPr>
      <w:r>
        <w:rPr>
          <w:rFonts w:ascii="Times New Roman" w:cs="Times New Roman" w:eastAsia="Times New Roman" w:hAnsi="Times New Roman"/>
          <w:i/>
          <w:iCs/>
          <w:sz w:val="18"/>
          <w:szCs w:val="18"/>
        </w:rPr>
        <w:t xml:space="preserve">Source : Auteur.</w:t>
      </w:r>
    </w:p>
    <w:p>
      <w:pPr>
        <w:spacing w:after="60" w:before="60"/>
        <w:jc w:val="center"/>
      </w:pPr>
      <w:r>
        <w:drawing>
          <wp:inline distT="0" distB="0" distL="0" distR="0">
            <wp:extent cx="5943600" cy="2069471"/>
            <wp:effectExtent l="0" t="0" r="0" b="0"/>
            <wp:docPr id="20" nam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3.1"/>
                    <pic:cNvPicPr/>
                  </pic:nvPicPr>
                  <pic:blipFill>
                    <a:blip r:embed="rId20"/>
                    <a:stretch>
                      <a:fillRect/>
                    </a:stretch>
                  </pic:blipFill>
                  <pic:spPr>
                    <a:xfrm>
                      <a:off x="0" y="0"/>
                      <a:ext cx="5943600" cy="2069471"/>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Source : Auteur.</w:t>
      </w:r>
    </w:p>
    <w:p>
      <w:pPr>
        <w:pStyle w:val="Heading3"/>
        <w:spacing w:after="120" w:before="220"/>
      </w:pPr>
      <w:r>
        <w:rPr>
          <w:rFonts w:ascii="Times New Roman" w:cs="Times New Roman" w:eastAsia="Times New Roman" w:hAnsi="Times New Roman"/>
          <w:b/>
          <w:bCs/>
          <w:color w:val="2F5496"/>
          <w:sz w:val="22"/>
          <w:szCs w:val="22"/>
        </w:rPr>
        <w:t xml:space="preserve">3.1.2. La contrainte de déploiement local</w:t>
      </w:r>
    </w:p>
    <w:p>
      <w:pPr>
        <w:spacing w:after="140" w:line="320"/>
        <w:ind w:firstLine="360"/>
        <w:jc w:val="both"/>
      </w:pPr>
      <w:r>
        <w:rPr>
          <w:rFonts w:ascii="Times New Roman" w:cs="Times New Roman" w:eastAsia="Times New Roman" w:hAnsi="Times New Roman"/>
          <w:sz w:val="23"/>
          <w:szCs w:val="23"/>
        </w:rPr>
        <w:t xml:space="preserve">Le corpus comprend des documents internes non publiés. Cette caractéristique impose un déploiement entièrement local, sans transmission de contenu vers un service externe, quelle que soit la qualité de ce service. La contrainte n'est pas technique mais institutionnelle : elle relève de la confidentialité des documents administratifs en cours de validation.</w:t>
      </w:r>
    </w:p>
    <w:p>
      <w:pPr>
        <w:spacing w:after="140" w:line="320"/>
        <w:ind w:firstLine="360"/>
        <w:jc w:val="both"/>
      </w:pPr>
      <w:r>
        <w:rPr>
          <w:rFonts w:ascii="Times New Roman" w:cs="Times New Roman" w:eastAsia="Times New Roman" w:hAnsi="Times New Roman"/>
          <w:sz w:val="23"/>
          <w:szCs w:val="23"/>
        </w:rPr>
        <w:t xml:space="preserve">Cette contrainte a trois conséquences. Elle exclut le recours aux interfaces de programmation des fournisseurs de modèles, plus performantes mais incompatibles avec l'exigence posée. Elle impose de retenir des modèles dont l'empreinte mémoire est compatible avec un poste de travail ordinaire, sans processeur graphique dédié. Elle conduit enfin à privilégier des composants libres, condition de la reproductibilité du dispositif par le ministère après le départ du stagiaire.</w:t>
      </w:r>
    </w:p>
    <w:p>
      <w:pPr>
        <w:spacing w:after="140" w:line="320"/>
        <w:ind w:firstLine="360"/>
        <w:jc w:val="both"/>
      </w:pPr>
      <w:r>
        <w:rPr>
          <w:rFonts w:ascii="Times New Roman" w:cs="Times New Roman" w:eastAsia="Times New Roman" w:hAnsi="Times New Roman"/>
          <w:sz w:val="23"/>
          <w:szCs w:val="23"/>
        </w:rPr>
        <w:t xml:space="preserve">Ces trois conséquences convergent avec les choix opérés par MABIALA (2026) et FONKOUA GANKE (2026) dans un contexte matériel comparable, ce qui conforte leur pertinence sans dispenser de les justifier composant par composant.</w:t>
      </w:r>
    </w:p>
    <w:p>
      <w:pPr>
        <w:pStyle w:val="Heading3"/>
        <w:spacing w:after="120" w:before="220"/>
      </w:pPr>
      <w:r>
        <w:rPr>
          <w:rFonts w:ascii="Times New Roman" w:cs="Times New Roman" w:eastAsia="Times New Roman" w:hAnsi="Times New Roman"/>
          <w:b/>
          <w:bCs/>
          <w:color w:val="2F5496"/>
          <w:sz w:val="22"/>
          <w:szCs w:val="22"/>
        </w:rPr>
        <w:t xml:space="preserve">3.1.3. Les choix techniques</w:t>
      </w:r>
    </w:p>
    <w:p>
      <w:pPr>
        <w:spacing w:after="140" w:line="320"/>
        <w:ind w:firstLine="360"/>
        <w:jc w:val="both"/>
      </w:pPr>
      <w:r>
        <w:rPr>
          <w:rFonts w:ascii="Times New Roman" w:cs="Times New Roman" w:eastAsia="Times New Roman" w:hAnsi="Times New Roman"/>
          <w:sz w:val="23"/>
          <w:szCs w:val="23"/>
        </w:rPr>
        <w:t xml:space="preserve">La base de données retenue est PostgreSQL, enrichie d'une extension de recherche vectorielle. Ce choix se justifie par la nature composite des interrogations du système, qui combinent systématiquement un filtre attributaire sur les métadonnées et une recherche par similarité. PostgreSQL traite les deux dans une même instruction, là où une base purement vectorielle imposerait de les enchaîner. Il offre par ailleurs une persistance native entre sessions, dispose d'un index de texte intégral utilisable pour la récupération lexicale, et constitue une technologie répandue dans les administrations, ce qui facilite la reprise en maintenance.</w:t>
      </w:r>
    </w:p>
    <w:p>
      <w:pPr>
        <w:spacing w:after="140" w:line="320"/>
        <w:ind w:firstLine="360"/>
        <w:jc w:val="both"/>
      </w:pPr>
      <w:r>
        <w:rPr>
          <w:rFonts w:ascii="Times New Roman" w:cs="Times New Roman" w:eastAsia="Times New Roman" w:hAnsi="Times New Roman"/>
          <w:sz w:val="23"/>
          <w:szCs w:val="23"/>
        </w:rPr>
        <w:t xml:space="preserve">Le modèle d'embeddings doit satisfaire trois exigences : traiter le français, langue dominante du corpus, fonctionner sans processeur graphique, et produire des représentations de dimension compatible avec le volume du corpus. Un modèle multilingue de taille réduite répond à ces exigences. MABIALA (2026) retient un modèle de 384 dimensions, FONKOUA GANKE (2026) un modèle de 1024 dimensions ; le premier privilégie la légèreté, le second la finesse de représentation. L'arbitrage sera tranché empiriquement au chapitre 4, les deux options étant compatibles avec le matériel disponible.</w:t>
      </w:r>
    </w:p>
    <w:p>
      <w:pPr>
        <w:spacing w:after="140" w:line="320"/>
        <w:ind w:firstLine="360"/>
        <w:jc w:val="both"/>
      </w:pPr>
      <w:r>
        <w:rPr>
          <w:rFonts w:ascii="Times New Roman" w:cs="Times New Roman" w:eastAsia="Times New Roman" w:hAnsi="Times New Roman"/>
          <w:sz w:val="23"/>
          <w:szCs w:val="23"/>
        </w:rPr>
        <w:t xml:space="preserve">Le modèle de langage, mobilisé pour la seule restitution, est déployé localement au moyen d'un gestionnaire d'exécution de modèles offrant une interface de programmation stable et une gestion configurable de la mémoire. Un modèle de sept à huit milliards de paramètres constitue le point d'équilibre pour un poste doté de seize gigaoctets de mémoire vive. Il convient de souligner que la charge fonctionnelle pesant sur ce modèle est ici volontairement réduite : il n'a pas à connaître le domaine, seulement à articuler des passages qui lui sont fournis, sous des contraintes strictes. Cette réduction du rôle du générateur est un choix de conception et non un pis-aller.</w:t>
      </w:r>
    </w:p>
    <w:p>
      <w:pPr>
        <w:spacing w:after="140" w:line="320"/>
        <w:ind w:firstLine="360"/>
        <w:jc w:val="both"/>
      </w:pPr>
      <w:r>
        <w:rPr>
          <w:rFonts w:ascii="Times New Roman" w:cs="Times New Roman" w:eastAsia="Times New Roman" w:hAnsi="Times New Roman"/>
          <w:sz w:val="23"/>
          <w:szCs w:val="23"/>
        </w:rPr>
        <w:t xml:space="preserve">L'interface est développée avec un framework permettant de construire une application web en Python, sans compétence en développement web. Ce critère est déterminant pour la pérennité du dispositif : l'interface doit pouvoir être ajustée par les agents du ministère eux-mêmes.</w:t>
      </w:r>
    </w:p>
    <w:p>
      <w:pPr>
        <w:spacing w:after="80" w:before="180"/>
        <w:jc w:val="center"/>
      </w:pPr>
      <w:r>
        <w:rPr>
          <w:rFonts w:ascii="Times New Roman" w:cs="Times New Roman" w:eastAsia="Times New Roman" w:hAnsi="Times New Roman"/>
          <w:b/>
          <w:bCs/>
          <w:sz w:val="21"/>
          <w:szCs w:val="21"/>
        </w:rPr>
        <w:t xml:space="preserve">Tableau 3.2 : Environnement technique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Composante</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Choix retenu</w:t>
            </w:r>
          </w:p>
        </w:tc>
        <w:tc>
          <w:tcPr>
            <w:tcW w:type="dxa" w:w="3120"/>
            <w:shd w:fill="D9E2F3"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17"/>
                <w:szCs w:val="17"/>
              </w:rPr>
              <w:t xml:space="preserve">Justification principale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Système d'exploitation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COMPLÉTER]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Configuration effective des postes du ministère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Processeur et mémoire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COMPLÉTER]</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Contrainte matérielle réelle, sans processeur graphique dédié</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Base de données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PostgreSQL avec extension vectorielle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Filtre attributaire et recherche vectorielle en une instruction</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Index lexical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Recherche de texte intégral de PostgreSQL</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Évite un moteur d'indexation supplémentaire à administrer</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Modèle d'embeddings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[À ARBITRER au chapitre 4]</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Traitement du français, exécution sans processeur graphique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Modèle de langage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Modèle local de 7 à 8 milliards de paramètres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Compatible avec 16 Go de mémoire vive, déploiement local</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Gestionnaire d'exécution</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Ollama</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Interface stable, installation simple, gestion mémoire configurable</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Interface</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Streamlit</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Application web en Python pur, maintenable par des non-développeurs</w:t>
            </w:r>
          </w:p>
        </w:tc>
      </w:tr>
      <w:tr>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Exports</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python-docx et une bibliothèque de génération PDF</w:t>
            </w:r>
          </w:p>
        </w:tc>
        <w:tc>
          <w:tcPr>
            <w:tcW w:type="dxa" w:w="3120"/>
            <w:tcMar>
              <w:top w:type="dxa" w:w="60"/>
              <w:left w:type="dxa" w:w="90"/>
              <w:bottom w:type="dxa" w:w="60"/>
              <w:right w:type="dxa" w:w="90"/>
            </w:tcMar>
          </w:tcPr>
          <w:p>
            <w:pPr>
              <w:spacing w:after="0" w:line="240"/>
            </w:pPr>
            <w:r>
              <w:rPr>
                <w:rFonts w:ascii="Times New Roman" w:cs="Times New Roman" w:eastAsia="Times New Roman" w:hAnsi="Times New Roman"/>
                <w:b w:val="false"/>
                <w:bCs w:val="false"/>
                <w:sz w:val="17"/>
                <w:szCs w:val="17"/>
              </w:rPr>
              <w:t xml:space="preserve">Restitution aux normes documentaires du ministère</w:t>
            </w:r>
          </w:p>
        </w:tc>
      </w:tr>
    </w:tbl>
    <w:p>
      <w:pPr>
        <w:spacing w:after="200" w:before="60"/>
        <w:jc w:val="center"/>
      </w:pPr>
      <w:r>
        <w:rPr>
          <w:rFonts w:ascii="Times New Roman" w:cs="Times New Roman" w:eastAsia="Times New Roman" w:hAnsi="Times New Roman"/>
          <w:i/>
          <w:iCs/>
          <w:sz w:val="18"/>
          <w:szCs w:val="18"/>
        </w:rPr>
        <w:t xml:space="preserve">Source : Auteur.</w:t>
      </w:r>
    </w:p>
    <w:p>
      <w:pPr>
        <w:pStyle w:val="Heading2"/>
        <w:spacing w:after="140" w:before="280"/>
      </w:pPr>
      <w:r>
        <w:rPr>
          <w:rFonts w:ascii="Times New Roman" w:cs="Times New Roman" w:eastAsia="Times New Roman" w:hAnsi="Times New Roman"/>
          <w:b/>
          <w:bCs/>
          <w:color w:val="2F5496"/>
          <w:sz w:val="24"/>
          <w:szCs w:val="24"/>
        </w:rPr>
        <w:t xml:space="preserve">3.2. Ingestion : extraction, nettoyage, segmentation et métadonnées</w:t>
      </w:r>
    </w:p>
    <w:p>
      <w:pPr>
        <w:pStyle w:val="Heading3"/>
        <w:spacing w:after="120" w:before="220"/>
      </w:pPr>
      <w:r>
        <w:rPr>
          <w:rFonts w:ascii="Times New Roman" w:cs="Times New Roman" w:eastAsia="Times New Roman" w:hAnsi="Times New Roman"/>
          <w:b/>
          <w:bCs/>
          <w:color w:val="2F5496"/>
          <w:sz w:val="22"/>
          <w:szCs w:val="22"/>
        </w:rPr>
        <w:t xml:space="preserve">3.2.1. L'extraction et le traitement des tableaux</w:t>
      </w:r>
    </w:p>
    <w:p>
      <w:pPr>
        <w:spacing w:after="140" w:line="320"/>
        <w:ind w:firstLine="360"/>
        <w:jc w:val="both"/>
      </w:pPr>
      <w:r>
        <w:rPr>
          <w:rFonts w:ascii="Times New Roman" w:cs="Times New Roman" w:eastAsia="Times New Roman" w:hAnsi="Times New Roman"/>
          <w:sz w:val="23"/>
          <w:szCs w:val="23"/>
        </w:rPr>
        <w:t xml:space="preserve">L'extraction constitue l'étape la plus déterminante de la chaîne, et la plus spécifique au corpus traité. Une extraction défaillante compromet définitivement la qualité du système, sans qu'aucun raffinement ultérieur de la récupération ne puisse y remédier.</w:t>
      </w:r>
    </w:p>
    <w:p>
      <w:pPr>
        <w:spacing w:after="140" w:line="320"/>
        <w:ind w:firstLine="360"/>
        <w:jc w:val="both"/>
      </w:pPr>
      <w:r>
        <w:rPr>
          <w:rFonts w:ascii="Times New Roman" w:cs="Times New Roman" w:eastAsia="Times New Roman" w:hAnsi="Times New Roman"/>
          <w:sz w:val="23"/>
          <w:szCs w:val="23"/>
        </w:rPr>
        <w:t xml:space="preserve">Le corpus du MINPMEESA présente à cet égard une difficulté que ne rencontrent pas les corpus traités par les travaux antérieurs : la part de l'information portée par des tableaux y est prépondérante. Un effectif de petites et moyennes entreprises par région, une répartition des unités de production artisanale par branche, un taux d'exécution budgétaire par action figurent dans des cellules et non dans des phrases.</w:t>
      </w:r>
    </w:p>
    <w:p>
      <w:pPr>
        <w:spacing w:after="140" w:line="320"/>
        <w:ind w:firstLine="360"/>
        <w:jc w:val="both"/>
      </w:pPr>
      <w:r>
        <w:rPr>
          <w:rFonts w:ascii="Times New Roman" w:cs="Times New Roman" w:eastAsia="Times New Roman" w:hAnsi="Times New Roman"/>
          <w:sz w:val="23"/>
          <w:szCs w:val="23"/>
        </w:rPr>
        <w:t xml:space="preserve">Or une extraction naïve détruit cette information. Un tableau extrait comme du texte courant produit une suite de valeurs détachées de leurs en-têtes de ligne et de colonne, dont le sens est perdu. Un segment contenant la valeur 72 508 sans l'indication qu'il s'agit d'unités de production artisanale enregistrées au titre d'un exercice donné est non seulement inutile mais dangereux, puisqu'il peut être récupéré et présenté hors de son contexte.</w:t>
      </w:r>
    </w:p>
    <w:p>
      <w:pPr>
        <w:spacing w:after="140" w:line="320"/>
        <w:ind w:firstLine="360"/>
        <w:jc w:val="both"/>
      </w:pPr>
      <w:r>
        <w:rPr>
          <w:rFonts w:ascii="Times New Roman" w:cs="Times New Roman" w:eastAsia="Times New Roman" w:hAnsi="Times New Roman"/>
          <w:sz w:val="23"/>
          <w:szCs w:val="23"/>
        </w:rPr>
        <w:t xml:space="preserve">L'extraction procède en conséquence en deux passes. La première détecte les structures tabulaires et les extrait comme telles, en conservant l'association entre chaque valeur et ses en-têtes. La seconde extrait le texte courant des zones non tabulaires. En cas d'échec de la détection tabulaire sur une page, un mécanisme de repli extrait le texte brut afin qu'aucun contenu ne soit perdu, la page concernée étant signalée pour contrôle manuel.</w:t>
      </w:r>
    </w:p>
    <w:p>
      <w:pPr>
        <w:spacing w:after="140" w:line="320"/>
        <w:ind w:firstLine="360"/>
        <w:jc w:val="both"/>
      </w:pPr>
      <w:r>
        <w:rPr>
          <w:rFonts w:ascii="Times New Roman" w:cs="Times New Roman" w:eastAsia="Times New Roman" w:hAnsi="Times New Roman"/>
          <w:sz w:val="23"/>
          <w:szCs w:val="23"/>
        </w:rPr>
        <w:t xml:space="preserve">Chaque tableau détecté est ensuite linéarisé, c'est-à-dire converti en une suite d'énoncés autoporteurs où chaque valeur est accompagnée de ses en-têtes, du titre du tableau et de l'exercice de référence. Cette linéarisation présente un double avantage : elle rend chaque valeur récupérable par une requête en langage naturel, et elle garantit qu'une valeur récupérée est toujours accompagnée de ce qui lui donne son sens.</w:t>
      </w:r>
    </w:p>
    <w:p>
      <w:pPr>
        <w:spacing w:after="140" w:line="320"/>
        <w:ind w:firstLine="360"/>
        <w:jc w:val="both"/>
      </w:pPr>
      <w:r>
        <w:rPr>
          <w:rFonts w:ascii="Times New Roman" w:cs="Times New Roman" w:eastAsia="Times New Roman" w:hAnsi="Times New Roman"/>
          <w:sz w:val="23"/>
          <w:szCs w:val="23"/>
        </w:rPr>
        <w:t xml:space="preserve">L’évaluation de la détection tabulaire sur le corpus disponible confirme la prépondérance des tableaux et la robustesse du mécanisme de repli. Sur </w:t>
      </w:r>
      <w:r>
        <w:rPr>
          <w:rFonts w:ascii="Times New Roman" w:cs="Times New Roman" w:eastAsia="Times New Roman" w:hAnsi="Times New Roman"/>
          <w:b/>
          <w:bCs/>
          <w:sz w:val="23"/>
          <w:szCs w:val="23"/>
        </w:rPr>
        <w:t xml:space="preserve">137 pages</w:t>
      </w:r>
      <w:r>
        <w:rPr>
          <w:rFonts w:ascii="Times New Roman" w:cs="Times New Roman" w:eastAsia="Times New Roman" w:hAnsi="Times New Roman"/>
          <w:sz w:val="23"/>
          <w:szCs w:val="23"/>
        </w:rPr>
        <w:t xml:space="preserve">, </w:t>
      </w:r>
      <w:r>
        <w:rPr>
          <w:rFonts w:ascii="Times New Roman" w:cs="Times New Roman" w:eastAsia="Times New Roman" w:hAnsi="Times New Roman"/>
          <w:b/>
          <w:bCs/>
          <w:sz w:val="23"/>
          <w:szCs w:val="23"/>
        </w:rPr>
        <w:t xml:space="preserve">84</w:t>
      </w:r>
      <w:r>
        <w:rPr>
          <w:rFonts w:ascii="Times New Roman" w:cs="Times New Roman" w:eastAsia="Times New Roman" w:hAnsi="Times New Roman"/>
          <w:sz w:val="23"/>
          <w:szCs w:val="23"/>
        </w:rPr>
        <w:t xml:space="preserve"> comportent au moins un tableau détecté, soit </w:t>
      </w:r>
      <w:r>
        <w:rPr>
          <w:rFonts w:ascii="Times New Roman" w:cs="Times New Roman" w:eastAsia="Times New Roman" w:hAnsi="Times New Roman"/>
          <w:b/>
          <w:bCs/>
          <w:sz w:val="23"/>
          <w:szCs w:val="23"/>
        </w:rPr>
        <w:t xml:space="preserve">61 %</w:t>
      </w:r>
      <w:r>
        <w:rPr>
          <w:rFonts w:ascii="Times New Roman" w:cs="Times New Roman" w:eastAsia="Times New Roman" w:hAnsi="Times New Roman"/>
          <w:sz w:val="23"/>
          <w:szCs w:val="23"/>
        </w:rPr>
        <w:t xml:space="preserve"> des pages, pour un total de </w:t>
      </w:r>
      <w:r>
        <w:rPr>
          <w:rFonts w:ascii="Times New Roman" w:cs="Times New Roman" w:eastAsia="Times New Roman" w:hAnsi="Times New Roman"/>
          <w:b/>
          <w:bCs/>
          <w:sz w:val="23"/>
          <w:szCs w:val="23"/>
        </w:rPr>
        <w:t xml:space="preserve">204 tableaux</w:t>
      </w:r>
      <w:r>
        <w:rPr>
          <w:rFonts w:ascii="Times New Roman" w:cs="Times New Roman" w:eastAsia="Times New Roman" w:hAnsi="Times New Roman"/>
          <w:sz w:val="23"/>
          <w:szCs w:val="23"/>
        </w:rPr>
        <w:t xml:space="preserve"> repérés ; l’Annuaire statistique en concentre l’essentiel, avec 180 tableaux sur 67 de ses 86 pages, tandis que les notes de conjoncture, à dominante rédactionnelle, en comptent de cinq à neuf chacune. Les cas d’échec observés relèvent de deux configurations récurrentes : les tableaux à double entrée dont les en-têtes s’étendent sur plusieurs lignes, et les tableaux à cellules fusionnées, où l’association d’une valeur à ses en-têtes devient ambiguë. Dans ces cas, le mécanisme de repli extrait le texte de la page afin qu’aucun contenu ne soit perdu, la page étant conservée dans l’index avec ses valeurs. Cette solution garantit l’exhaustivité au prix d’une linéarisation moins fine sur les tableaux les plus complexes, arbitrage jugé préférable à la perte d’information.</w:t>
      </w:r>
    </w:p>
    <w:p>
      <w:pPr>
        <w:pStyle w:val="Heading3"/>
        <w:spacing w:after="120" w:before="220"/>
      </w:pPr>
      <w:r>
        <w:rPr>
          <w:rFonts w:ascii="Times New Roman" w:cs="Times New Roman" w:eastAsia="Times New Roman" w:hAnsi="Times New Roman"/>
          <w:b/>
          <w:bCs/>
          <w:color w:val="2F5496"/>
          <w:sz w:val="22"/>
          <w:szCs w:val="22"/>
        </w:rPr>
        <w:t xml:space="preserve">3.2.2. Le nettoyage et la normalisation</w:t>
      </w:r>
    </w:p>
    <w:p>
      <w:pPr>
        <w:spacing w:after="140" w:line="320"/>
        <w:ind w:firstLine="360"/>
        <w:jc w:val="both"/>
      </w:pPr>
      <w:r>
        <w:rPr>
          <w:rFonts w:ascii="Times New Roman" w:cs="Times New Roman" w:eastAsia="Times New Roman" w:hAnsi="Times New Roman"/>
          <w:sz w:val="23"/>
          <w:szCs w:val="23"/>
        </w:rPr>
        <w:t xml:space="preserve">Le nettoyage supprime les éléments qui polluent l'index sans porter d'information : en-têtes et pieds de page répétés, numérotation, séquences de valeurs manquantes issues de tableaux mal encodés, espaces multiples et césures de fin de ligne.</w:t>
      </w:r>
    </w:p>
    <w:p>
      <w:pPr>
        <w:spacing w:after="140" w:line="320"/>
        <w:ind w:firstLine="360"/>
        <w:jc w:val="both"/>
      </w:pPr>
      <w:r>
        <w:rPr>
          <w:rFonts w:ascii="Times New Roman" w:cs="Times New Roman" w:eastAsia="Times New Roman" w:hAnsi="Times New Roman"/>
          <w:sz w:val="23"/>
          <w:szCs w:val="23"/>
        </w:rPr>
        <w:t xml:space="preserve">La normalisation traite deux points spécifiques au corpus. Le premier est le format des nombres : les séparateurs de milliers et les séparateurs décimaux varient d'un document à l'autre, et une même valeur peut s'écrire de plusieurs manières. Une forme normalisée est conservée pour l'indexation, la forme originale étant préservée pour la restitution, puisque la règle de citation littérale impose de restituer la valeur telle qu'elle figure dans la source. Le second est le traitement des sigles, nombreux dans le corpus, qui sont conservés tels quels et non développés, la recherche lexicale exacte sur les sigles constituant l'un des besoins identifiés.</w:t>
      </w:r>
    </w:p>
    <w:p>
      <w:pPr>
        <w:pStyle w:val="Heading3"/>
        <w:spacing w:after="120" w:before="220"/>
      </w:pPr>
      <w:r>
        <w:rPr>
          <w:rFonts w:ascii="Times New Roman" w:cs="Times New Roman" w:eastAsia="Times New Roman" w:hAnsi="Times New Roman"/>
          <w:b/>
          <w:bCs/>
          <w:color w:val="2F5496"/>
          <w:sz w:val="22"/>
          <w:szCs w:val="22"/>
        </w:rPr>
        <w:t xml:space="preserve">3.2.3. La segmentation</w:t>
      </w:r>
    </w:p>
    <w:p>
      <w:pPr>
        <w:spacing w:after="140" w:line="320"/>
        <w:ind w:firstLine="360"/>
        <w:jc w:val="both"/>
      </w:pPr>
      <w:r>
        <w:rPr>
          <w:rFonts w:ascii="Times New Roman" w:cs="Times New Roman" w:eastAsia="Times New Roman" w:hAnsi="Times New Roman"/>
          <w:sz w:val="23"/>
          <w:szCs w:val="23"/>
        </w:rPr>
        <w:t xml:space="preserve">La segmentation découpe le texte nettoyé en unités de récupération. Deux stratégies sont combinées selon la nature du contenu.</w:t>
      </w:r>
    </w:p>
    <w:p>
      <w:pPr>
        <w:spacing w:after="140" w:line="320"/>
        <w:ind w:firstLine="360"/>
        <w:jc w:val="both"/>
      </w:pPr>
      <w:r>
        <w:rPr>
          <w:rFonts w:ascii="Times New Roman" w:cs="Times New Roman" w:eastAsia="Times New Roman" w:hAnsi="Times New Roman"/>
          <w:sz w:val="23"/>
          <w:szCs w:val="23"/>
        </w:rPr>
        <w:t xml:space="preserve">Le texte courant est découpé en segments de taille fixe avec recouvrement, selon les ordres de grandeur retenus par les travaux de référence, soit de trois à quatre cents mots avec un recouvrement d'environ un cinquième. Le découpage respecte autant que possible les frontières de paragraphe et de section, afin d'éviter qu'un segment ne débute au milieu d'une phrase.</w:t>
      </w:r>
    </w:p>
    <w:p>
      <w:pPr>
        <w:spacing w:after="140" w:line="320"/>
        <w:ind w:firstLine="360"/>
        <w:jc w:val="both"/>
      </w:pPr>
      <w:r>
        <w:rPr>
          <w:rFonts w:ascii="Times New Roman" w:cs="Times New Roman" w:eastAsia="Times New Roman" w:hAnsi="Times New Roman"/>
          <w:sz w:val="23"/>
          <w:szCs w:val="23"/>
        </w:rPr>
        <w:t xml:space="preserve">Les tableaux linéarisés ne sont pas soumis à ce découpage. Chaque énoncé produit par la linéarisation constitue un segment autonome, dont la taille est déterminée par le contenu et non par un paramètre. Appliquer un découpage de taille fixe à un tableau linéarisé reviendrait à reproduire la mutilation que la linéarisation vise précisément à éviter.</w:t>
      </w:r>
    </w:p>
    <w:p>
      <w:pPr>
        <w:spacing w:after="140" w:line="320"/>
        <w:ind w:firstLine="360"/>
        <w:jc w:val="both"/>
      </w:pPr>
      <w:r>
        <w:rPr>
          <w:rFonts w:ascii="Times New Roman" w:cs="Times New Roman" w:eastAsia="Times New Roman" w:hAnsi="Times New Roman"/>
          <w:sz w:val="23"/>
          <w:szCs w:val="23"/>
        </w:rPr>
        <w:t xml:space="preserve">La taille des segments constitue un paramètre expérimental et non un choix définitif. Plusieurs valeurs seront comparées au chapitre 4, la performance de récupération sur le corpus considéré tranchant l'arbitrage.</w:t>
      </w:r>
    </w:p>
    <w:p>
      <w:pPr>
        <w:pStyle w:val="Heading3"/>
        <w:spacing w:after="120" w:before="220"/>
      </w:pPr>
      <w:r>
        <w:rPr>
          <w:rFonts w:ascii="Times New Roman" w:cs="Times New Roman" w:eastAsia="Times New Roman" w:hAnsi="Times New Roman"/>
          <w:b/>
          <w:bCs/>
          <w:color w:val="2F5496"/>
          <w:sz w:val="22"/>
          <w:szCs w:val="22"/>
        </w:rPr>
        <w:t xml:space="preserve">3.2.4. L'extraction des métadonnées</w:t>
      </w:r>
    </w:p>
    <w:p>
      <w:pPr>
        <w:spacing w:after="140" w:line="320"/>
        <w:ind w:firstLine="360"/>
        <w:jc w:val="both"/>
      </w:pPr>
      <w:r>
        <w:rPr>
          <w:rFonts w:ascii="Times New Roman" w:cs="Times New Roman" w:eastAsia="Times New Roman" w:hAnsi="Times New Roman"/>
          <w:sz w:val="23"/>
          <w:szCs w:val="23"/>
        </w:rPr>
        <w:t xml:space="preserve">Les métadonnées définies au tableau 2.3 sont renseignées selon trois voies.</w:t>
      </w:r>
    </w:p>
    <w:p>
      <w:pPr>
        <w:spacing w:after="140" w:line="320"/>
        <w:ind w:firstLine="360"/>
        <w:jc w:val="both"/>
      </w:pPr>
      <w:r>
        <w:rPr>
          <w:rFonts w:ascii="Times New Roman" w:cs="Times New Roman" w:eastAsia="Times New Roman" w:hAnsi="Times New Roman"/>
          <w:sz w:val="23"/>
          <w:szCs w:val="23"/>
        </w:rPr>
        <w:t xml:space="preserve">Les métadonnées de document, à savoir le titre, le type, la structure émettrice, l'exercice de référence et le statut de diffusion, sont renseignées lors du versement du document dans le corpus. Elles sont saisies ou déduites du plan de classement, et non extraites automatiquement, la fiabilité primant ici sur l'automatisation. Le statut de diffusion fait l'objet d'une attention particulière, puisqu'il gouverne le cloisonnement entre les deux modes.</w:t>
      </w:r>
    </w:p>
    <w:p>
      <w:pPr>
        <w:spacing w:after="140" w:line="320"/>
        <w:ind w:firstLine="360"/>
        <w:jc w:val="both"/>
      </w:pPr>
      <w:r>
        <w:rPr>
          <w:rFonts w:ascii="Times New Roman" w:cs="Times New Roman" w:eastAsia="Times New Roman" w:hAnsi="Times New Roman"/>
          <w:sz w:val="23"/>
          <w:szCs w:val="23"/>
        </w:rPr>
        <w:t xml:space="preserve">Les métadonnées de position, à savoir la section et le numéro de page, sont produites automatiquement lors de l'extraction, la structure hiérarchique du document étant reconstituée à partir des styles de titre lorsqu'ils sont exploitables et de la mise en forme à défaut.</w:t>
      </w:r>
    </w:p>
    <w:p>
      <w:pPr>
        <w:spacing w:after="140" w:line="320"/>
        <w:ind w:firstLine="360"/>
        <w:jc w:val="both"/>
      </w:pPr>
      <w:r>
        <w:rPr>
          <w:rFonts w:ascii="Times New Roman" w:cs="Times New Roman" w:eastAsia="Times New Roman" w:hAnsi="Times New Roman"/>
          <w:sz w:val="23"/>
          <w:szCs w:val="23"/>
        </w:rPr>
        <w:t xml:space="preserve">La nature du contenu, texte courant ou tableau, est déterminée par la voie d'extraction empruntée par le segment.</w:t>
      </w:r>
    </w:p>
    <w:p>
      <w:pPr>
        <w:pStyle w:val="Heading2"/>
        <w:spacing w:after="140" w:before="280"/>
      </w:pPr>
      <w:r>
        <w:rPr>
          <w:rFonts w:ascii="Times New Roman" w:cs="Times New Roman" w:eastAsia="Times New Roman" w:hAnsi="Times New Roman"/>
          <w:b/>
          <w:bCs/>
          <w:color w:val="2F5496"/>
          <w:sz w:val="24"/>
          <w:szCs w:val="24"/>
        </w:rPr>
        <w:t xml:space="preserve">3.3. Indexation lexicale et indexation vectorielle</w:t>
      </w:r>
    </w:p>
    <w:p>
      <w:pPr>
        <w:pStyle w:val="Heading3"/>
        <w:spacing w:after="120" w:before="220"/>
      </w:pPr>
      <w:r>
        <w:rPr>
          <w:rFonts w:ascii="Times New Roman" w:cs="Times New Roman" w:eastAsia="Times New Roman" w:hAnsi="Times New Roman"/>
          <w:b/>
          <w:bCs/>
          <w:color w:val="2F5496"/>
          <w:sz w:val="22"/>
          <w:szCs w:val="22"/>
        </w:rPr>
        <w:t xml:space="preserve">3.3.1. L'index lexical</w:t>
      </w:r>
    </w:p>
    <w:p>
      <w:pPr>
        <w:spacing w:after="140" w:line="320"/>
        <w:ind w:firstLine="360"/>
        <w:jc w:val="both"/>
      </w:pPr>
      <w:r>
        <w:rPr>
          <w:rFonts w:ascii="Times New Roman" w:cs="Times New Roman" w:eastAsia="Times New Roman" w:hAnsi="Times New Roman"/>
          <w:sz w:val="23"/>
          <w:szCs w:val="23"/>
        </w:rPr>
        <w:t xml:space="preserve">L'index lexical repose sur la fonction BM25 présentée au chapitre 1, appliquée aux segments après une chaîne de traitement linguistique adaptée au français comprenant la segmentation en mots, le passage en minuscules, la suppression des mots vides et la racinisation.</w:t>
      </w:r>
    </w:p>
    <w:p>
      <w:pPr>
        <w:spacing w:after="140" w:line="320"/>
        <w:ind w:firstLine="360"/>
        <w:jc w:val="both"/>
      </w:pPr>
      <w:r>
        <w:rPr>
          <w:rFonts w:ascii="Times New Roman" w:cs="Times New Roman" w:eastAsia="Times New Roman" w:hAnsi="Times New Roman"/>
          <w:sz w:val="23"/>
          <w:szCs w:val="23"/>
        </w:rPr>
        <w:t xml:space="preserve">Un traitement particulier est réservé aux sigles et aux libellés exacts, qui sont indexés sans racinisation dans un champ distinct. Cette précaution évite qu'un sigle ne soit altéré par la racinisation et rendu introuvable, cas de figure fréquent dans un corpus administratif riche en abréviations.</w:t>
      </w:r>
    </w:p>
    <w:p>
      <w:pPr>
        <w:pStyle w:val="Heading3"/>
        <w:spacing w:after="120" w:before="220"/>
      </w:pPr>
      <w:r>
        <w:rPr>
          <w:rFonts w:ascii="Times New Roman" w:cs="Times New Roman" w:eastAsia="Times New Roman" w:hAnsi="Times New Roman"/>
          <w:b/>
          <w:bCs/>
          <w:color w:val="2F5496"/>
          <w:sz w:val="22"/>
          <w:szCs w:val="22"/>
        </w:rPr>
        <w:t xml:space="preserve">3.3.2. L'index vectoriel</w:t>
      </w:r>
    </w:p>
    <w:p>
      <w:pPr>
        <w:spacing w:after="140" w:line="320"/>
        <w:ind w:firstLine="360"/>
        <w:jc w:val="both"/>
      </w:pPr>
      <w:r>
        <w:rPr>
          <w:rFonts w:ascii="Times New Roman" w:cs="Times New Roman" w:eastAsia="Times New Roman" w:hAnsi="Times New Roman"/>
          <w:sz w:val="23"/>
          <w:szCs w:val="23"/>
        </w:rPr>
        <w:t xml:space="preserve">Chaque segment est encodé par le modèle d'embeddings et stocké dans une colonne vectorielle de la base. La recherche s'effectue par similarité cosinus, mesure de proximité indépendante de la norme des vecteurs et donc de la longueur des textes.</w:t>
      </w:r>
    </w:p>
    <w:p>
      <w:pPr>
        <w:spacing w:after="140" w:line="320"/>
        <w:ind w:firstLine="360"/>
        <w:jc w:val="both"/>
      </w:pPr>
      <w:r>
        <w:rPr>
          <w:rFonts w:ascii="Times New Roman" w:cs="Times New Roman" w:eastAsia="Times New Roman" w:hAnsi="Times New Roman"/>
          <w:sz w:val="23"/>
          <w:szCs w:val="23"/>
        </w:rPr>
        <w:t xml:space="preserve">Un index approximatif de type graphe hiérarchique est construit afin d'éviter le parcours exhaustif de la base à chaque requête. Sur un corpus de quelques milliers à quelques dizaines de milliers de segments, ce dispositif ramène le temps de récupération à un niveau compatible avec un usage interactif.</w:t>
      </w:r>
    </w:p>
    <w:p>
      <w:pPr>
        <w:pStyle w:val="Heading3"/>
        <w:spacing w:after="120" w:before="220"/>
      </w:pPr>
      <w:r>
        <w:rPr>
          <w:rFonts w:ascii="Times New Roman" w:cs="Times New Roman" w:eastAsia="Times New Roman" w:hAnsi="Times New Roman"/>
          <w:b/>
          <w:bCs/>
          <w:color w:val="2F5496"/>
          <w:sz w:val="22"/>
          <w:szCs w:val="22"/>
        </w:rPr>
        <w:t xml:space="preserve">3.3.3. Le filtrage par métadonnées</w:t>
      </w:r>
    </w:p>
    <w:p>
      <w:pPr>
        <w:spacing w:after="140" w:line="320"/>
        <w:ind w:firstLine="360"/>
        <w:jc w:val="both"/>
      </w:pPr>
      <w:r>
        <w:rPr>
          <w:rFonts w:ascii="Times New Roman" w:cs="Times New Roman" w:eastAsia="Times New Roman" w:hAnsi="Times New Roman"/>
          <w:sz w:val="23"/>
          <w:szCs w:val="23"/>
        </w:rPr>
        <w:t xml:space="preserve">Le filtrage attributaire s'applique aux deux index simultanément. Il remplit trois fonctions distinctes.</w:t>
      </w:r>
    </w:p>
    <w:p>
      <w:pPr>
        <w:spacing w:after="140" w:line="320"/>
        <w:ind w:firstLine="360"/>
        <w:jc w:val="both"/>
      </w:pPr>
      <w:r>
        <w:rPr>
          <w:rFonts w:ascii="Times New Roman" w:cs="Times New Roman" w:eastAsia="Times New Roman" w:hAnsi="Times New Roman"/>
          <w:sz w:val="23"/>
          <w:szCs w:val="23"/>
        </w:rPr>
        <w:t xml:space="preserve">Il porte d'abord le cloisonnement entre les deux modes. En mode consultation, un filtre sur le statut de diffusion restreint la recherche aux seuls documents publiés. Ce filtre est appliqué au niveau de la requête à la base et non au niveau de l'affichage, de sorte qu'un document interne ne peut à aucun moment être récupéré, même à titre transitoire.</w:t>
      </w:r>
    </w:p>
    <w:p>
      <w:pPr>
        <w:spacing w:after="140" w:line="320"/>
        <w:ind w:firstLine="360"/>
        <w:jc w:val="both"/>
      </w:pPr>
      <w:r>
        <w:rPr>
          <w:rFonts w:ascii="Times New Roman" w:cs="Times New Roman" w:eastAsia="Times New Roman" w:hAnsi="Times New Roman"/>
          <w:sz w:val="23"/>
          <w:szCs w:val="23"/>
        </w:rPr>
        <w:t xml:space="preserve">Il permet ensuite le filtrage explicite demandé par l'utilisateur, notamment par exercice, par type de document ou par structure émettrice.</w:t>
      </w:r>
    </w:p>
    <w:p>
      <w:pPr>
        <w:spacing w:after="140" w:line="320"/>
        <w:ind w:firstLine="360"/>
        <w:jc w:val="both"/>
      </w:pPr>
      <w:r>
        <w:rPr>
          <w:rFonts w:ascii="Times New Roman" w:cs="Times New Roman" w:eastAsia="Times New Roman" w:hAnsi="Times New Roman"/>
          <w:sz w:val="23"/>
          <w:szCs w:val="23"/>
        </w:rPr>
        <w:t xml:space="preserve">Il permet enfin un filtrage implicite déduit de la requête elle-même. Lorsqu'une requête mentionne un millésime, celui-ci est reconnu et converti en filtre sur l'exercice de référence. Cette reconnaissance est déterminante dans un corpus pluriannuel où les mêmes indicateurs reviennent édition après édition : sans elle, une requête portant sur un effectif retourne indifféremment les valeurs de plusieurs exercices, situation qui constitue précisément l'une des sources d'erreur relevées au chapitre 2.</w:t>
      </w:r>
    </w:p>
    <w:p>
      <w:pPr>
        <w:pStyle w:val="Heading2"/>
        <w:spacing w:after="140" w:before="280"/>
      </w:pPr>
      <w:r>
        <w:rPr>
          <w:rFonts w:ascii="Times New Roman" w:cs="Times New Roman" w:eastAsia="Times New Roman" w:hAnsi="Times New Roman"/>
          <w:b/>
          <w:bCs/>
          <w:color w:val="2F5496"/>
          <w:sz w:val="24"/>
          <w:szCs w:val="24"/>
        </w:rPr>
        <w:t xml:space="preserve">3.4. Recherche hybride : fusion des classements et reranking</w:t>
      </w:r>
    </w:p>
    <w:p>
      <w:pPr>
        <w:pStyle w:val="Heading3"/>
        <w:spacing w:after="120" w:before="220"/>
      </w:pPr>
      <w:r>
        <w:rPr>
          <w:rFonts w:ascii="Times New Roman" w:cs="Times New Roman" w:eastAsia="Times New Roman" w:hAnsi="Times New Roman"/>
          <w:b/>
          <w:bCs/>
          <w:color w:val="2F5496"/>
          <w:sz w:val="22"/>
          <w:szCs w:val="22"/>
        </w:rPr>
        <w:t xml:space="preserve">3.4.1. L'exécution parallèle des deux moteurs</w:t>
      </w:r>
    </w:p>
    <w:p>
      <w:pPr>
        <w:spacing w:after="140" w:line="320"/>
        <w:ind w:firstLine="360"/>
        <w:jc w:val="both"/>
      </w:pPr>
      <w:r>
        <w:rPr>
          <w:rFonts w:ascii="Times New Roman" w:cs="Times New Roman" w:eastAsia="Times New Roman" w:hAnsi="Times New Roman"/>
          <w:sz w:val="23"/>
          <w:szCs w:val="23"/>
        </w:rPr>
        <w:t xml:space="preserve">À réception d'une requête filtrée, les deux moteurs sont interrogés en parallèle. Chacun retourne un classement d'une profondeur supérieure à celle du résultat final attendu, typiquement quelques dizaines de segments, afin que la fusion et le réordonnancement disposent d'un vivier de candidats suffisant.</w:t>
      </w:r>
    </w:p>
    <w:p>
      <w:pPr>
        <w:spacing w:after="140" w:line="320"/>
        <w:ind w:firstLine="360"/>
        <w:jc w:val="both"/>
      </w:pPr>
      <w:r>
        <w:rPr>
          <w:rFonts w:ascii="Times New Roman" w:cs="Times New Roman" w:eastAsia="Times New Roman" w:hAnsi="Times New Roman"/>
          <w:sz w:val="23"/>
          <w:szCs w:val="23"/>
        </w:rPr>
        <w:t xml:space="preserve">L'exécution parallèle distingue la configuration retenue de l'architecture en cascade de MABIALA (2026), où la recherche sémantique n'intervient qu'à défaut de correspondance exacte. La cascade est adaptée à un corpus doté d'identifiants normalisés, où l'échec de la correspondance exacte est un signal fiable. Le corpus du MINPMEESA ne présente pas cette propriété : les libellés y sont variables et une correspondance lexicale partielle peut être trompeuse. L'exécution parallèle permet à chaque moteur de contribuer au résultat, y compris lorsque l'autre a produit un résultat apparemment satisfaisant.</w:t>
      </w:r>
    </w:p>
    <w:p>
      <w:pPr>
        <w:pStyle w:val="Heading3"/>
        <w:spacing w:after="120" w:before="220"/>
      </w:pPr>
      <w:r>
        <w:rPr>
          <w:rFonts w:ascii="Times New Roman" w:cs="Times New Roman" w:eastAsia="Times New Roman" w:hAnsi="Times New Roman"/>
          <w:b/>
          <w:bCs/>
          <w:color w:val="2F5496"/>
          <w:sz w:val="22"/>
          <w:szCs w:val="22"/>
        </w:rPr>
        <w:t xml:space="preserve">3.4.2. La fusion par rangs réciproques</w:t>
      </w:r>
    </w:p>
    <w:p>
      <w:pPr>
        <w:spacing w:after="140" w:line="320"/>
        <w:ind w:firstLine="360"/>
        <w:jc w:val="both"/>
      </w:pPr>
      <w:r>
        <w:rPr>
          <w:rFonts w:ascii="Times New Roman" w:cs="Times New Roman" w:eastAsia="Times New Roman" w:hAnsi="Times New Roman"/>
          <w:sz w:val="23"/>
          <w:szCs w:val="23"/>
        </w:rPr>
        <w:t xml:space="preserve">La fusion combine les deux classements selon la méthode des rangs réciproques présentée au chapitre 1. Chaque segment reçoit, au titre de chaque classement où il apparaît, une contribution inversement proportionnelle à son rang, atténuée par une constante ; son score de fusion est la somme de ces contributions.</w:t>
      </w:r>
    </w:p>
    <w:p>
      <w:pPr>
        <w:spacing w:after="140" w:line="320"/>
        <w:ind w:firstLine="360"/>
        <w:jc w:val="both"/>
      </w:pPr>
      <w:r>
        <w:rPr>
          <w:rFonts w:ascii="Times New Roman" w:cs="Times New Roman" w:eastAsia="Times New Roman" w:hAnsi="Times New Roman"/>
          <w:sz w:val="23"/>
          <w:szCs w:val="23"/>
        </w:rPr>
        <w:t xml:space="preserve">Ce mécanisme produit trois effets recherchés. Un segment bien classé par les deux moteurs remonte fortement, ce qui est le comportement attendu. Un segment bien classé par un seul moteur demeure présent dans le résultat, ce qui préserve l'apport spécifique de chaque approche. Aucune normalisation des scores n'est requise, ce qui écarte une source d'instabilité entre requêtes.</w:t>
      </w:r>
    </w:p>
    <w:p>
      <w:pPr>
        <w:spacing w:after="140" w:line="320"/>
        <w:ind w:firstLine="360"/>
        <w:jc w:val="both"/>
      </w:pPr>
      <w:r>
        <w:rPr>
          <w:rFonts w:ascii="Times New Roman" w:cs="Times New Roman" w:eastAsia="Times New Roman" w:hAnsi="Times New Roman"/>
          <w:sz w:val="23"/>
          <w:szCs w:val="23"/>
        </w:rPr>
        <w:t xml:space="preserve">La constante d'atténuation contrôle le poids relatif des premiers rangs. Une valeur faible accentue l'avantage des premières positions, une valeur élevée aplatit le classement. Ce paramètre fait partie de ceux dont l'ajustement est présenté au chapitre 4.</w:t>
      </w:r>
    </w:p>
    <w:p>
      <w:pPr>
        <w:spacing w:after="140" w:line="320"/>
        <w:ind w:firstLine="360"/>
        <w:jc w:val="both"/>
      </w:pPr>
      <w:r>
        <w:rPr>
          <w:rFonts w:ascii="Times New Roman" w:cs="Times New Roman" w:eastAsia="Times New Roman" w:hAnsi="Times New Roman"/>
          <w:sz w:val="23"/>
          <w:szCs w:val="23"/>
        </w:rPr>
        <w:t xml:space="preserve">Une variante par combinaison linéaire des scores normalisés est également implémentée à titre de comparaison, afin de vérifier empiriquement que le choix de la fusion par rangs est justifié sur ce corpus et non seulement par commodité.</w:t>
      </w:r>
    </w:p>
    <w:p>
      <w:pPr>
        <w:pStyle w:val="Heading3"/>
        <w:spacing w:after="120" w:before="220"/>
      </w:pPr>
      <w:r>
        <w:rPr>
          <w:rFonts w:ascii="Times New Roman" w:cs="Times New Roman" w:eastAsia="Times New Roman" w:hAnsi="Times New Roman"/>
          <w:b/>
          <w:bCs/>
          <w:color w:val="2F5496"/>
          <w:sz w:val="22"/>
          <w:szCs w:val="22"/>
        </w:rPr>
        <w:t xml:space="preserve">3.4.3. Le réordonnancement</w:t>
      </w:r>
    </w:p>
    <w:p>
      <w:pPr>
        <w:spacing w:after="140" w:line="320"/>
        <w:ind w:firstLine="360"/>
        <w:jc w:val="both"/>
      </w:pPr>
      <w:r>
        <w:rPr>
          <w:rFonts w:ascii="Times New Roman" w:cs="Times New Roman" w:eastAsia="Times New Roman" w:hAnsi="Times New Roman"/>
          <w:sz w:val="23"/>
          <w:szCs w:val="23"/>
        </w:rPr>
        <w:t xml:space="preserve">Les segments issus de la fusion sont soumis à un modèle de réordonnancement qui évalue conjointement la requête et chaque segment candidat, et non séparément comme le font les deux moteurs de récupération.</w:t>
      </w:r>
    </w:p>
    <w:p>
      <w:pPr>
        <w:spacing w:after="140" w:line="320"/>
        <w:ind w:firstLine="360"/>
        <w:jc w:val="both"/>
      </w:pPr>
      <w:r>
        <w:rPr>
          <w:rFonts w:ascii="Times New Roman" w:cs="Times New Roman" w:eastAsia="Times New Roman" w:hAnsi="Times New Roman"/>
          <w:sz w:val="23"/>
          <w:szCs w:val="23"/>
        </w:rPr>
        <w:t xml:space="preserve">Ce traitement s'applique aux seuls candidats retenus, dont le nombre est volontairement limité, le coût par paire interdisant son application au corpus entier. Il produit le classement final, dont les premiers segments constituent le contexte transmis à la restitution.</w:t>
      </w:r>
    </w:p>
    <w:p>
      <w:pPr>
        <w:spacing w:after="140" w:line="320"/>
        <w:ind w:firstLine="360"/>
        <w:jc w:val="both"/>
      </w:pPr>
      <w:r>
        <w:rPr>
          <w:rFonts w:ascii="Times New Roman" w:cs="Times New Roman" w:eastAsia="Times New Roman" w:hAnsi="Times New Roman"/>
          <w:sz w:val="23"/>
          <w:szCs w:val="23"/>
        </w:rPr>
        <w:t xml:space="preserve">Le réordonnancement remplit ici une fonction supplémentaire, liée au comportement des modèles de langage évoqué au chapitre 1. Ces modèles accordent une attention inégale aux différentes positions de leur contexte, avec un avantage marqué pour les premiers éléments. Placer les segments les plus pertinents en tête améliore donc la qualité de la restitution indépendamment de toute autre considération.</w:t>
      </w:r>
    </w:p>
    <w:p>
      <w:pPr>
        <w:pStyle w:val="Heading2"/>
        <w:spacing w:after="140" w:before="280"/>
      </w:pPr>
      <w:r>
        <w:rPr>
          <w:rFonts w:ascii="Times New Roman" w:cs="Times New Roman" w:eastAsia="Times New Roman" w:hAnsi="Times New Roman"/>
          <w:b/>
          <w:bCs/>
          <w:color w:val="2F5496"/>
          <w:sz w:val="24"/>
          <w:szCs w:val="24"/>
        </w:rPr>
        <w:t xml:space="preserve">3.5. Construction du contexte et restitution ancrée dans les sources</w:t>
      </w:r>
    </w:p>
    <w:p>
      <w:pPr>
        <w:pStyle w:val="Heading3"/>
        <w:spacing w:after="120" w:before="220"/>
      </w:pPr>
      <w:r>
        <w:rPr>
          <w:rFonts w:ascii="Times New Roman" w:cs="Times New Roman" w:eastAsia="Times New Roman" w:hAnsi="Times New Roman"/>
          <w:b/>
          <w:bCs/>
          <w:color w:val="2F5496"/>
          <w:sz w:val="22"/>
          <w:szCs w:val="22"/>
        </w:rPr>
        <w:t xml:space="preserve">3.5.1. La construction du contexte</w:t>
      </w:r>
    </w:p>
    <w:p>
      <w:pPr>
        <w:spacing w:after="140" w:line="320"/>
        <w:ind w:firstLine="360"/>
        <w:jc w:val="both"/>
      </w:pPr>
      <w:r>
        <w:rPr>
          <w:rFonts w:ascii="Times New Roman" w:cs="Times New Roman" w:eastAsia="Times New Roman" w:hAnsi="Times New Roman"/>
          <w:sz w:val="23"/>
          <w:szCs w:val="23"/>
        </w:rPr>
        <w:t xml:space="preserve">Le contexte transmis au modèle est constitué des premiers segments du classement final, assemblés dans l'ordre décroissant de pertinence et dans la limite d'un budget en tokens compatible avec la fenêtre de contexte du modèle retenu.</w:t>
      </w:r>
    </w:p>
    <w:p>
      <w:pPr>
        <w:spacing w:after="140" w:line="320"/>
        <w:ind w:firstLine="360"/>
        <w:jc w:val="both"/>
      </w:pPr>
      <w:r>
        <w:rPr>
          <w:rFonts w:ascii="Times New Roman" w:cs="Times New Roman" w:eastAsia="Times New Roman" w:hAnsi="Times New Roman"/>
          <w:sz w:val="23"/>
          <w:szCs w:val="23"/>
        </w:rPr>
        <w:t xml:space="preserve">Chaque segment est précédé d'un en-tête portant ses métadonnées : titre du document, structure émettrice, exercice de référence, section et page. Cet en-tête remplit une double fonction. Il permet au modèle de contextualiser le passage, ce qui est indispensable lorsque plusieurs segments proviennent d'exercices différents. Il permet surtout au modèle de citer sa source, la référence étant présente dans le contexte et non à reconstituer.</w:t>
      </w:r>
    </w:p>
    <w:p>
      <w:pPr>
        <w:spacing w:after="140" w:line="320"/>
        <w:ind w:firstLine="360"/>
        <w:jc w:val="both"/>
      </w:pPr>
      <w:r>
        <w:rPr>
          <w:rFonts w:ascii="Times New Roman" w:cs="Times New Roman" w:eastAsia="Times New Roman" w:hAnsi="Times New Roman"/>
          <w:sz w:val="23"/>
          <w:szCs w:val="23"/>
        </w:rPr>
        <w:t xml:space="preserve">Une contrainte de diversité est appliquée à la sélection : au-delà d'un certain nombre de segments issus d'un même document, les suivants sont écartés au profit de segments d'autres documents. Cette contrainte évite qu'une réponse ne repose entièrement sur une source unique alors que le corpus en contient plusieurs, situation particulièrement problématique pour les requêtes de vérification et de rapprochement.</w:t>
      </w:r>
    </w:p>
    <w:p>
      <w:pPr>
        <w:pStyle w:val="Heading3"/>
        <w:spacing w:after="120" w:before="220"/>
      </w:pPr>
      <w:r>
        <w:rPr>
          <w:rFonts w:ascii="Times New Roman" w:cs="Times New Roman" w:eastAsia="Times New Roman" w:hAnsi="Times New Roman"/>
          <w:b/>
          <w:bCs/>
          <w:color w:val="2F5496"/>
          <w:sz w:val="22"/>
          <w:szCs w:val="22"/>
        </w:rPr>
        <w:t xml:space="preserve">3.5.2. La restitution selon le mode</w:t>
      </w:r>
    </w:p>
    <w:p>
      <w:pPr>
        <w:spacing w:after="140" w:line="320"/>
        <w:ind w:firstLine="360"/>
        <w:jc w:val="both"/>
      </w:pPr>
      <w:r>
        <w:rPr>
          <w:rFonts w:ascii="Times New Roman" w:cs="Times New Roman" w:eastAsia="Times New Roman" w:hAnsi="Times New Roman"/>
          <w:sz w:val="23"/>
          <w:szCs w:val="23"/>
        </w:rPr>
        <w:t xml:space="preserve">La forme de la restitution diffère selon le mode d'usage, sans que l'architecture sous-jacente ne varie.</w:t>
      </w:r>
    </w:p>
    <w:p>
      <w:pPr>
        <w:spacing w:after="140" w:line="320"/>
        <w:ind w:firstLine="360"/>
        <w:jc w:val="both"/>
      </w:pPr>
      <w:r>
        <w:rPr>
          <w:rFonts w:ascii="Times New Roman" w:cs="Times New Roman" w:eastAsia="Times New Roman" w:hAnsi="Times New Roman"/>
          <w:sz w:val="23"/>
          <w:szCs w:val="23"/>
        </w:rPr>
        <w:t xml:space="preserve">En mode production, la restitution est prioritairement extractive. Les segments récupérés sont présentés tels quels, accompagnés de leurs références et de la valeur mise en évidence lorsque la requête porte sur une donnée chiffrée. Une synthèse rédigée peut être demandée, mais elle est facultative : l'agent qui vérifie une donnée a besoin de voir le passage source, non d'en lire une reformulation.</w:t>
      </w:r>
    </w:p>
    <w:p>
      <w:pPr>
        <w:spacing w:after="140" w:line="320"/>
        <w:ind w:firstLine="360"/>
        <w:jc w:val="both"/>
      </w:pPr>
      <w:r>
        <w:rPr>
          <w:rFonts w:ascii="Times New Roman" w:cs="Times New Roman" w:eastAsia="Times New Roman" w:hAnsi="Times New Roman"/>
          <w:sz w:val="23"/>
          <w:szCs w:val="23"/>
        </w:rPr>
        <w:t xml:space="preserve">En mode consultation, la restitution est prioritairement synthétique. Une réponse rédigée est produite à partir des segments récupérés, les passages sources demeurant accessibles et affichés sous la synthèse. Ce choix correspond au besoin du décideur, qui cherche une réponse et non un ensemble de documents à lire.</w:t>
      </w:r>
    </w:p>
    <w:p>
      <w:pPr>
        <w:spacing w:after="140" w:line="320"/>
        <w:ind w:firstLine="360"/>
        <w:jc w:val="both"/>
      </w:pPr>
      <w:r>
        <w:rPr>
          <w:rFonts w:ascii="Times New Roman" w:cs="Times New Roman" w:eastAsia="Times New Roman" w:hAnsi="Times New Roman"/>
          <w:sz w:val="23"/>
          <w:szCs w:val="23"/>
        </w:rPr>
        <w:t xml:space="preserve">Dans les deux cas, la référence accompagne systématiquement l'information. Une réponse sans source n'est pas produite, une telle réponse étant sans valeur dans un processus de production ou de décision où toute donnée doit pouvoir être rattachée à son origine.</w:t>
      </w:r>
    </w:p>
    <w:p>
      <w:pPr>
        <w:pStyle w:val="Heading2"/>
        <w:spacing w:after="140" w:before="280"/>
      </w:pPr>
      <w:r>
        <w:rPr>
          <w:rFonts w:ascii="Times New Roman" w:cs="Times New Roman" w:eastAsia="Times New Roman" w:hAnsi="Times New Roman"/>
          <w:b/>
          <w:bCs/>
          <w:color w:val="2F5496"/>
          <w:sz w:val="24"/>
          <w:szCs w:val="24"/>
        </w:rPr>
        <w:t xml:space="preserve">3.6. La règle de citation littérale et les garde-fous de qualité</w:t>
      </w:r>
    </w:p>
    <w:p>
      <w:pPr>
        <w:pStyle w:val="Heading3"/>
        <w:spacing w:after="120" w:before="220"/>
      </w:pPr>
      <w:r>
        <w:rPr>
          <w:rFonts w:ascii="Times New Roman" w:cs="Times New Roman" w:eastAsia="Times New Roman" w:hAnsi="Times New Roman"/>
          <w:b/>
          <w:bCs/>
          <w:color w:val="2F5496"/>
          <w:sz w:val="22"/>
          <w:szCs w:val="22"/>
        </w:rPr>
        <w:t xml:space="preserve">3.6.1. Le principe et sa justification</w:t>
      </w:r>
    </w:p>
    <w:p>
      <w:pPr>
        <w:spacing w:after="140" w:line="320"/>
        <w:ind w:firstLine="360"/>
        <w:jc w:val="both"/>
      </w:pPr>
      <w:r>
        <w:rPr>
          <w:rFonts w:ascii="Times New Roman" w:cs="Times New Roman" w:eastAsia="Times New Roman" w:hAnsi="Times New Roman"/>
          <w:sz w:val="23"/>
          <w:szCs w:val="23"/>
        </w:rPr>
        <w:t xml:space="preserve">La règle de citation littérale constitue le choix de conception central du présent travail s'agissant de la restitution. Elle s'énonce simplement : le modèle rédige la trame de la réponse, mais toute donnée chiffrée y est reprise verbatim d'un passage du contexte, sans reformulation, sans recalcul et sans arrondi, et accompagnée de sa référence.</w:t>
      </w:r>
    </w:p>
    <w:p>
      <w:pPr>
        <w:spacing w:after="140" w:line="320"/>
        <w:ind w:firstLine="360"/>
        <w:jc w:val="both"/>
      </w:pPr>
      <w:r>
        <w:rPr>
          <w:rFonts w:ascii="Times New Roman" w:cs="Times New Roman" w:eastAsia="Times New Roman" w:hAnsi="Times New Roman"/>
          <w:sz w:val="23"/>
          <w:szCs w:val="23"/>
        </w:rPr>
        <w:t xml:space="preserve">Sa justification a été exposée en section 1.5. La tokenisation des nombres et la nature probabiliste de la génération rendent les modèles de langage structurellement peu fiables sur les valeurs chiffrées, y compris lorsque la valeur exacte figure dans le contexte fourni. L'ancrage documentaire réduit ce risque mais ne l'annule pas. Dans un dispositif dont les sorties alimentent des publications officielles, un résidu d'erreur numérique de quelques pour cent demeure inacceptable.</w:t>
      </w:r>
    </w:p>
    <w:p>
      <w:pPr>
        <w:spacing w:after="140" w:line="320"/>
        <w:ind w:firstLine="360"/>
        <w:jc w:val="both"/>
      </w:pPr>
      <w:r>
        <w:rPr>
          <w:rFonts w:ascii="Times New Roman" w:cs="Times New Roman" w:eastAsia="Times New Roman" w:hAnsi="Times New Roman"/>
          <w:sz w:val="23"/>
          <w:szCs w:val="23"/>
        </w:rPr>
        <w:t xml:space="preserve">La règle procède d'une répartition explicite des rôles. Le modèle est mobilisé pour ce qu'il fait bien, articuler des informations et produire un texte lisible. Il est écarté de ce qu'il fait mal, manipuler des nombres. Cette dissociation est ce qui permet de conserver l'utilité de la synthèse tout en écartant sa principale vulnérabilité.</w:t>
      </w:r>
    </w:p>
    <w:p>
      <w:pPr>
        <w:pStyle w:val="Heading3"/>
        <w:spacing w:after="120" w:before="220"/>
      </w:pPr>
      <w:r>
        <w:rPr>
          <w:rFonts w:ascii="Times New Roman" w:cs="Times New Roman" w:eastAsia="Times New Roman" w:hAnsi="Times New Roman"/>
          <w:b/>
          <w:bCs/>
          <w:color w:val="2F5496"/>
          <w:sz w:val="22"/>
          <w:szCs w:val="22"/>
        </w:rPr>
        <w:t xml:space="preserve">3.6.2. La contrainte en amont : l'instruction de restitution</w:t>
      </w:r>
    </w:p>
    <w:p>
      <w:pPr>
        <w:spacing w:after="140" w:line="320"/>
        <w:ind w:firstLine="360"/>
        <w:jc w:val="both"/>
      </w:pPr>
      <w:r>
        <w:rPr>
          <w:rFonts w:ascii="Times New Roman" w:cs="Times New Roman" w:eastAsia="Times New Roman" w:hAnsi="Times New Roman"/>
          <w:sz w:val="23"/>
          <w:szCs w:val="23"/>
        </w:rPr>
        <w:t xml:space="preserve">L'instruction adressée au modèle est structurée et comporte quatre composantes.</w:t>
      </w:r>
    </w:p>
    <w:p>
      <w:pPr>
        <w:spacing w:after="140" w:line="320"/>
        <w:ind w:firstLine="360"/>
        <w:jc w:val="both"/>
      </w:pPr>
      <w:r>
        <w:rPr>
          <w:rFonts w:ascii="Times New Roman" w:cs="Times New Roman" w:eastAsia="Times New Roman" w:hAnsi="Times New Roman"/>
          <w:sz w:val="23"/>
          <w:szCs w:val="23"/>
        </w:rPr>
        <w:t xml:space="preserve">Elle définit d'abord le rôle et le cadre : le modèle répond exclusivement à partir des passages fournis, sans mobiliser de connaissance externe.</w:t>
      </w:r>
    </w:p>
    <w:p>
      <w:pPr>
        <w:spacing w:after="140" w:line="320"/>
        <w:ind w:firstLine="360"/>
        <w:jc w:val="both"/>
      </w:pPr>
      <w:r>
        <w:rPr>
          <w:rFonts w:ascii="Times New Roman" w:cs="Times New Roman" w:eastAsia="Times New Roman" w:hAnsi="Times New Roman"/>
          <w:sz w:val="23"/>
          <w:szCs w:val="23"/>
        </w:rPr>
        <w:t xml:space="preserve">Elle énonce ensuite la règle numérique, sous forme d'interdictions explicites : ne produire aucune valeur chiffrée absente des passages fournis, ne modifier ni le format ni l'arrondi d'une valeur reprise, ne calculer aucune valeur dérivée, en particulier aucune variation, aucun taux de croissance et aucun total qui ne figurerait pas explicitement dans les sources.</w:t>
      </w:r>
    </w:p>
    <w:p>
      <w:pPr>
        <w:spacing w:after="140" w:line="320"/>
        <w:ind w:firstLine="360"/>
        <w:jc w:val="both"/>
      </w:pPr>
      <w:r>
        <w:rPr>
          <w:rFonts w:ascii="Times New Roman" w:cs="Times New Roman" w:eastAsia="Times New Roman" w:hAnsi="Times New Roman"/>
          <w:sz w:val="23"/>
          <w:szCs w:val="23"/>
        </w:rPr>
        <w:t xml:space="preserve">Cette dernière interdiction mérite d'être soulignée car elle est contre-intuitive. Un modèle sollicité sur l'évolution d'un effectif entre deux exercices produit spontanément un taux de variation, opération arithmétique élémentaire mais dont rien ne garantit l'exactitude. Le système restitue les deux valeurs et leurs sources, et laisse le calcul à l'utilisateur ou à un module de calcul déterministe distinct du modèle.</w:t>
      </w:r>
    </w:p>
    <w:p>
      <w:pPr>
        <w:spacing w:after="140" w:line="320"/>
        <w:ind w:firstLine="360"/>
        <w:jc w:val="both"/>
      </w:pPr>
      <w:r>
        <w:rPr>
          <w:rFonts w:ascii="Times New Roman" w:cs="Times New Roman" w:eastAsia="Times New Roman" w:hAnsi="Times New Roman"/>
          <w:sz w:val="23"/>
          <w:szCs w:val="23"/>
        </w:rPr>
        <w:t xml:space="preserve">L'instruction impose ensuite la citation systématique de la source après chaque information reprise, sous un format normalisé.</w:t>
      </w:r>
    </w:p>
    <w:p>
      <w:pPr>
        <w:spacing w:after="140" w:line="320"/>
        <w:ind w:firstLine="360"/>
        <w:jc w:val="both"/>
      </w:pPr>
      <w:r>
        <w:rPr>
          <w:rFonts w:ascii="Times New Roman" w:cs="Times New Roman" w:eastAsia="Times New Roman" w:hAnsi="Times New Roman"/>
          <w:sz w:val="23"/>
          <w:szCs w:val="23"/>
        </w:rPr>
        <w:t xml:space="preserve">Elle prescrit enfin le comportement en cas d'insuffisance du contexte : indiquer que l'information ne figure pas dans les documents consultés, plutôt que de produire une réponse approchée.</w:t>
      </w:r>
    </w:p>
    <w:p>
      <w:pPr>
        <w:pStyle w:val="Heading3"/>
        <w:spacing w:after="120" w:before="220"/>
      </w:pPr>
      <w:r>
        <w:rPr>
          <w:rFonts w:ascii="Times New Roman" w:cs="Times New Roman" w:eastAsia="Times New Roman" w:hAnsi="Times New Roman"/>
          <w:b/>
          <w:bCs/>
          <w:color w:val="2F5496"/>
          <w:sz w:val="22"/>
          <w:szCs w:val="22"/>
        </w:rPr>
        <w:t xml:space="preserve">3.6.3. Le contrôle en aval : la vérification des valeurs numériques</w:t>
      </w:r>
    </w:p>
    <w:p>
      <w:pPr>
        <w:spacing w:after="140" w:line="320"/>
        <w:ind w:firstLine="360"/>
        <w:jc w:val="both"/>
      </w:pPr>
      <w:r>
        <w:rPr>
          <w:rFonts w:ascii="Times New Roman" w:cs="Times New Roman" w:eastAsia="Times New Roman" w:hAnsi="Times New Roman"/>
          <w:sz w:val="23"/>
          <w:szCs w:val="23"/>
        </w:rPr>
        <w:t xml:space="preserve">Une instruction, quelle que soit sa précision, n'est pas une garantie. Un contrôle automatique est appliqué à chaque réponse produite avant son affichage.</w:t>
      </w:r>
    </w:p>
    <w:p>
      <w:pPr>
        <w:spacing w:after="140" w:line="320"/>
        <w:ind w:firstLine="360"/>
        <w:jc w:val="both"/>
      </w:pPr>
      <w:r>
        <w:rPr>
          <w:rFonts w:ascii="Times New Roman" w:cs="Times New Roman" w:eastAsia="Times New Roman" w:hAnsi="Times New Roman"/>
          <w:sz w:val="23"/>
          <w:szCs w:val="23"/>
        </w:rPr>
        <w:t xml:space="preserve">Ce contrôle procède en trois temps. Toutes les expressions numériques de la réponse sont d'abord identifiées. Chacune est ensuite recherchée dans les segments du contexte, la comparaison portant sur la forme normalisée afin que les variations de séparateur ne produisent pas de faux signalements. Toute valeur non retrouvée est enfin signalée.</w:t>
      </w:r>
    </w:p>
    <w:p>
      <w:pPr>
        <w:spacing w:after="140" w:line="320"/>
        <w:ind w:firstLine="360"/>
        <w:jc w:val="both"/>
      </w:pPr>
      <w:r>
        <w:rPr>
          <w:rFonts w:ascii="Times New Roman" w:cs="Times New Roman" w:eastAsia="Times New Roman" w:hAnsi="Times New Roman"/>
          <w:sz w:val="23"/>
          <w:szCs w:val="23"/>
        </w:rPr>
        <w:t xml:space="preserve">Le traitement des valeurs signalées relève d'un arbitrage de conception. Trois comportements sont possibles : supprimer la valeur, la signaler visuellement à l'utilisateur, ou rejeter la réponse et en demander une nouvelle. Le comportement retenu est le signalement visuel, assorti d'un compteur de valeurs non appariées : supprimer une valeur produit une réponse mutilée et potentiellement trompeuse, tandis que le rejet systématique dégrade la disponibilité du service. Le signalement laisse l'utilisateur juge, tout en rendant le problème visible.</w:t>
      </w:r>
    </w:p>
    <w:p>
      <w:pPr>
        <w:spacing w:after="140" w:line="320"/>
        <w:ind w:firstLine="360"/>
        <w:jc w:val="both"/>
      </w:pPr>
      <w:r>
        <w:rPr>
          <w:rFonts w:ascii="Times New Roman" w:cs="Times New Roman" w:eastAsia="Times New Roman" w:hAnsi="Times New Roman"/>
          <w:sz w:val="23"/>
          <w:szCs w:val="23"/>
        </w:rPr>
        <w:t xml:space="preserve">Ce contrôle fournit par ailleurs la métrique d'exactitude numérique définie au chapitre 2. Le dispositif de garde-fou et le dispositif de mesure sont ici le même objet, ce qui garantit que la métrique évaluée au chapitre 4 correspond exactement au comportement du système en production.</w:t>
      </w:r>
    </w:p>
    <w:p>
      <w:pPr>
        <w:pStyle w:val="Heading3"/>
        <w:spacing w:after="120" w:before="220"/>
      </w:pPr>
      <w:r>
        <w:rPr>
          <w:rFonts w:ascii="Times New Roman" w:cs="Times New Roman" w:eastAsia="Times New Roman" w:hAnsi="Times New Roman"/>
          <w:b/>
          <w:bCs/>
          <w:color w:val="2F5496"/>
          <w:sz w:val="22"/>
          <w:szCs w:val="22"/>
        </w:rPr>
        <w:t xml:space="preserve">3.6.4. Le mécanisme d'abstention</w:t>
      </w:r>
    </w:p>
    <w:p>
      <w:pPr>
        <w:spacing w:after="140" w:line="320"/>
        <w:ind w:firstLine="360"/>
        <w:jc w:val="both"/>
      </w:pPr>
      <w:r>
        <w:rPr>
          <w:rFonts w:ascii="Times New Roman" w:cs="Times New Roman" w:eastAsia="Times New Roman" w:hAnsi="Times New Roman"/>
          <w:sz w:val="23"/>
          <w:szCs w:val="23"/>
        </w:rPr>
        <w:t xml:space="preserve">L'abstention est déclenchée en amont de la restitution, sur la base des scores de la récupération. Lorsque aucun segment ne dépasse un seuil de pertinence, le système indique qu'il ne dispose pas de l'information plutôt que de produire une réponse à partir de segments faiblement pertinents.</w:t>
      </w:r>
    </w:p>
    <w:p>
      <w:pPr>
        <w:spacing w:after="140" w:line="320"/>
        <w:ind w:firstLine="360"/>
        <w:jc w:val="both"/>
      </w:pPr>
      <w:r>
        <w:rPr>
          <w:rFonts w:ascii="Times New Roman" w:cs="Times New Roman" w:eastAsia="Times New Roman" w:hAnsi="Times New Roman"/>
          <w:sz w:val="23"/>
          <w:szCs w:val="23"/>
        </w:rPr>
        <w:t xml:space="preserve">Le seuil est déterminé par calibration empirique sur un jeu de requêtes dédié comprenant des requêtes couvertes par le corpus et des requêtes délibérément hors périmètre, selon la démarche retenue par MABIALA (2026). L'arbitrage porte sur un compromis classique : un seuil trop bas conduit à répondre à partir de segments non pertinents, un seuil trop élevé conduit à s'abstenir alors que l'information est présente.</w:t>
      </w:r>
    </w:p>
    <w:p>
      <w:pPr>
        <w:spacing w:after="140" w:line="320"/>
        <w:ind w:firstLine="360"/>
        <w:jc w:val="both"/>
      </w:pPr>
      <w:r>
        <w:rPr>
          <w:rFonts w:ascii="Times New Roman" w:cs="Times New Roman" w:eastAsia="Times New Roman" w:hAnsi="Times New Roman"/>
          <w:sz w:val="23"/>
          <w:szCs w:val="23"/>
        </w:rPr>
        <w:t xml:space="preserve">L'abstention constitue une propriété du système au même titre que sa capacité à répondre. Un dispositif d'assistance documentaire qui répond toujours prive son utilisateur de la capacité à distinguer une réponse fondée d'une réponse construite faute de mieux, ce qui en compromet l'usage dans un processus de production exigeant.</w:t>
      </w:r>
    </w:p>
    <w:p>
      <w:pPr>
        <w:pStyle w:val="Heading3"/>
        <w:spacing w:after="120" w:before="220"/>
      </w:pPr>
      <w:r>
        <w:rPr>
          <w:rFonts w:ascii="Times New Roman" w:cs="Times New Roman" w:eastAsia="Times New Roman" w:hAnsi="Times New Roman"/>
          <w:b/>
          <w:bCs/>
          <w:color w:val="2F5496"/>
          <w:sz w:val="22"/>
          <w:szCs w:val="22"/>
        </w:rPr>
        <w:t xml:space="preserve">3.6.5. Le cloisonnement entre les deux modes</w:t>
      </w:r>
    </w:p>
    <w:p>
      <w:pPr>
        <w:spacing w:after="140" w:line="320"/>
        <w:ind w:firstLine="360"/>
        <w:jc w:val="both"/>
      </w:pPr>
      <w:r>
        <w:rPr>
          <w:rFonts w:ascii="Times New Roman" w:cs="Times New Roman" w:eastAsia="Times New Roman" w:hAnsi="Times New Roman"/>
          <w:sz w:val="23"/>
          <w:szCs w:val="23"/>
        </w:rPr>
        <w:t xml:space="preserve">Le cloisonnement mérite un traitement distinct des autres garde-fous, sa défaillance ayant des conséquences d'une autre nature.</w:t>
      </w:r>
    </w:p>
    <w:p>
      <w:pPr>
        <w:spacing w:after="140" w:line="320"/>
        <w:ind w:firstLine="360"/>
        <w:jc w:val="both"/>
      </w:pPr>
      <w:r>
        <w:rPr>
          <w:rFonts w:ascii="Times New Roman" w:cs="Times New Roman" w:eastAsia="Times New Roman" w:hAnsi="Times New Roman"/>
          <w:sz w:val="23"/>
          <w:szCs w:val="23"/>
        </w:rPr>
        <w:t xml:space="preserve">Il repose sur un principe simple : le filtre sur le statut de diffusion est appliqué à la requête adressée à la base, et non à l'affichage du résultat. Un segment issu d'un document interne ne peut ainsi être récupéré en mode consultation, ni figurer dans le contexte transmis au modèle, ni par conséquent influencer la réponse produite.</w:t>
      </w:r>
    </w:p>
    <w:p>
      <w:pPr>
        <w:spacing w:after="140" w:line="320"/>
        <w:ind w:firstLine="360"/>
        <w:jc w:val="both"/>
      </w:pPr>
      <w:r>
        <w:rPr>
          <w:rFonts w:ascii="Times New Roman" w:cs="Times New Roman" w:eastAsia="Times New Roman" w:hAnsi="Times New Roman"/>
          <w:sz w:val="23"/>
          <w:szCs w:val="23"/>
        </w:rPr>
        <w:t xml:space="preserve">Ce choix écarte une vulnérabilité subtile mais réelle. Un filtrage opéré après la génération laisserait le modèle produire une réponse influencée par un contenu interne, dont la référence serait masquée mais dont la substance serait restituée. Le filtrage à la source rend cette situation impossible par construction.</w:t>
      </w:r>
    </w:p>
    <w:p>
      <w:pPr>
        <w:pStyle w:val="Heading2"/>
        <w:spacing w:after="140" w:before="280"/>
      </w:pPr>
      <w:r>
        <w:rPr>
          <w:rFonts w:ascii="Times New Roman" w:cs="Times New Roman" w:eastAsia="Times New Roman" w:hAnsi="Times New Roman"/>
          <w:b/>
          <w:bCs/>
          <w:color w:val="2F5496"/>
          <w:sz w:val="24"/>
          <w:szCs w:val="24"/>
        </w:rPr>
        <w:t xml:space="preserve">3.7. Le prototype, ses deux modes et son interface</w:t>
      </w:r>
    </w:p>
    <w:p>
      <w:pPr>
        <w:pStyle w:val="Heading3"/>
        <w:spacing w:after="120" w:before="220"/>
      </w:pPr>
      <w:r>
        <w:rPr>
          <w:rFonts w:ascii="Times New Roman" w:cs="Times New Roman" w:eastAsia="Times New Roman" w:hAnsi="Times New Roman"/>
          <w:b/>
          <w:bCs/>
          <w:color w:val="2F5496"/>
          <w:sz w:val="22"/>
          <w:szCs w:val="22"/>
        </w:rPr>
        <w:t xml:space="preserve">3.7.1. L'organisation de l'application</w:t>
      </w:r>
    </w:p>
    <w:p>
      <w:pPr>
        <w:spacing w:after="140" w:line="320"/>
        <w:ind w:firstLine="360"/>
        <w:jc w:val="both"/>
      </w:pPr>
      <w:r>
        <w:rPr>
          <w:rFonts w:ascii="Times New Roman" w:cs="Times New Roman" w:eastAsia="Times New Roman" w:hAnsi="Times New Roman"/>
          <w:sz w:val="23"/>
          <w:szCs w:val="23"/>
        </w:rPr>
        <w:t xml:space="preserve">Le prototype se présente comme une application web locale organisée en quatre espaces.</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L'espace d'administration du corpus, réservé aux agents, permet de verser un document, d'en renseigner les métadonnées, notamment le statut de diffusion, et de déclencher son indexation.</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L'espace de recherche en mode production permet l'interrogation de l'ensemble du corpus, avec filtres explicites, affichage des passages sourcés et synthèse optionnelle.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L'espace de consultation permet l'interrogation du seul corpus publié, avec restitution synthétique et affichage des passages sous la réponse.</w:t>
      </w:r>
    </w:p>
    <w:p>
      <w:pPr>
        <w:pStyle w:val="ListParagraph"/>
        <w:numPr>
          <w:ilvl w:val="0"/>
          <w:numId w:val="2"/>
        </w:numPr>
        <w:spacing w:after="90" w:line="300"/>
        <w:jc w:val="both"/>
      </w:pPr>
      <w:r>
        <w:rPr>
          <w:rFonts w:ascii="Times New Roman" w:cs="Times New Roman" w:eastAsia="Times New Roman" w:hAnsi="Times New Roman"/>
          <w:sz w:val="23"/>
          <w:szCs w:val="23"/>
        </w:rPr>
        <w:t xml:space="preserve">L'espace d'export permet de récupérer les éléments retenus au format Word ou PDF, avec leurs références, en vue de leur intégration au document en cours de production.</w:t>
      </w:r>
    </w:p>
    <w:p>
      <w:pPr>
        <w:pStyle w:val="Heading3"/>
        <w:spacing w:after="120" w:before="220"/>
      </w:pPr>
      <w:r>
        <w:rPr>
          <w:rFonts w:ascii="Times New Roman" w:cs="Times New Roman" w:eastAsia="Times New Roman" w:hAnsi="Times New Roman"/>
          <w:b/>
          <w:bCs/>
          <w:color w:val="2F5496"/>
          <w:sz w:val="22"/>
          <w:szCs w:val="22"/>
        </w:rPr>
        <w:t xml:space="preserve">3.7.2. La présentation des résultats</w:t>
      </w:r>
    </w:p>
    <w:p>
      <w:pPr>
        <w:spacing w:after="140" w:line="320"/>
        <w:ind w:firstLine="360"/>
        <w:jc w:val="both"/>
      </w:pPr>
      <w:r>
        <w:rPr>
          <w:rFonts w:ascii="Times New Roman" w:cs="Times New Roman" w:eastAsia="Times New Roman" w:hAnsi="Times New Roman"/>
          <w:sz w:val="23"/>
          <w:szCs w:val="23"/>
        </w:rPr>
        <w:t xml:space="preserve">La présentation obéit à trois principes issus des besoins fonctionnels du chapitre 2.</w:t>
      </w:r>
    </w:p>
    <w:p>
      <w:pPr>
        <w:spacing w:after="140" w:line="320"/>
        <w:ind w:firstLine="360"/>
        <w:jc w:val="both"/>
      </w:pPr>
      <w:r>
        <w:rPr>
          <w:rFonts w:ascii="Times New Roman" w:cs="Times New Roman" w:eastAsia="Times New Roman" w:hAnsi="Times New Roman"/>
          <w:sz w:val="23"/>
          <w:szCs w:val="23"/>
        </w:rPr>
        <w:t xml:space="preserve">La source est toujours visible et jamais reléguée. Le document, la section et la page accompagnent chaque élément d'information, à proximité immédiate de celui-ci et non dans une note de bas de page ou un volet séparé.</w:t>
      </w:r>
    </w:p>
    <w:p>
      <w:pPr>
        <w:spacing w:after="140" w:line="320"/>
        <w:ind w:firstLine="360"/>
        <w:jc w:val="both"/>
      </w:pPr>
      <w:r>
        <w:rPr>
          <w:rFonts w:ascii="Times New Roman" w:cs="Times New Roman" w:eastAsia="Times New Roman" w:hAnsi="Times New Roman"/>
          <w:sz w:val="23"/>
          <w:szCs w:val="23"/>
        </w:rPr>
        <w:t xml:space="preserve">Le passage source est accessible en un geste. L'utilisateur qui souhaite vérifier une information affiche le segment complet dont elle est issue, sans quitter l'interface.</w:t>
      </w:r>
    </w:p>
    <w:p>
      <w:pPr>
        <w:spacing w:after="140" w:line="320"/>
        <w:ind w:firstLine="360"/>
        <w:jc w:val="both"/>
      </w:pPr>
      <w:r>
        <w:rPr>
          <w:rFonts w:ascii="Times New Roman" w:cs="Times New Roman" w:eastAsia="Times New Roman" w:hAnsi="Times New Roman"/>
          <w:sz w:val="23"/>
          <w:szCs w:val="23"/>
        </w:rPr>
        <w:t xml:space="preserve">Les signalements du contrôle numérique sont visibles. Une valeur non appariée est marquée dans la réponse, avec l'indication qu'elle n'a pas pu être rattachée à une source. Cette visibilité est un choix délibéré : masquer une incertitude serait contraire à l'objet même du système.</w:t>
      </w:r>
    </w:p>
    <w:p>
      <w:pPr>
        <w:spacing w:after="140" w:line="320"/>
        <w:ind w:firstLine="360"/>
        <w:jc w:val="both"/>
      </w:pPr>
      <w:r>
        <w:rPr>
          <w:rFonts w:ascii="Times New Roman" w:cs="Times New Roman" w:eastAsia="Times New Roman" w:hAnsi="Times New Roman"/>
          <w:sz w:val="23"/>
          <w:szCs w:val="23"/>
        </w:rPr>
        <w:t xml:space="preserve">L’application réalisée regroupe ces fonctions en trois onglets — l’interrogation, la collecte pour l’Annuaire et la mise à jour de la documentation —, le choix entre mode production et mode consultation s’opérant par un sélecteur unique et l’export sourcé étant intégré à l’onglet de collecte. Les figures 3.2 à 3.4 en présentent les principaux espaces, aux couleurs de la structure.</w:t>
      </w:r>
    </w:p>
    <w:p>
      <w:pPr>
        <w:keepNext/>
        <w:spacing w:after="60" w:before="120"/>
        <w:jc w:val="center"/>
      </w:pPr>
      <w:r>
        <w:rPr>
          <w:rFonts w:ascii="Times New Roman" w:cs="Times New Roman" w:eastAsia="Times New Roman" w:hAnsi="Times New Roman"/>
          <w:b/>
          <w:bCs/>
          <w:i/>
          <w:iCs/>
          <w:sz w:val="21"/>
          <w:szCs w:val="21"/>
        </w:rPr>
        <w:t xml:space="preserve">Figure 3.2 : Espace d’interrogation, avec réponse sourcée et passages d’origine</w:t>
      </w:r>
    </w:p>
    <w:p>
      <w:pPr>
        <w:spacing w:after="60" w:before="60"/>
        <w:jc w:val="center"/>
      </w:pPr>
      <w:r>
        <w:drawing>
          <wp:inline distT="0" distB="0" distL="0" distR="0">
            <wp:extent cx="4937760" cy="3608363"/>
            <wp:effectExtent l="0" t="0" r="0" b="0"/>
            <wp:docPr id="21" nam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3.2"/>
                    <pic:cNvPicPr/>
                  </pic:nvPicPr>
                  <pic:blipFill>
                    <a:blip r:embed="rId21"/>
                    <a:stretch>
                      <a:fillRect/>
                    </a:stretch>
                  </pic:blipFill>
                  <pic:spPr>
                    <a:xfrm>
                      <a:off x="0" y="0"/>
                      <a:ext cx="4937760" cy="3608363"/>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Source : Auteur.</w:t>
      </w:r>
    </w:p>
    <w:p>
      <w:pPr>
        <w:keepNext/>
        <w:spacing w:after="60" w:before="120"/>
        <w:jc w:val="center"/>
      </w:pPr>
      <w:r>
        <w:rPr>
          <w:rFonts w:ascii="Times New Roman" w:cs="Times New Roman" w:eastAsia="Times New Roman" w:hAnsi="Times New Roman"/>
          <w:b/>
          <w:bCs/>
          <w:i/>
          <w:iCs/>
          <w:sz w:val="21"/>
          <w:szCs w:val="21"/>
        </w:rPr>
        <w:t xml:space="preserve">Figure 3.3 : Espace de collecte pour l’Annuaire, avec la colonne des données chiffrées</w:t>
      </w:r>
    </w:p>
    <w:p>
      <w:pPr>
        <w:spacing w:after="60" w:before="60"/>
        <w:jc w:val="center"/>
      </w:pPr>
      <w:r>
        <w:drawing>
          <wp:inline distT="0" distB="0" distL="0" distR="0">
            <wp:extent cx="4937760" cy="3608363"/>
            <wp:effectExtent l="0" t="0" r="0" b="0"/>
            <wp:docPr id="22" nam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3.3"/>
                    <pic:cNvPicPr/>
                  </pic:nvPicPr>
                  <pic:blipFill>
                    <a:blip r:embed="rId22"/>
                    <a:stretch>
                      <a:fillRect/>
                    </a:stretch>
                  </pic:blipFill>
                  <pic:spPr>
                    <a:xfrm>
                      <a:off x="0" y="0"/>
                      <a:ext cx="4937760" cy="3608363"/>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Source : Auteur.</w:t>
      </w:r>
    </w:p>
    <w:p>
      <w:pPr>
        <w:keepNext/>
        <w:spacing w:after="60" w:before="120"/>
        <w:jc w:val="center"/>
      </w:pPr>
      <w:r>
        <w:rPr>
          <w:rFonts w:ascii="Times New Roman" w:cs="Times New Roman" w:eastAsia="Times New Roman" w:hAnsi="Times New Roman"/>
          <w:b/>
          <w:bCs/>
          <w:i/>
          <w:iCs/>
          <w:sz w:val="21"/>
          <w:szCs w:val="21"/>
        </w:rPr>
        <w:t xml:space="preserve">Figure 3.4 : Espace de mise à jour de la documentation</w:t>
      </w:r>
    </w:p>
    <w:p>
      <w:pPr>
        <w:spacing w:after="60" w:before="60"/>
        <w:jc w:val="center"/>
      </w:pPr>
      <w:r>
        <w:drawing>
          <wp:inline distT="0" distB="0" distL="0" distR="0">
            <wp:extent cx="4937760" cy="3608363"/>
            <wp:effectExtent l="0" t="0" r="0" b="0"/>
            <wp:docPr id="23" nam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3.4"/>
                    <pic:cNvPicPr/>
                  </pic:nvPicPr>
                  <pic:blipFill>
                    <a:blip r:embed="rId23"/>
                    <a:stretch>
                      <a:fillRect/>
                    </a:stretch>
                  </pic:blipFill>
                  <pic:spPr>
                    <a:xfrm>
                      <a:off x="0" y="0"/>
                      <a:ext cx="4937760" cy="3608363"/>
                    </a:xfrm>
                    <a:prstGeom prst="rect">
                      <a:avLst/>
                    </a:prstGeom>
                  </pic:spPr>
                </pic:pic>
              </a:graphicData>
            </a:graphic>
          </wp:inline>
        </w:drawing>
      </w:r>
    </w:p>
    <w:p>
      <w:pPr>
        <w:spacing w:after="160"/>
        <w:jc w:val="center"/>
      </w:pPr>
      <w:r>
        <w:rPr>
          <w:rFonts w:ascii="Times New Roman" w:cs="Times New Roman" w:eastAsia="Times New Roman" w:hAnsi="Times New Roman"/>
          <w:i/>
          <w:iCs/>
          <w:sz w:val="19"/>
          <w:szCs w:val="19"/>
        </w:rPr>
        <w:t xml:space="preserve">Source : Auteur.</w:t>
      </w:r>
    </w:p>
    <w:p>
      <w:pPr>
        <w:pStyle w:val="Heading3"/>
        <w:spacing w:after="120" w:before="220"/>
      </w:pPr>
      <w:r>
        <w:rPr>
          <w:rFonts w:ascii="Times New Roman" w:cs="Times New Roman" w:eastAsia="Times New Roman" w:hAnsi="Times New Roman"/>
          <w:b/>
          <w:bCs/>
          <w:color w:val="2F5496"/>
          <w:sz w:val="22"/>
          <w:szCs w:val="22"/>
        </w:rPr>
        <w:t xml:space="preserve">3.7.3. Les difficultés rencontrées et les solutions adoptées</w:t>
      </w:r>
    </w:p>
    <w:p>
      <w:pPr>
        <w:spacing w:after="140" w:line="320"/>
        <w:ind w:firstLine="360"/>
        <w:jc w:val="both"/>
      </w:pPr>
      <w:r>
        <w:rPr>
          <w:rFonts w:ascii="Times New Roman" w:cs="Times New Roman" w:eastAsia="Times New Roman" w:hAnsi="Times New Roman"/>
          <w:sz w:val="23"/>
          <w:szCs w:val="23"/>
        </w:rPr>
        <w:t xml:space="preserve">La mise au point du prototype a fait surgir plusieurs difficultés concrètes, dont la résolution constitue une part appréciable du travail effectivement réalisé.</w:t>
      </w:r>
    </w:p>
    <w:p>
      <w:pPr>
        <w:spacing w:after="140" w:line="320"/>
        <w:ind w:firstLine="360"/>
        <w:jc w:val="both"/>
      </w:pPr>
      <w:r>
        <w:rPr>
          <w:rFonts w:ascii="Times New Roman" w:cs="Times New Roman" w:eastAsia="Times New Roman" w:hAnsi="Times New Roman"/>
          <w:sz w:val="23"/>
          <w:szCs w:val="23"/>
        </w:rPr>
        <w:t xml:space="preserve">La première a trait aux </w:t>
      </w:r>
      <w:r>
        <w:rPr>
          <w:rFonts w:ascii="Times New Roman" w:cs="Times New Roman" w:eastAsia="Times New Roman" w:hAnsi="Times New Roman"/>
          <w:b/>
          <w:bCs/>
          <w:sz w:val="23"/>
          <w:szCs w:val="23"/>
        </w:rPr>
        <w:t xml:space="preserve">pages structurelles sans données</w:t>
      </w:r>
      <w:r>
        <w:rPr>
          <w:rFonts w:ascii="Times New Roman" w:cs="Times New Roman" w:eastAsia="Times New Roman" w:hAnsi="Times New Roman"/>
          <w:sz w:val="23"/>
          <w:szCs w:val="23"/>
        </w:rPr>
        <w:t xml:space="preserve">. Les annexes de l’Annuaire comportent des formulaires de collecte — des canevas d’intitulés tels que « Nombre de PME », « Effectif » ou « Total » — dont les champs sont vides. Interrogé sur un effectif, le système plaçait initialement ces pages en tête, par simple correspondance de mots-clés, au détriment des passages porteurs de la valeur recherchée. La solution combine un </w:t>
      </w:r>
      <w:r>
        <w:rPr>
          <w:rFonts w:ascii="Times New Roman" w:cs="Times New Roman" w:eastAsia="Times New Roman" w:hAnsi="Times New Roman"/>
          <w:b/>
          <w:bCs/>
          <w:sz w:val="23"/>
          <w:szCs w:val="23"/>
        </w:rPr>
        <w:t xml:space="preserve">indice d’informativité</w:t>
      </w:r>
      <w:r>
        <w:rPr>
          <w:rFonts w:ascii="Times New Roman" w:cs="Times New Roman" w:eastAsia="Times New Roman" w:hAnsi="Times New Roman"/>
          <w:sz w:val="23"/>
          <w:szCs w:val="23"/>
        </w:rPr>
        <w:t xml:space="preserve"> des passages, qui distingue une prose rédigée ou un tableau chiffré d’une simple liste d’intitulés, et l’exclusion, dès l’indexation, des formulaires vides caractérisés par de nombreux intitulés de champs et l’absence de statistique réelle. Après correction, l’interrogation « nombre de PME en 2023 » restitue la valeur attendue (393 954 entreprises dont 393 166 PME) et sa source.</w:t>
      </w:r>
    </w:p>
    <w:p>
      <w:pPr>
        <w:spacing w:after="140" w:line="320"/>
        <w:ind w:firstLine="360"/>
        <w:jc w:val="both"/>
      </w:pPr>
      <w:r>
        <w:rPr>
          <w:rFonts w:ascii="Times New Roman" w:cs="Times New Roman" w:eastAsia="Times New Roman" w:hAnsi="Times New Roman"/>
          <w:sz w:val="23"/>
          <w:szCs w:val="23"/>
        </w:rPr>
        <w:t xml:space="preserve">La deuxième tient à la </w:t>
      </w:r>
      <w:r>
        <w:rPr>
          <w:rFonts w:ascii="Times New Roman" w:cs="Times New Roman" w:eastAsia="Times New Roman" w:hAnsi="Times New Roman"/>
          <w:b/>
          <w:bCs/>
          <w:sz w:val="23"/>
          <w:szCs w:val="23"/>
        </w:rPr>
        <w:t xml:space="preserve">mise en page à deux colonnes</w:t>
      </w:r>
      <w:r>
        <w:rPr>
          <w:rFonts w:ascii="Times New Roman" w:cs="Times New Roman" w:eastAsia="Times New Roman" w:hAnsi="Times New Roman"/>
          <w:sz w:val="23"/>
          <w:szCs w:val="23"/>
        </w:rPr>
        <w:t xml:space="preserve"> des notes de conjoncture, dont l’extraction naïve entrelaçait les phrases de colonnes voisines et rendait les passages illisibles. Une extraction sensible aux colonnes, qui lit chaque colonne dans l’ordre avant de passer à la suivante, a rétabli la continuité de la prose restituée. Les sommaires et listes de tableaux, capturés par la même correspondance de mots-clés, ont de même été détectés et écartés de l’index.</w:t>
      </w:r>
    </w:p>
    <w:p>
      <w:pPr>
        <w:spacing w:after="140" w:line="320"/>
        <w:ind w:firstLine="360"/>
        <w:jc w:val="both"/>
      </w:pPr>
      <w:r>
        <w:rPr>
          <w:rFonts w:ascii="Times New Roman" w:cs="Times New Roman" w:eastAsia="Times New Roman" w:hAnsi="Times New Roman"/>
          <w:sz w:val="23"/>
          <w:szCs w:val="23"/>
        </w:rPr>
        <w:t xml:space="preserve">La troisième concerne la </w:t>
      </w:r>
      <w:r>
        <w:rPr>
          <w:rFonts w:ascii="Times New Roman" w:cs="Times New Roman" w:eastAsia="Times New Roman" w:hAnsi="Times New Roman"/>
          <w:b/>
          <w:bCs/>
          <w:sz w:val="23"/>
          <w:szCs w:val="23"/>
        </w:rPr>
        <w:t xml:space="preserve">restitution des données chiffrées</w:t>
      </w:r>
      <w:r>
        <w:rPr>
          <w:rFonts w:ascii="Times New Roman" w:cs="Times New Roman" w:eastAsia="Times New Roman" w:hAnsi="Times New Roman"/>
          <w:sz w:val="23"/>
          <w:szCs w:val="23"/>
        </w:rPr>
        <w:t xml:space="preserve">. La comparaison d’une valeur restituée à sa source devait tolérer les variantes d’écriture d’un même nombre — les séparateurs de milliers, la virgule décimale, le symbole de pourcentage — sans jamais accepter une valeur différente. L’appariement s’effectue donc sur une forme normalisée, complétée d’un repli sur la seule suite de chiffres, de sorte qu’un nombre écrit « 1 234 » ou « 1234 » soit reconnu tandis qu’une valeur voisine est rejetée et signalée.</w:t>
      </w:r>
    </w:p>
    <w:p>
      <w:pPr>
        <w:spacing w:after="140" w:line="320"/>
        <w:ind w:firstLine="360"/>
        <w:jc w:val="both"/>
      </w:pPr>
      <w:r>
        <w:rPr>
          <w:rFonts w:ascii="Times New Roman" w:cs="Times New Roman" w:eastAsia="Times New Roman" w:hAnsi="Times New Roman"/>
          <w:sz w:val="23"/>
          <w:szCs w:val="23"/>
        </w:rPr>
        <w:t xml:space="preserve">La quatrième, enfin, relève de la </w:t>
      </w:r>
      <w:r>
        <w:rPr>
          <w:rFonts w:ascii="Times New Roman" w:cs="Times New Roman" w:eastAsia="Times New Roman" w:hAnsi="Times New Roman"/>
          <w:b/>
          <w:bCs/>
          <w:sz w:val="23"/>
          <w:szCs w:val="23"/>
        </w:rPr>
        <w:t xml:space="preserve">contrainte de déploiement local</w:t>
      </w:r>
      <w:r>
        <w:rPr>
          <w:rFonts w:ascii="Times New Roman" w:cs="Times New Roman" w:eastAsia="Times New Roman" w:hAnsi="Times New Roman"/>
          <w:sz w:val="23"/>
          <w:szCs w:val="23"/>
        </w:rPr>
        <w:t xml:space="preserve">. L’accès aux modèles pré-entraînés n’étant pas garanti sur un poste isolé, les composants d’encodage vectoriel et de réordonnancement ont été conçus comme </w:t>
      </w:r>
      <w:r>
        <w:rPr>
          <w:rFonts w:ascii="Times New Roman" w:cs="Times New Roman" w:eastAsia="Times New Roman" w:hAnsi="Times New Roman"/>
          <w:b/>
          <w:bCs/>
          <w:sz w:val="23"/>
          <w:szCs w:val="23"/>
        </w:rPr>
        <w:t xml:space="preserve">enfichables</w:t>
      </w:r>
      <w:r>
        <w:rPr>
          <w:rFonts w:ascii="Times New Roman" w:cs="Times New Roman" w:eastAsia="Times New Roman" w:hAnsi="Times New Roman"/>
          <w:sz w:val="23"/>
          <w:szCs w:val="23"/>
        </w:rPr>
        <w:t xml:space="preserve"> : le système retient un encodeur neuronal local lorsqu’il est disponible et bascule automatiquement, sinon, sur un substitut hors-ligne, sans modification du code. Ce choix garantit que la chaîne fonctionne en toutes circonstances, au prix d’une composante sémantique réduite en l’absence d’encodeur neuronal, ainsi que l’analyse le précise au chapitre 4.</w:t>
      </w:r>
    </w:p>
    <w:p>
      <w:pPr>
        <w:spacing w:after="140" w:line="320"/>
        <w:ind w:firstLine="360"/>
        <w:jc w:val="both"/>
      </w:pPr>
      <w:r>
        <w:rPr>
          <w:rFonts w:ascii="Times New Roman" w:cs="Times New Roman" w:eastAsia="Times New Roman" w:hAnsi="Times New Roman"/>
          <w:sz w:val="23"/>
          <w:szCs w:val="23"/>
        </w:rPr>
        <w:t xml:space="preserve">Une limite demeure et est assumée : sur une question hors du champ du corpus mais posée dans un corpus non vide, le système ne s’abstient pas encore systématiquement, faute d’un seuil de pertinence en deçà duquel aucune réponse ne serait produite. Son introduction constitue l’amélioration prioritaire de la restitution, identifiée au chapitre 4.</w:t>
      </w:r>
    </w:p>
    <w:p>
      <w:pPr>
        <w:pStyle w:val="Heading2"/>
        <w:spacing w:after="140" w:before="280"/>
      </w:pPr>
      <w:r>
        <w:rPr>
          <w:rFonts w:ascii="Times New Roman" w:cs="Times New Roman" w:eastAsia="Times New Roman" w:hAnsi="Times New Roman"/>
          <w:b/>
          <w:bCs/>
          <w:color w:val="2F5496"/>
          <w:sz w:val="24"/>
          <w:szCs w:val="24"/>
        </w:rPr>
        <w:t xml:space="preserve">Conclusion du chapitre</w:t>
      </w:r>
    </w:p>
    <w:p>
      <w:pPr>
        <w:spacing w:after="140" w:line="320"/>
        <w:ind w:firstLine="360"/>
        <w:jc w:val="both"/>
      </w:pPr>
      <w:r>
        <w:rPr>
          <w:rFonts w:ascii="Times New Roman" w:cs="Times New Roman" w:eastAsia="Times New Roman" w:hAnsi="Times New Roman"/>
          <w:sz w:val="23"/>
          <w:szCs w:val="23"/>
        </w:rPr>
        <w:t xml:space="preserve">Ce chapitre a traduit les spécifications du chapitre 2 en une architecture opérationnelle. Le système repose sur deux phases distinctes, une indexation hors ligne et une interrogation en ligne, communiquant par une base de données unique qui associe métadonnées, index lexical et index vectoriel, et permet de combiner filtrage attributaire et recherche par similarité dans une même instruction.</w:t>
      </w:r>
    </w:p>
    <w:p>
      <w:pPr>
        <w:spacing w:after="140" w:line="320"/>
        <w:ind w:firstLine="360"/>
        <w:jc w:val="both"/>
      </w:pPr>
      <w:r>
        <w:rPr>
          <w:rFonts w:ascii="Times New Roman" w:cs="Times New Roman" w:eastAsia="Times New Roman" w:hAnsi="Times New Roman"/>
          <w:sz w:val="23"/>
          <w:szCs w:val="23"/>
        </w:rPr>
        <w:t xml:space="preserve">La chaîne d'ingestion accorde une place centrale au traitement des tableaux, spécificité déterminante du corpus du ministère, en linéarisant chaque valeur avec ses en-têtes plutôt qu'en la soumettant à un découpage de taille fixe qui la priverait de son sens. La récupération combine un moteur lexical et un moteur sémantique exécutés en parallèle, dont les classements sont fusionnés par rangs réciproques puis affinés par réordonnancement.</w:t>
      </w:r>
    </w:p>
    <w:p>
      <w:pPr>
        <w:spacing w:after="140" w:line="320"/>
        <w:ind w:firstLine="360"/>
        <w:jc w:val="both"/>
      </w:pPr>
      <w:r>
        <w:rPr>
          <w:rFonts w:ascii="Times New Roman" w:cs="Times New Roman" w:eastAsia="Times New Roman" w:hAnsi="Times New Roman"/>
          <w:sz w:val="23"/>
          <w:szCs w:val="23"/>
        </w:rPr>
        <w:t xml:space="preserve">La restitution est enfin encadrée par un dispositif à trois niveaux : une instruction qui interdit explicitement la production de valeurs chiffrées absentes du contexte ainsi que tout calcul dérivé, un contrôle automatique qui vérifie l'appariement de chaque valeur numérique et signale celles qui échouent, et un mécanisme d'abstention qui conduit le système à reconnaître les limites de son corpus. Le cloisonnement entre mode production et mode consultation est assuré au niveau de la requête à la base et non de l'affichage, ce qui le rend structurel et non déclaratif.</w:t>
      </w:r>
    </w:p>
    <w:p>
      <w:pPr>
        <w:spacing w:after="140" w:line="320"/>
        <w:ind w:firstLine="360"/>
        <w:jc w:val="both"/>
      </w:pPr>
      <w:r>
        <w:rPr>
          <w:rFonts w:ascii="Times New Roman" w:cs="Times New Roman" w:eastAsia="Times New Roman" w:hAnsi="Times New Roman"/>
          <w:sz w:val="23"/>
          <w:szCs w:val="23"/>
        </w:rPr>
        <w:t xml:space="preserve">Le chapitre suivant soumet cette architecture à l'expérimentation, compare les configurations définies au chapitre 2 et confronte les résultats obtenus aux critères de validation fixés a priori.</w:t>
      </w:r>
    </w:p>
    <w:p>
      <w:r>
        <w:br w:type="page"/>
      </w:r>
    </w:p>
    <w:p>
      <w:pPr>
        <w:pStyle w:val="Heading1"/>
        <w:spacing w:after="200" w:before="360"/>
      </w:pPr>
      <w:r>
        <w:rPr>
          <w:rFonts w:ascii="Times New Roman" w:cs="Times New Roman" w:eastAsia="Times New Roman" w:hAnsi="Times New Roman"/>
          <w:b/>
          <w:bCs/>
          <w:color w:val="1F3864"/>
          <w:sz w:val="28"/>
          <w:szCs w:val="28"/>
        </w:rPr>
        <w:t xml:space="preserve">CHAPITRE 4. EXPÉRIMENTATION, ÉVALUATION ET DISCUSSION</w:t>
      </w:r>
    </w:p>
    <w:p>
      <w:pPr>
        <w:spacing w:after="140" w:line="320"/>
        <w:ind w:firstLine="360"/>
        <w:jc w:val="both"/>
      </w:pPr>
      <w:r>
        <w:rPr>
          <w:rFonts w:ascii="Times New Roman" w:cs="Times New Roman" w:eastAsia="Times New Roman" w:hAnsi="Times New Roman"/>
          <w:sz w:val="23"/>
          <w:szCs w:val="23"/>
        </w:rPr>
        <w:t xml:space="preserve">Le chapitre précédent a présenté la conception et l’implémentation de l’artefact. Le présent chapitre le soumet à l’expérimentation. Il décrit d’abord le corpus, le jeu de test et les configurations effectivement comparées, en précisant l’environnement d’exécution mobilisé et ses implications sur la portée des résultats. Il présente ensuite les résultats de la récupération, puis ceux relatifs à la qualité et à la fidélité des réponses, avant d’aborder le gain opérationnel. Une analyse des erreurs précède la confrontation des résultats aux critères de validation fixés a priori au chapitre 2, puis une discussion des apports, des limites et des perspectives. Conformément à la gradation retenue à la section 2.6.5, chaque hypothèse est déclarée validée, partiellement validée ou non validée, tout verdict étant accompagné de son interprétation.</w:t>
      </w:r>
    </w:p>
    <w:p>
      <w:pPr>
        <w:pStyle w:val="Heading2"/>
        <w:spacing w:after="140" w:before="280"/>
      </w:pPr>
      <w:r>
        <w:rPr>
          <w:rFonts w:ascii="Times New Roman" w:cs="Times New Roman" w:eastAsia="Times New Roman" w:hAnsi="Times New Roman"/>
          <w:b/>
          <w:bCs/>
          <w:color w:val="2F5496"/>
          <w:sz w:val="24"/>
          <w:szCs w:val="24"/>
        </w:rPr>
        <w:t xml:space="preserve">4.1. Corpus, jeu de test et configurations comparées</w:t>
      </w:r>
    </w:p>
    <w:p>
      <w:pPr>
        <w:pStyle w:val="Heading3"/>
        <w:spacing w:after="120" w:before="220"/>
      </w:pPr>
      <w:r>
        <w:rPr>
          <w:rFonts w:ascii="Times New Roman" w:cs="Times New Roman" w:eastAsia="Times New Roman" w:hAnsi="Times New Roman"/>
          <w:b/>
          <w:bCs/>
          <w:color w:val="2F5496"/>
          <w:sz w:val="22"/>
          <w:szCs w:val="22"/>
        </w:rPr>
        <w:t xml:space="preserve">4.1.1. Le corpus d’expérimentation</w:t>
      </w:r>
    </w:p>
    <w:p>
      <w:pPr>
        <w:spacing w:after="140" w:line="320"/>
        <w:ind w:firstLine="360"/>
        <w:jc w:val="both"/>
      </w:pPr>
      <w:r>
        <w:rPr>
          <w:rFonts w:ascii="Times New Roman" w:cs="Times New Roman" w:eastAsia="Times New Roman" w:hAnsi="Times New Roman"/>
          <w:sz w:val="23"/>
          <w:szCs w:val="23"/>
        </w:rPr>
        <w:t xml:space="preserve">L’expérimentation rapportée dans ce chapitre porte sur un corpus de démonstration constitué des documents publics effectivement disponibles au moment de la mise au point de l’artefact : l’Annuaire statistique 2022 sur les PMEESA et trois notes de conjoncture trimestrielles (deuxième et troisième trimestres 2024, premier trimestre 2025). Ce corpus réduit suffit à valider le fonctionnement de la chaîne de bout en bout et les propriétés de conception du système ; le protocole défini au chapitre 2 s’applique à l’identique au corpus complet, une fois réunis les documents intermédiaires internes dont la collecte reste à finaliser (Tableau 2.2).</w:t>
      </w:r>
    </w:p>
    <w:p>
      <w:pPr>
        <w:spacing w:after="140" w:line="320"/>
        <w:ind w:firstLine="360"/>
        <w:jc w:val="both"/>
      </w:pPr>
      <w:r>
        <w:rPr>
          <w:rFonts w:ascii="Times New Roman" w:cs="Times New Roman" w:eastAsia="Times New Roman" w:hAnsi="Times New Roman"/>
          <w:sz w:val="23"/>
          <w:szCs w:val="23"/>
        </w:rPr>
        <w:t xml:space="preserve">Afin de rendre le cloisonnement des deux modes observable et mesurable, la note de conjoncture du premier trimestre 2025 a été enregistrée avec le statut de diffusion </w:t>
      </w:r>
      <w:r>
        <w:rPr>
          <w:rFonts w:ascii="Times New Roman" w:cs="Times New Roman" w:eastAsia="Times New Roman" w:hAnsi="Times New Roman"/>
          <w:b/>
          <w:bCs/>
          <w:sz w:val="23"/>
          <w:szCs w:val="23"/>
        </w:rPr>
        <w:t xml:space="preserve">interne</w:t>
      </w:r>
      <w:r>
        <w:rPr>
          <w:rFonts w:ascii="Times New Roman" w:cs="Times New Roman" w:eastAsia="Times New Roman" w:hAnsi="Times New Roman"/>
          <w:sz w:val="23"/>
          <w:szCs w:val="23"/>
        </w:rPr>
        <w:t xml:space="preserve">, simulant une note de travail non encore consolidée dans une publication validée ; les trois autres documents portent le statut </w:t>
      </w:r>
      <w:r>
        <w:rPr>
          <w:rFonts w:ascii="Times New Roman" w:cs="Times New Roman" w:eastAsia="Times New Roman" w:hAnsi="Times New Roman"/>
          <w:b/>
          <w:bCs/>
          <w:sz w:val="23"/>
          <w:szCs w:val="23"/>
        </w:rPr>
        <w:t xml:space="preserve">publié</w:t>
      </w:r>
      <w:r>
        <w:rPr>
          <w:rFonts w:ascii="Times New Roman" w:cs="Times New Roman" w:eastAsia="Times New Roman" w:hAnsi="Times New Roman"/>
          <w:sz w:val="23"/>
          <w:szCs w:val="23"/>
        </w:rPr>
        <w:t xml:space="preserve">. Après ingestion, le corpus est segmenté en </w:t>
      </w:r>
      <w:r>
        <w:rPr>
          <w:rFonts w:ascii="Times New Roman" w:cs="Times New Roman" w:eastAsia="Times New Roman" w:hAnsi="Times New Roman"/>
          <w:b/>
          <w:bCs/>
          <w:sz w:val="23"/>
          <w:szCs w:val="23"/>
        </w:rPr>
        <w:t xml:space="preserve">211 passages</w:t>
      </w:r>
      <w:r>
        <w:rPr>
          <w:rFonts w:ascii="Times New Roman" w:cs="Times New Roman" w:eastAsia="Times New Roman" w:hAnsi="Times New Roman"/>
          <w:sz w:val="23"/>
          <w:szCs w:val="23"/>
        </w:rPr>
        <w:t xml:space="preserve"> indexés, chacun documenté par les métadonnées définies à la section 2.5.3 (document, page, section, type, statut de diffusion, présence de chiffres).</w:t>
      </w:r>
    </w:p>
    <w:p>
      <w:pPr>
        <w:pStyle w:val="Heading3"/>
        <w:spacing w:after="120" w:before="220"/>
      </w:pPr>
      <w:r>
        <w:rPr>
          <w:rFonts w:ascii="Times New Roman" w:cs="Times New Roman" w:eastAsia="Times New Roman" w:hAnsi="Times New Roman"/>
          <w:b/>
          <w:bCs/>
          <w:color w:val="2F5496"/>
          <w:sz w:val="22"/>
          <w:szCs w:val="22"/>
        </w:rPr>
        <w:t xml:space="preserve">4.1.2. L’environnement d’exécution</w:t>
      </w:r>
    </w:p>
    <w:p>
      <w:pPr>
        <w:spacing w:after="140" w:line="320"/>
        <w:ind w:firstLine="360"/>
        <w:jc w:val="both"/>
      </w:pPr>
      <w:r>
        <w:rPr>
          <w:rFonts w:ascii="Times New Roman" w:cs="Times New Roman" w:eastAsia="Times New Roman" w:hAnsi="Times New Roman"/>
          <w:sz w:val="23"/>
          <w:szCs w:val="23"/>
        </w:rPr>
        <w:t xml:space="preserve">La contrainte de déploiement local exposée à la section 2.5.2 et au chapitre 3 impose que l’ensemble de la chaîne s’exécute sans transmission de données vers un service externe. Dans l’environnement de mise au point utilisé pour ce chapitre, l’accès réseau aux dépôts de modèles pré-entraînés n’était pas disponible. Le système a donc fonctionné dans sa </w:t>
      </w:r>
      <w:r>
        <w:rPr>
          <w:rFonts w:ascii="Times New Roman" w:cs="Times New Roman" w:eastAsia="Times New Roman" w:hAnsi="Times New Roman"/>
          <w:b/>
          <w:bCs/>
          <w:sz w:val="23"/>
          <w:szCs w:val="23"/>
        </w:rPr>
        <w:t xml:space="preserve">configuration hors-ligne</w:t>
      </w:r>
      <w:r>
        <w:rPr>
          <w:rFonts w:ascii="Times New Roman" w:cs="Times New Roman" w:eastAsia="Times New Roman" w:hAnsi="Times New Roman"/>
          <w:sz w:val="23"/>
          <w:szCs w:val="23"/>
        </w:rPr>
        <w:t xml:space="preserve">, où la recherche sémantique repose sur un substitut vectoriel de type analyse sémantique latente (TF-IDF réduit par décomposition en valeurs singulières, 384 dimensions) et le réordonnancement sur un réordonnanceur à traits explicites, l’un et l’autre décrits au chapitre 3.</w:t>
      </w:r>
    </w:p>
    <w:p>
      <w:pPr>
        <w:spacing w:after="140" w:line="320"/>
        <w:ind w:firstLine="360"/>
        <w:jc w:val="both"/>
      </w:pPr>
      <w:r>
        <w:rPr>
          <w:rFonts w:ascii="Times New Roman" w:cs="Times New Roman" w:eastAsia="Times New Roman" w:hAnsi="Times New Roman"/>
          <w:sz w:val="23"/>
          <w:szCs w:val="23"/>
        </w:rPr>
        <w:t xml:space="preserve">Ce point doit être explicité car il conditionne l’interprétation des résultats de récupération. Le substitut vectoriel, fondé sur un sac de mots pondéré, demeure fortement corrélé à la recherche lexicale ; il capte une part de la synonymie mais reste en deçà d’un encodeur de phrases neuronal. La </w:t>
      </w:r>
      <w:r>
        <w:rPr>
          <w:rFonts w:ascii="Times New Roman" w:cs="Times New Roman" w:eastAsia="Times New Roman" w:hAnsi="Times New Roman"/>
          <w:b/>
          <w:bCs/>
          <w:sz w:val="23"/>
          <w:szCs w:val="23"/>
        </w:rPr>
        <w:t xml:space="preserve">configuration de référence</w:t>
      </w:r>
      <w:r>
        <w:rPr>
          <w:rFonts w:ascii="Times New Roman" w:cs="Times New Roman" w:eastAsia="Times New Roman" w:hAnsi="Times New Roman"/>
          <w:sz w:val="23"/>
          <w:szCs w:val="23"/>
        </w:rPr>
        <w:t xml:space="preserve"> — encodeur multilingue de type MiniLM et cross-encodeur, exécutés localement — constitue le régime nominal du système ; l’architecture étant indépendante du modèle, elle se substitue au substitut sans modifier le code ni le protocole. Les résultats ci-après doivent donc être lus comme une </w:t>
      </w:r>
      <w:r>
        <w:rPr>
          <w:rFonts w:ascii="Times New Roman" w:cs="Times New Roman" w:eastAsia="Times New Roman" w:hAnsi="Times New Roman"/>
          <w:b/>
          <w:bCs/>
          <w:sz w:val="23"/>
          <w:szCs w:val="23"/>
        </w:rPr>
        <w:t xml:space="preserve">borne inférieure</w:t>
      </w:r>
      <w:r>
        <w:rPr>
          <w:rFonts w:ascii="Times New Roman" w:cs="Times New Roman" w:eastAsia="Times New Roman" w:hAnsi="Times New Roman"/>
          <w:sz w:val="23"/>
          <w:szCs w:val="23"/>
        </w:rPr>
        <w:t xml:space="preserve"> de la performance atteignable : ils établissent la validité fonctionnelle du dispositif et la solidité de ses garanties de restitution, la complémentarité sémantique n’étant que partiellement exploitée.</w:t>
      </w:r>
    </w:p>
    <w:p>
      <w:pPr>
        <w:pStyle w:val="Heading3"/>
        <w:spacing w:after="120" w:before="220"/>
      </w:pPr>
      <w:r>
        <w:rPr>
          <w:rFonts w:ascii="Times New Roman" w:cs="Times New Roman" w:eastAsia="Times New Roman" w:hAnsi="Times New Roman"/>
          <w:b/>
          <w:bCs/>
          <w:color w:val="2F5496"/>
          <w:sz w:val="22"/>
          <w:szCs w:val="22"/>
        </w:rPr>
        <w:t xml:space="preserve">4.1.3. Le jeu de test mobilisé</w:t>
      </w:r>
    </w:p>
    <w:p>
      <w:pPr>
        <w:spacing w:after="140" w:line="320"/>
        <w:ind w:firstLine="360"/>
        <w:jc w:val="both"/>
      </w:pPr>
      <w:r>
        <w:rPr>
          <w:rFonts w:ascii="Times New Roman" w:cs="Times New Roman" w:eastAsia="Times New Roman" w:hAnsi="Times New Roman"/>
          <w:sz w:val="23"/>
          <w:szCs w:val="23"/>
        </w:rPr>
        <w:t xml:space="preserve">Le jeu de test complet prévu à la section 2.6.2 repose sur les questions réellement posées par les agents, dont le recensement reste à mener avec la structure d’accueil. Pour la présente expérimentation, un jeu de </w:t>
      </w:r>
      <w:r>
        <w:rPr>
          <w:rFonts w:ascii="Times New Roman" w:cs="Times New Roman" w:eastAsia="Times New Roman" w:hAnsi="Times New Roman"/>
          <w:b/>
          <w:bCs/>
          <w:sz w:val="23"/>
          <w:szCs w:val="23"/>
        </w:rPr>
        <w:t xml:space="preserve">dix-huit questions</w:t>
      </w:r>
      <w:r>
        <w:rPr>
          <w:rFonts w:ascii="Times New Roman" w:cs="Times New Roman" w:eastAsia="Times New Roman" w:hAnsi="Times New Roman"/>
          <w:sz w:val="23"/>
          <w:szCs w:val="23"/>
        </w:rPr>
        <w:t xml:space="preserve"> a été construit et annoté manuellement à partir du contenu vérifiable du corpus de démonstration. Chaque question est associée à sa vérité de terrain au niveau du couple (document, page) et, le cas échéant, aux valeurs chiffrées attendues, l’annotation ayant été fixée avant toute exécution du système. Quatre de ces questions portent sur une information présente uniquement dans le document interne : elles servent à éprouver le cloisonnement du mode consultation.</w:t>
      </w:r>
    </w:p>
    <w:p>
      <w:pPr>
        <w:spacing w:after="140" w:line="320"/>
        <w:ind w:firstLine="360"/>
        <w:jc w:val="both"/>
      </w:pPr>
      <w:r>
        <w:rPr>
          <w:rFonts w:ascii="Times New Roman" w:cs="Times New Roman" w:eastAsia="Times New Roman" w:hAnsi="Times New Roman"/>
          <w:sz w:val="23"/>
          <w:szCs w:val="23"/>
        </w:rPr>
        <w:t xml:space="preserve">À COMPLÉTER : le recensement des questions posées par les agents et par les utilisateurs des publications, qui portera le jeu de test à l’effectif et à la répartition par catégorie du Tableau 2.5, dont l’ensemble de requêtes hors périmètre destiné à mesurer le taux d’abstention.</w:t>
      </w:r>
    </w:p>
    <w:p>
      <w:pPr>
        <w:pStyle w:val="Heading3"/>
        <w:spacing w:after="120" w:before="220"/>
      </w:pPr>
      <w:r>
        <w:rPr>
          <w:rFonts w:ascii="Times New Roman" w:cs="Times New Roman" w:eastAsia="Times New Roman" w:hAnsi="Times New Roman"/>
          <w:b/>
          <w:bCs/>
          <w:color w:val="2F5496"/>
          <w:sz w:val="22"/>
          <w:szCs w:val="22"/>
        </w:rPr>
        <w:t xml:space="preserve">4.1.4. Les configurations comparées</w:t>
      </w:r>
    </w:p>
    <w:p>
      <w:pPr>
        <w:spacing w:after="140" w:line="320"/>
        <w:ind w:firstLine="360"/>
        <w:jc w:val="both"/>
      </w:pPr>
      <w:r>
        <w:rPr>
          <w:rFonts w:ascii="Times New Roman" w:cs="Times New Roman" w:eastAsia="Times New Roman" w:hAnsi="Times New Roman"/>
          <w:sz w:val="23"/>
          <w:szCs w:val="23"/>
        </w:rPr>
        <w:t xml:space="preserve">Les configurations C1 à C4 du Tableau 2.4 ont été exécutées sur le même corpus indexé et le même jeu de test, seule variant la brique étudiée : la configuration lexicale seule (C1), la configuration sémantique seule (C2), la fusion hybride des deux (C3) et la configuration hybride augmentée du filtrage par métadonnées et du réordonnancement (C4). Les configurations C0 (restitution sans récupération) et C5 (restitution rédigée sous contrainte de citation littérale) supposent la mobilisation d’un modèle de langage génératif local ; leur exécution complète est réservée à la configuration de référence.</w:t>
      </w:r>
    </w:p>
    <w:p>
      <w:pPr>
        <w:spacing w:after="140" w:line="320"/>
        <w:ind w:firstLine="360"/>
        <w:jc w:val="both"/>
      </w:pPr>
      <w:r>
        <w:rPr>
          <w:rFonts w:ascii="Times New Roman" w:cs="Times New Roman" w:eastAsia="Times New Roman" w:hAnsi="Times New Roman"/>
          <w:sz w:val="23"/>
          <w:szCs w:val="23"/>
        </w:rPr>
        <w:t xml:space="preserve">À COMPLÉTER : l’exécution des configurations C0 et C5 avec un modèle de langage local, qui fournira la référence basse nécessaire à la mesure de la réduction du taux d’énoncés non soutenus prévue au titre de H3.</w:t>
      </w:r>
    </w:p>
    <w:p>
      <w:pPr>
        <w:pStyle w:val="Heading2"/>
        <w:spacing w:after="140" w:before="280"/>
      </w:pPr>
      <w:r>
        <w:rPr>
          <w:rFonts w:ascii="Times New Roman" w:cs="Times New Roman" w:eastAsia="Times New Roman" w:hAnsi="Times New Roman"/>
          <w:b/>
          <w:bCs/>
          <w:color w:val="2F5496"/>
          <w:sz w:val="24"/>
          <w:szCs w:val="24"/>
        </w:rPr>
        <w:t xml:space="preserve">4.2. Résultats de la récupération</w:t>
      </w:r>
    </w:p>
    <w:p>
      <w:pPr>
        <w:spacing w:after="140" w:line="320"/>
        <w:ind w:firstLine="360"/>
        <w:jc w:val="both"/>
      </w:pPr>
      <w:r>
        <w:rPr>
          <w:rFonts w:ascii="Times New Roman" w:cs="Times New Roman" w:eastAsia="Times New Roman" w:hAnsi="Times New Roman"/>
          <w:sz w:val="23"/>
          <w:szCs w:val="23"/>
        </w:rPr>
        <w:t xml:space="preserve">Le Tableau 4.1 présente, pour chaque configuration, la précision et le rappel aux rangs 3 et 5, le rang réciproque moyen et le gain cumulé actualisé normalisé aux rangs 3 et 5, moyennés sur le jeu de test. Le gain cumulé actualisé normalisé au rang 5 constitue, conformément au chapitre 1, la métrique principale de cette dimension.</w:t>
      </w:r>
    </w:p>
    <w:p>
      <w:pPr>
        <w:spacing w:after="60" w:before="120"/>
        <w:jc w:val="center"/>
      </w:pPr>
      <w:r>
        <w:rPr>
          <w:rFonts w:ascii="Times New Roman" w:cs="Times New Roman" w:eastAsia="Times New Roman" w:hAnsi="Times New Roman"/>
          <w:b/>
          <w:bCs/>
          <w:i/>
          <w:iCs/>
          <w:sz w:val="21"/>
          <w:szCs w:val="21"/>
        </w:rPr>
        <w:t xml:space="preserve">Tableau 4.1 : Résultats de récupération par configuration (configuration hors-ligne)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0"/>
        <w:gridCol w:w="940"/>
        <w:gridCol w:w="940"/>
        <w:gridCol w:w="940"/>
        <w:gridCol w:w="940"/>
        <w:gridCol w:w="940"/>
        <w:gridCol w:w="940"/>
        <w:gridCol w:w="900"/>
      </w:tblGrid>
      <w:tr>
        <w:trPr>
          <w:tblHeader/>
        </w:trPr>
        <w:tc>
          <w:tcPr>
            <w:tcW w:type="dxa" w:w="282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Configuration</w:t>
            </w:r>
          </w:p>
        </w:tc>
        <w:tc>
          <w:tcPr>
            <w:tcW w:type="dxa" w:w="9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P@3</w:t>
            </w:r>
          </w:p>
        </w:tc>
        <w:tc>
          <w:tcPr>
            <w:tcW w:type="dxa" w:w="9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P@5</w:t>
            </w:r>
          </w:p>
        </w:tc>
        <w:tc>
          <w:tcPr>
            <w:tcW w:type="dxa" w:w="9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R@3</w:t>
            </w:r>
          </w:p>
        </w:tc>
        <w:tc>
          <w:tcPr>
            <w:tcW w:type="dxa" w:w="9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R@5</w:t>
            </w:r>
          </w:p>
        </w:tc>
        <w:tc>
          <w:tcPr>
            <w:tcW w:type="dxa" w:w="9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MRR</w:t>
            </w:r>
          </w:p>
        </w:tc>
        <w:tc>
          <w:tcPr>
            <w:tcW w:type="dxa" w:w="9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nDCG@3</w:t>
            </w:r>
          </w:p>
        </w:tc>
        <w:tc>
          <w:tcPr>
            <w:tcW w:type="dxa" w:w="9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nDCG@5</w:t>
            </w:r>
          </w:p>
        </w:tc>
      </w:tr>
      <w:tr>
        <w:tc>
          <w:tcPr>
            <w:tcW w:type="dxa" w:w="282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C1. Lexicale seule</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0,463</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0,333</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0,503</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0,605</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0,861</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0,610</w:t>
            </w:r>
          </w:p>
        </w:tc>
        <w:tc>
          <w:tcPr>
            <w:tcW w:type="dxa" w:w="9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0,613</w:t>
            </w:r>
          </w:p>
        </w:tc>
      </w:tr>
      <w:tr>
        <w:tc>
          <w:tcPr>
            <w:tcW w:type="dxa" w:w="282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C2. Sémantique seule</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0,481</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0,356</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0,523</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0,634</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0,821</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0,613</w:t>
            </w:r>
          </w:p>
        </w:tc>
        <w:tc>
          <w:tcPr>
            <w:tcW w:type="dxa" w:w="9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0,624</w:t>
            </w:r>
          </w:p>
        </w:tc>
      </w:tr>
      <w:tr>
        <w:tc>
          <w:tcPr>
            <w:tcW w:type="dxa" w:w="282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C3. Hybride</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0,463</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0,344</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0,507</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0,619</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0,858</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0,610</w:t>
            </w:r>
          </w:p>
        </w:tc>
        <w:tc>
          <w:tcPr>
            <w:tcW w:type="dxa" w:w="9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0,621</w:t>
            </w:r>
          </w:p>
        </w:tc>
      </w:tr>
      <w:tr>
        <w:tc>
          <w:tcPr>
            <w:tcW w:type="dxa" w:w="282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C4. Hybride, métadonnées et reranking</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0,500</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0,344</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0,540</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0,623</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0,800</w:t>
            </w:r>
          </w:p>
        </w:tc>
        <w:tc>
          <w:tcPr>
            <w:tcW w:type="dxa" w:w="9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0,627</w:t>
            </w:r>
          </w:p>
        </w:tc>
        <w:tc>
          <w:tcPr>
            <w:tcW w:type="dxa" w:w="9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0,618</w:t>
            </w:r>
          </w:p>
        </w:tc>
      </w:tr>
    </w:tbl>
    <w:p>
      <w:pPr>
        <w:spacing w:after="0"/>
      </w:pPr>
    </w:p>
    <w:p>
      <w:pPr>
        <w:spacing w:after="160" w:before="20"/>
        <w:jc w:val="center"/>
      </w:pPr>
      <w:r>
        <w:rPr>
          <w:rFonts w:ascii="Times New Roman" w:cs="Times New Roman" w:eastAsia="Times New Roman" w:hAnsi="Times New Roman"/>
          <w:i/>
          <w:iCs/>
          <w:sz w:val="19"/>
          <w:szCs w:val="19"/>
        </w:rPr>
        <w:t xml:space="preserve">Source : Auteur.</w:t>
      </w:r>
    </w:p>
    <w:p>
      <w:pPr>
        <w:spacing w:after="140" w:line="320"/>
        <w:ind w:firstLine="360"/>
        <w:jc w:val="both"/>
      </w:pPr>
      <w:r>
        <w:rPr>
          <w:rFonts w:ascii="Times New Roman" w:cs="Times New Roman" w:eastAsia="Times New Roman" w:hAnsi="Times New Roman"/>
          <w:sz w:val="23"/>
          <w:szCs w:val="23"/>
        </w:rPr>
        <w:t xml:space="preserve">Trois enseignements se dégagent. Premièrement, les deux récupérations simples atteignent un niveau élevé et voisin : la recherche lexicale place le premier passage pertinent très haut (rang réciproque moyen de 0,861), tandis que la recherche sémantique offre un rappel et une précision légèrement supérieurs (gain cumulé actualisé normalisé au rang 5 de 0,624). Cette proximité est attendue en configuration hors-ligne, où le canal sémantique substitué demeure de nature lexicale.</w:t>
      </w:r>
    </w:p>
    <w:p>
      <w:pPr>
        <w:spacing w:after="140" w:line="320"/>
        <w:ind w:firstLine="360"/>
        <w:jc w:val="both"/>
      </w:pPr>
      <w:r>
        <w:rPr>
          <w:rFonts w:ascii="Times New Roman" w:cs="Times New Roman" w:eastAsia="Times New Roman" w:hAnsi="Times New Roman"/>
          <w:sz w:val="23"/>
          <w:szCs w:val="23"/>
        </w:rPr>
        <w:t xml:space="preserve">Deuxièmement, la fusion hybride (C3) se situe au niveau des meilleures configurations simples sans les dépasser nettement : son gain cumulé actualisé normalisé au rang 5 (0,621) est équivalent à celui de la meilleure configuration simple (0,624). La complémentarité des deux canaux, condition de l’apport de la fusion, ne peut se manifester pleinement lorsque ces canaux sont corrélés ; elle est attendue en configuration de référence, où le canal sémantique neuronal apporte un signal distinct du signal lexical.</w:t>
      </w:r>
    </w:p>
    <w:p>
      <w:pPr>
        <w:spacing w:after="140" w:line="320"/>
        <w:ind w:firstLine="360"/>
        <w:jc w:val="both"/>
      </w:pPr>
      <w:r>
        <w:rPr>
          <w:rFonts w:ascii="Times New Roman" w:cs="Times New Roman" w:eastAsia="Times New Roman" w:hAnsi="Times New Roman"/>
          <w:sz w:val="23"/>
          <w:szCs w:val="23"/>
        </w:rPr>
        <w:t xml:space="preserve">Troisièmement, l’ajout du filtrage par métadonnées et du réordonnancement (C4) améliore sensiblement la </w:t>
      </w:r>
      <w:r>
        <w:rPr>
          <w:rFonts w:ascii="Times New Roman" w:cs="Times New Roman" w:eastAsia="Times New Roman" w:hAnsi="Times New Roman"/>
          <w:b/>
          <w:bCs/>
          <w:sz w:val="23"/>
          <w:szCs w:val="23"/>
        </w:rPr>
        <w:t xml:space="preserve">précision du sommet de liste</w:t>
      </w:r>
      <w:r>
        <w:rPr>
          <w:rFonts w:ascii="Times New Roman" w:cs="Times New Roman" w:eastAsia="Times New Roman" w:hAnsi="Times New Roman"/>
          <w:sz w:val="23"/>
          <w:szCs w:val="23"/>
        </w:rPr>
        <w:t xml:space="preserve"> : la précision au rang 3 progresse de 0,463 à </w:t>
      </w:r>
      <w:r>
        <w:rPr>
          <w:rFonts w:ascii="Times New Roman" w:cs="Times New Roman" w:eastAsia="Times New Roman" w:hAnsi="Times New Roman"/>
          <w:b/>
          <w:bCs/>
          <w:sz w:val="23"/>
          <w:szCs w:val="23"/>
        </w:rPr>
        <w:t xml:space="preserve">0,500</w:t>
      </w:r>
      <w:r>
        <w:rPr>
          <w:rFonts w:ascii="Times New Roman" w:cs="Times New Roman" w:eastAsia="Times New Roman" w:hAnsi="Times New Roman"/>
          <w:sz w:val="23"/>
          <w:szCs w:val="23"/>
        </w:rPr>
        <w:t xml:space="preserve"> et le gain cumulé actualisé normalisé au rang 3 de 0,610 à </w:t>
      </w:r>
      <w:r>
        <w:rPr>
          <w:rFonts w:ascii="Times New Roman" w:cs="Times New Roman" w:eastAsia="Times New Roman" w:hAnsi="Times New Roman"/>
          <w:b/>
          <w:bCs/>
          <w:sz w:val="23"/>
          <w:szCs w:val="23"/>
        </w:rPr>
        <w:t xml:space="preserve">0,627</w:t>
      </w:r>
      <w:r>
        <w:rPr>
          <w:rFonts w:ascii="Times New Roman" w:cs="Times New Roman" w:eastAsia="Times New Roman" w:hAnsi="Times New Roman"/>
          <w:sz w:val="23"/>
          <w:szCs w:val="23"/>
        </w:rPr>
        <w:t xml:space="preserve">. C’est précisément l’effet recherché par le réordonnancement, qui affine l’ordre des tout premiers résultats — ceux effectivement transmis à la restitution.</w:t>
      </w:r>
    </w:p>
    <w:p>
      <w:pPr>
        <w:pStyle w:val="Heading2"/>
        <w:spacing w:after="140" w:before="280"/>
      </w:pPr>
      <w:r>
        <w:rPr>
          <w:rFonts w:ascii="Times New Roman" w:cs="Times New Roman" w:eastAsia="Times New Roman" w:hAnsi="Times New Roman"/>
          <w:b/>
          <w:bCs/>
          <w:color w:val="2F5496"/>
          <w:sz w:val="24"/>
          <w:szCs w:val="24"/>
        </w:rPr>
        <w:t xml:space="preserve">4.3. Résultats relatifs à la qualité et à la fidélité des réponses</w:t>
      </w:r>
    </w:p>
    <w:p>
      <w:pPr>
        <w:spacing w:after="140" w:line="320"/>
        <w:ind w:firstLine="360"/>
        <w:jc w:val="both"/>
      </w:pPr>
      <w:r>
        <w:rPr>
          <w:rFonts w:ascii="Times New Roman" w:cs="Times New Roman" w:eastAsia="Times New Roman" w:hAnsi="Times New Roman"/>
          <w:sz w:val="23"/>
          <w:szCs w:val="23"/>
        </w:rPr>
        <w:t xml:space="preserve">La deuxième dimension du protocole évalue la restitution. Le Tableau 4.2 rassemble la fidélité moyenne, l’exactitude numérique moyenne et le taux de citation correcte de la source de référence, mesurés sur les réponses produites en configuration C4 assortie de la règle de restitution ancrée.</w:t>
      </w:r>
    </w:p>
    <w:p>
      <w:pPr>
        <w:spacing w:after="60" w:before="120"/>
        <w:jc w:val="center"/>
      </w:pPr>
      <w:r>
        <w:rPr>
          <w:rFonts w:ascii="Times New Roman" w:cs="Times New Roman" w:eastAsia="Times New Roman" w:hAnsi="Times New Roman"/>
          <w:b/>
          <w:bCs/>
          <w:i/>
          <w:iCs/>
          <w:sz w:val="21"/>
          <w:szCs w:val="21"/>
        </w:rPr>
        <w:t xml:space="preserve">Tableau 4.2 : Qualité et fidélité de la restitution ancrée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Métrique</w:t>
            </w:r>
          </w:p>
        </w:tc>
        <w:tc>
          <w:tcPr>
            <w:tcW w:type="dxa" w:w="18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Valeur</w:t>
            </w:r>
          </w:p>
        </w:tc>
        <w:tc>
          <w:tcPr>
            <w:tcW w:type="dxa" w:w="18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Seuil (H3)</w:t>
            </w:r>
          </w:p>
        </w:tc>
      </w:tr>
      <w:tr>
        <w:tc>
          <w:tcPr>
            <w:tcW w:type="dxa" w:w="57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Fidélité moyenne (énoncés soutenus)</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1,00</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&gt; 0,80</w:t>
            </w:r>
          </w:p>
        </w:tc>
      </w:tr>
      <w:tr>
        <w:tc>
          <w:tcPr>
            <w:tcW w:type="dxa" w:w="57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Exactitude numérique moyenne</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1,00</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&gt; 0,95</w:t>
            </w:r>
          </w:p>
        </w:tc>
      </w:tr>
      <w:tr>
        <w:tc>
          <w:tcPr>
            <w:tcW w:type="dxa" w:w="57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Taux de citation correcte du document de référence</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1,00</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w:t>
            </w:r>
          </w:p>
        </w:tc>
      </w:tr>
      <w:tr>
        <w:tc>
          <w:tcPr>
            <w:tcW w:type="dxa" w:w="57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Cas de refus (aucune source pertinente)</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w:t>
            </w:r>
          </w:p>
        </w:tc>
        <w:tc>
          <w:tcPr>
            <w:tcW w:type="dxa" w:w="18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w:t>
            </w:r>
          </w:p>
        </w:tc>
      </w:tr>
    </w:tbl>
    <w:p>
      <w:pPr>
        <w:spacing w:after="0"/>
      </w:pPr>
    </w:p>
    <w:p>
      <w:pPr>
        <w:spacing w:after="160" w:before="20"/>
        <w:jc w:val="center"/>
      </w:pPr>
      <w:r>
        <w:rPr>
          <w:rFonts w:ascii="Times New Roman" w:cs="Times New Roman" w:eastAsia="Times New Roman" w:hAnsi="Times New Roman"/>
          <w:i/>
          <w:iCs/>
          <w:sz w:val="19"/>
          <w:szCs w:val="19"/>
        </w:rPr>
        <w:t xml:space="preserve">Source : Auteur.</w:t>
      </w:r>
    </w:p>
    <w:p>
      <w:pPr>
        <w:spacing w:after="140" w:line="320"/>
        <w:ind w:firstLine="360"/>
        <w:jc w:val="both"/>
      </w:pPr>
      <w:r>
        <w:rPr>
          <w:rFonts w:ascii="Times New Roman" w:cs="Times New Roman" w:eastAsia="Times New Roman" w:hAnsi="Times New Roman"/>
          <w:sz w:val="23"/>
          <w:szCs w:val="23"/>
        </w:rPr>
        <w:t xml:space="preserve">La fidélité et l’exactitude numérique atteignent l’unité. Ce résultat n’est pas fortuit : il découle du mode de restitution extractif retenu par défaut, dans lequel la synthèse est composée de phrases reprises littéralement des passages sources. Toute donnée chiffrée restituée provient donc, par construction, d’un passage du contexte, et le contrôle automatique des valeurs numériques — qui écarte toute valeur non retrouvée à l’identique dans les sources — confirme qu’aucune valeur non fondée n’a été restituée. La règle de citation littérale, identifiée au chapitre 1 comme la réponse à la vulnérabilité centrale d’un système génératif appliqué à un corpus statistique, est ainsi vérifiée dans les faits.</w:t>
      </w:r>
    </w:p>
    <w:p>
      <w:pPr>
        <w:spacing w:after="140" w:line="320"/>
        <w:ind w:firstLine="360"/>
        <w:jc w:val="both"/>
      </w:pPr>
      <w:r>
        <w:rPr>
          <w:rFonts w:ascii="Times New Roman" w:cs="Times New Roman" w:eastAsia="Times New Roman" w:hAnsi="Times New Roman"/>
          <w:sz w:val="23"/>
          <w:szCs w:val="23"/>
        </w:rPr>
        <w:t xml:space="preserve">Le taux d’abstention sur les requêtes hors périmètre, prévu au protocole, n’a pas pu être mesuré faute de la catégorie correspondante dans le jeu de test réduit. Le mécanisme d’abstention du système se déclenche lorsque le corpus autorisé ne fournit aucun passage candidat ; sa généralisation par un seuil de pertinence, discutée à la section 4.5, constitue un point d’amélioration documenté. À COMPLÉTER : la mesure du taux d’abstention sur les cinq requêtes hors périmètre du jeu de test complet.</w:t>
      </w:r>
    </w:p>
    <w:p>
      <w:pPr>
        <w:pStyle w:val="Heading2"/>
        <w:spacing w:after="140" w:before="280"/>
      </w:pPr>
      <w:r>
        <w:rPr>
          <w:rFonts w:ascii="Times New Roman" w:cs="Times New Roman" w:eastAsia="Times New Roman" w:hAnsi="Times New Roman"/>
          <w:b/>
          <w:bCs/>
          <w:color w:val="2F5496"/>
          <w:sz w:val="24"/>
          <w:szCs w:val="24"/>
        </w:rPr>
        <w:t xml:space="preserve">4.4. Gain opérationnel en mode production et en mode consultation</w:t>
      </w:r>
    </w:p>
    <w:p>
      <w:pPr>
        <w:spacing w:after="140" w:line="320"/>
        <w:ind w:firstLine="360"/>
        <w:jc w:val="both"/>
      </w:pPr>
      <w:r>
        <w:rPr>
          <w:rFonts w:ascii="Times New Roman" w:cs="Times New Roman" w:eastAsia="Times New Roman" w:hAnsi="Times New Roman"/>
          <w:sz w:val="23"/>
          <w:szCs w:val="23"/>
        </w:rPr>
        <w:t xml:space="preserve">La troisième dimension du protocole, le gain opérationnel, repose sur une mesure de temps auprès d’agents et d’utilisateurs finaux, selon le protocole contrôlé décrit à la section 2.6.4. Cette mesure requiert la mobilisation d’un échantillon de personnels de la structure d’accueil pendant une séance dédiée ; elle n’est pas réalisable dans le seul environnement logiciel et sort du périmètre de l’expérimentation rapportée ici.</w:t>
      </w:r>
    </w:p>
    <w:p>
      <w:pPr>
        <w:spacing w:after="140" w:line="320"/>
        <w:ind w:firstLine="360"/>
        <w:jc w:val="both"/>
      </w:pPr>
      <w:r>
        <w:rPr>
          <w:rFonts w:ascii="Times New Roman" w:cs="Times New Roman" w:eastAsia="Times New Roman" w:hAnsi="Times New Roman"/>
          <w:sz w:val="23"/>
          <w:szCs w:val="23"/>
        </w:rPr>
        <w:t xml:space="preserve">Le dispositif logiciel nécessaire à cette mesure est toutefois en place : le système restitue, pour chaque question, la réponse sourcée et la référence de chaque passage, ce qui permet le chronométrage et le contrôle de la réponse contre la vérité de terrain prévus au protocole. Les tableaux de recueil sont préparés selon le modèle du chapitre 2.</w:t>
      </w:r>
    </w:p>
    <w:p>
      <w:pPr>
        <w:spacing w:after="60" w:before="120"/>
        <w:jc w:val="center"/>
      </w:pPr>
      <w:r>
        <w:rPr>
          <w:rFonts w:ascii="Times New Roman" w:cs="Times New Roman" w:eastAsia="Times New Roman" w:hAnsi="Times New Roman"/>
          <w:b/>
          <w:bCs/>
          <w:i/>
          <w:iCs/>
          <w:sz w:val="21"/>
          <w:szCs w:val="21"/>
        </w:rPr>
        <w:t xml:space="preserve">Tableau 4.3 : Gain opérationnel — résultats à recueillir (H4 et H5)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1400"/>
        <w:gridCol w:w="1400"/>
        <w:gridCol w:w="1000"/>
      </w:tblGrid>
      <w:tr>
        <w:trPr>
          <w:tblHeader/>
        </w:trPr>
        <w:tc>
          <w:tcPr>
            <w:tcW w:type="dxa" w:w="24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Mode</w:t>
            </w:r>
          </w:p>
        </w:tc>
        <w:tc>
          <w:tcPr>
            <w:tcW w:type="dxa" w:w="316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Mesure</w:t>
            </w:r>
          </w:p>
        </w:tc>
        <w:tc>
          <w:tcPr>
            <w:tcW w:type="dxa" w:w="14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Recherche manuelle</w:t>
            </w:r>
          </w:p>
        </w:tc>
        <w:tc>
          <w:tcPr>
            <w:tcW w:type="dxa" w:w="14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Avec le système</w:t>
            </w:r>
          </w:p>
        </w:tc>
        <w:tc>
          <w:tcPr>
            <w:tcW w:type="dxa" w:w="10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Réduction</w:t>
            </w:r>
          </w:p>
        </w:tc>
      </w:tr>
      <w:t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Production (H4)</w:t>
            </w:r>
          </w:p>
        </w:tc>
        <w:tc>
          <w:tcPr>
            <w:tcW w:type="dxa" w:w="31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Temps médian de localisation</w:t>
            </w:r>
          </w:p>
        </w:tc>
        <w:tc>
          <w:tcPr>
            <w:tcW w:type="dxa" w:w="1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c>
          <w:tcPr>
            <w:tcW w:type="dxa" w:w="1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c>
          <w:tcPr>
            <w:tcW w:type="dxa" w:w="10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r>
      <w:t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Consultation (H5)</w:t>
            </w:r>
          </w:p>
        </w:tc>
        <w:tc>
          <w:tcPr>
            <w:tcW w:type="dxa" w:w="31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Temps médian d’obtention</w:t>
            </w:r>
          </w:p>
        </w:tc>
        <w:tc>
          <w:tcPr>
            <w:tcW w:type="dxa" w:w="1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c>
          <w:tcPr>
            <w:tcW w:type="dxa" w:w="1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c>
          <w:tcPr>
            <w:tcW w:type="dxa" w:w="10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r>
      <w:tr>
        <w:tc>
          <w:tcPr>
            <w:tcW w:type="dxa" w:w="2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Consultation (H5)</w:t>
            </w:r>
          </w:p>
        </w:tc>
        <w:tc>
          <w:tcPr>
            <w:tcW w:type="dxa" w:w="31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Réponses exactes et sourcées</w:t>
            </w:r>
          </w:p>
        </w:tc>
        <w:tc>
          <w:tcPr>
            <w:tcW w:type="dxa" w:w="1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w:t>
            </w:r>
          </w:p>
        </w:tc>
        <w:tc>
          <w:tcPr>
            <w:tcW w:type="dxa" w:w="14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c>
          <w:tcPr>
            <w:tcW w:type="dxa" w:w="10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w:t>
            </w:r>
          </w:p>
        </w:tc>
      </w:tr>
    </w:tbl>
    <w:p>
      <w:pPr>
        <w:spacing w:after="0"/>
      </w:pPr>
    </w:p>
    <w:p>
      <w:pPr>
        <w:spacing w:after="160" w:before="20"/>
        <w:jc w:val="center"/>
      </w:pPr>
      <w:r>
        <w:rPr>
          <w:rFonts w:ascii="Times New Roman" w:cs="Times New Roman" w:eastAsia="Times New Roman" w:hAnsi="Times New Roman"/>
          <w:i/>
          <w:iCs/>
          <w:sz w:val="19"/>
          <w:szCs w:val="19"/>
        </w:rPr>
        <w:t xml:space="preserve">Source : Auteur.</w:t>
      </w:r>
    </w:p>
    <w:p>
      <w:pPr>
        <w:spacing w:after="140" w:line="320"/>
        <w:ind w:firstLine="360"/>
        <w:jc w:val="both"/>
      </w:pPr>
      <w:r>
        <w:rPr>
          <w:rFonts w:ascii="Times New Roman" w:cs="Times New Roman" w:eastAsia="Times New Roman" w:hAnsi="Times New Roman"/>
          <w:sz w:val="23"/>
          <w:szCs w:val="23"/>
        </w:rPr>
        <w:t xml:space="preserve">À COMPLÉTER : la séance de mesure du gain opérationnel (taille de l’échantillon, nombre de questions, temps relevés), à conduire avec la structure d’accueil selon le protocole de la section 2.6.4. Les résultats seront comparés aux critères de réduction d’au moins 50 % du temps médian (H4 et H5) et de taux de réponses exactes et sourcées supérieur à 0,85 (H5).</w:t>
      </w:r>
    </w:p>
    <w:p>
      <w:pPr>
        <w:pStyle w:val="Heading2"/>
        <w:spacing w:after="140" w:before="280"/>
      </w:pPr>
      <w:r>
        <w:rPr>
          <w:rFonts w:ascii="Times New Roman" w:cs="Times New Roman" w:eastAsia="Times New Roman" w:hAnsi="Times New Roman"/>
          <w:b/>
          <w:bCs/>
          <w:color w:val="2F5496"/>
          <w:sz w:val="24"/>
          <w:szCs w:val="24"/>
        </w:rPr>
        <w:t xml:space="preserve">4.5. Analyse des erreurs</w:t>
      </w:r>
    </w:p>
    <w:p>
      <w:pPr>
        <w:spacing w:after="140" w:line="320"/>
        <w:ind w:firstLine="360"/>
        <w:jc w:val="both"/>
      </w:pPr>
      <w:r>
        <w:rPr>
          <w:rFonts w:ascii="Times New Roman" w:cs="Times New Roman" w:eastAsia="Times New Roman" w:hAnsi="Times New Roman"/>
          <w:sz w:val="23"/>
          <w:szCs w:val="23"/>
        </w:rPr>
        <w:t xml:space="preserve">L’analyse des cas problématiques rencontrés durant la mise au point éclaire le comportement du système et oriente les améliorations.</w:t>
      </w:r>
    </w:p>
    <w:p>
      <w:pPr>
        <w:spacing w:after="140" w:line="320"/>
        <w:ind w:firstLine="360"/>
        <w:jc w:val="both"/>
      </w:pPr>
      <w:r>
        <w:rPr>
          <w:rFonts w:ascii="Times New Roman" w:cs="Times New Roman" w:eastAsia="Times New Roman" w:hAnsi="Times New Roman"/>
          <w:sz w:val="23"/>
          <w:szCs w:val="23"/>
        </w:rPr>
        <w:t xml:space="preserve">Le premier cas tient aux </w:t>
      </w:r>
      <w:r>
        <w:rPr>
          <w:rFonts w:ascii="Times New Roman" w:cs="Times New Roman" w:eastAsia="Times New Roman" w:hAnsi="Times New Roman"/>
          <w:b/>
          <w:bCs/>
          <w:sz w:val="23"/>
          <w:szCs w:val="23"/>
        </w:rPr>
        <w:t xml:space="preserve">pages structurelles sans données</w:t>
      </w:r>
      <w:r>
        <w:rPr>
          <w:rFonts w:ascii="Times New Roman" w:cs="Times New Roman" w:eastAsia="Times New Roman" w:hAnsi="Times New Roman"/>
          <w:sz w:val="23"/>
          <w:szCs w:val="23"/>
        </w:rPr>
        <w:t xml:space="preserve">. Les annexes de l’Annuaire comportent des formulaires de collecte — des canevas d’intitulés tels que « Nombre de PME », « Effectif », « Total » — dont les champs sont vides. Interrogé sur un effectif de PME, le système plaçait initialement ces pages en tête, par simple correspondance de mots-clés, au détriment des passages porteurs de la valeur recherchée. La solution retenue combine un </w:t>
      </w:r>
      <w:r>
        <w:rPr>
          <w:rFonts w:ascii="Times New Roman" w:cs="Times New Roman" w:eastAsia="Times New Roman" w:hAnsi="Times New Roman"/>
          <w:b/>
          <w:bCs/>
          <w:sz w:val="23"/>
          <w:szCs w:val="23"/>
        </w:rPr>
        <w:t xml:space="preserve">indice d’informativité</w:t>
      </w:r>
      <w:r>
        <w:rPr>
          <w:rFonts w:ascii="Times New Roman" w:cs="Times New Roman" w:eastAsia="Times New Roman" w:hAnsi="Times New Roman"/>
          <w:sz w:val="23"/>
          <w:szCs w:val="23"/>
        </w:rPr>
        <w:t xml:space="preserve"> des passages, qui distingue une prose rédigée ou un tableau chiffré d’une liste d’intitulés, et l’exclusion, à l’indexation, des formulaires vides caractérisés par de nombreux intitulés de champs et l’absence de statistique réelle. Après correction, l’interrogation « nombre de PME en 2023 » restitue correctement la valeur attendue (393 954 entreprises dont 393 166 PME) et sa source.</w:t>
      </w:r>
    </w:p>
    <w:p>
      <w:pPr>
        <w:spacing w:after="140" w:line="320"/>
        <w:ind w:firstLine="360"/>
        <w:jc w:val="both"/>
      </w:pPr>
      <w:r>
        <w:rPr>
          <w:rFonts w:ascii="Times New Roman" w:cs="Times New Roman" w:eastAsia="Times New Roman" w:hAnsi="Times New Roman"/>
          <w:sz w:val="23"/>
          <w:szCs w:val="23"/>
        </w:rPr>
        <w:t xml:space="preserve">Le deuxième cas tient à la </w:t>
      </w:r>
      <w:r>
        <w:rPr>
          <w:rFonts w:ascii="Times New Roman" w:cs="Times New Roman" w:eastAsia="Times New Roman" w:hAnsi="Times New Roman"/>
          <w:b/>
          <w:bCs/>
          <w:sz w:val="23"/>
          <w:szCs w:val="23"/>
        </w:rPr>
        <w:t xml:space="preserve">mise en page à deux colonnes</w:t>
      </w:r>
      <w:r>
        <w:rPr>
          <w:rFonts w:ascii="Times New Roman" w:cs="Times New Roman" w:eastAsia="Times New Roman" w:hAnsi="Times New Roman"/>
          <w:sz w:val="23"/>
          <w:szCs w:val="23"/>
        </w:rPr>
        <w:t xml:space="preserve"> des notes de conjoncture, dont l’extraction naïve entrelaçait les phrases de colonnes voisines. Une extraction sensible aux colonnes, lisant chaque colonne dans l’ordre, a rétabli la continuité de la prose et, partant, la lisibilité des passages restitués.</w:t>
      </w:r>
    </w:p>
    <w:p>
      <w:pPr>
        <w:spacing w:after="140" w:line="320"/>
        <w:ind w:firstLine="360"/>
        <w:jc w:val="both"/>
      </w:pPr>
      <w:r>
        <w:rPr>
          <w:rFonts w:ascii="Times New Roman" w:cs="Times New Roman" w:eastAsia="Times New Roman" w:hAnsi="Times New Roman"/>
          <w:sz w:val="23"/>
          <w:szCs w:val="23"/>
        </w:rPr>
        <w:t xml:space="preserve">Le troisième cas est une </w:t>
      </w:r>
      <w:r>
        <w:rPr>
          <w:rFonts w:ascii="Times New Roman" w:cs="Times New Roman" w:eastAsia="Times New Roman" w:hAnsi="Times New Roman"/>
          <w:b/>
          <w:bCs/>
          <w:sz w:val="23"/>
          <w:szCs w:val="23"/>
        </w:rPr>
        <w:t xml:space="preserve">limite persistante</w:t>
      </w:r>
      <w:r>
        <w:rPr>
          <w:rFonts w:ascii="Times New Roman" w:cs="Times New Roman" w:eastAsia="Times New Roman" w:hAnsi="Times New Roman"/>
          <w:sz w:val="23"/>
          <w:szCs w:val="23"/>
        </w:rPr>
        <w:t xml:space="preserve"> : sur une question hors périmètre posée dans un corpus non vide, le système ne s’abstient pas systématiquement, faute d’un seuil de pertinence en deçà duquel aucune réponse ne serait produite. Le mécanisme d’abstention ne se déclenche aujourd’hui que lorsque le filtrage laisse le corpus autorisé sans aucun candidat. L’introduction d’un seuil de pertinence sur le score de récupération est identifiée comme l’amélioration prioritaire de la restitution.</w:t>
      </w:r>
    </w:p>
    <w:p>
      <w:pPr>
        <w:pStyle w:val="Heading2"/>
        <w:spacing w:after="140" w:before="280"/>
      </w:pPr>
      <w:r>
        <w:rPr>
          <w:rFonts w:ascii="Times New Roman" w:cs="Times New Roman" w:eastAsia="Times New Roman" w:hAnsi="Times New Roman"/>
          <w:b/>
          <w:bCs/>
          <w:color w:val="2F5496"/>
          <w:sz w:val="24"/>
          <w:szCs w:val="24"/>
        </w:rPr>
        <w:t xml:space="preserve">4.6. Validation des hypothèses</w:t>
      </w:r>
    </w:p>
    <w:p>
      <w:pPr>
        <w:spacing w:after="140" w:line="320"/>
        <w:ind w:firstLine="360"/>
        <w:jc w:val="both"/>
      </w:pPr>
      <w:r>
        <w:rPr>
          <w:rFonts w:ascii="Times New Roman" w:cs="Times New Roman" w:eastAsia="Times New Roman" w:hAnsi="Times New Roman"/>
          <w:sz w:val="23"/>
          <w:szCs w:val="23"/>
        </w:rPr>
        <w:t xml:space="preserve">Le Tableau 4.4 confronte les résultats obtenus aux critères de validation fixés a priori à la section 2.6.5, selon la gradation retenue.</w:t>
      </w:r>
    </w:p>
    <w:p>
      <w:pPr>
        <w:spacing w:after="60" w:before="120"/>
        <w:jc w:val="center"/>
      </w:pPr>
      <w:r>
        <w:rPr>
          <w:rFonts w:ascii="Times New Roman" w:cs="Times New Roman" w:eastAsia="Times New Roman" w:hAnsi="Times New Roman"/>
          <w:b/>
          <w:bCs/>
          <w:i/>
          <w:iCs/>
          <w:sz w:val="21"/>
          <w:szCs w:val="21"/>
        </w:rPr>
        <w:t xml:space="preserve">Tableau 4.4 : Verdict de validation des hypothèses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3060"/>
        <w:gridCol w:w="1740"/>
      </w:tblGrid>
      <w:tr>
        <w:trPr>
          <w:tblHeader/>
        </w:trPr>
        <w:tc>
          <w:tcPr>
            <w:tcW w:type="dxa" w:w="150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Hypothèse</w:t>
            </w:r>
          </w:p>
        </w:tc>
        <w:tc>
          <w:tcPr>
            <w:tcW w:type="dxa" w:w="306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Critère (rappel)</w:t>
            </w:r>
          </w:p>
        </w:tc>
        <w:tc>
          <w:tcPr>
            <w:tcW w:type="dxa" w:w="306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Résultat observé</w:t>
            </w:r>
          </w:p>
        </w:tc>
        <w:tc>
          <w:tcPr>
            <w:tcW w:type="dxa" w:w="1740"/>
            <w:shd w:fill="D9E2F3" w:color="auto" w:val="clear"/>
            <w:tcMar>
              <w:top w:type="dxa" w:w="40"/>
              <w:left w:type="dxa" w:w="90"/>
              <w:bottom w:type="dxa" w:w="40"/>
              <w:right w:type="dxa" w:w="90"/>
            </w:tcMar>
          </w:tcPr>
          <w:p>
            <w:pPr>
              <w:spacing w:after="20"/>
              <w:jc w:val="left"/>
            </w:pPr>
            <w:r>
              <w:rPr>
                <w:rFonts w:ascii="Times New Roman" w:cs="Times New Roman" w:eastAsia="Times New Roman" w:hAnsi="Times New Roman"/>
                <w:b/>
                <w:bCs/>
                <w:sz w:val="20"/>
                <w:szCs w:val="20"/>
              </w:rPr>
              <w:t xml:space="preserve">Verdict</w:t>
            </w:r>
          </w:p>
        </w:tc>
      </w:tr>
      <w:t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H1</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Gain ≥ 5 pts de nDCG@5 et MRR de C3 sur la meilleure de C1/C2</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− 0,3 pt de nDCG@5 ; − 0,3 pt de MRR (canaux corrélés en hors-ligne)</w:t>
            </w:r>
          </w:p>
        </w:tc>
        <w:tc>
          <w:tcPr>
            <w:tcW w:type="dxa" w:w="17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Non validée en configuration hors-ligne</w:t>
            </w:r>
          </w:p>
        </w:tc>
      </w:tr>
      <w:t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H2</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Gain ≥ 3 pts de nDCG@5 et de P@3 de C4 sur C3</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+ 3,7 pts de P@3 (atteint) ; − 0,3 pt de nDCG@5 (non atteint)</w:t>
            </w:r>
          </w:p>
        </w:tc>
        <w:tc>
          <w:tcPr>
            <w:tcW w:type="dxa" w:w="17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Partiellement validée</w:t>
            </w:r>
          </w:p>
        </w:tc>
      </w:tr>
      <w:t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H3</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Fidélité &gt; 0,80 ; exactitude num. &gt; 0,95 ; − 20 pts d’énoncés non soutenus vs C0</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Fidélité 1,00 et exactitude 1,00 (atteints) ; écart à C0 à mesurer</w:t>
            </w:r>
          </w:p>
        </w:tc>
        <w:tc>
          <w:tcPr>
            <w:tcW w:type="dxa" w:w="17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Validée sur ses critères mesurables</w:t>
            </w:r>
          </w:p>
        </w:tc>
      </w:tr>
      <w:t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H4</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Réduction ≥ 50 % du temps médian (mode production)</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Protocole terrain</w:t>
            </w:r>
          </w:p>
        </w:tc>
        <w:tc>
          <w:tcPr>
            <w:tcW w:type="dxa" w:w="17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r>
      <w:t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H5</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Réduction ≥ 50 % du temps et ≥ 0,85 de réponses exactes sourcées</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Protocole terrain</w:t>
            </w:r>
          </w:p>
        </w:tc>
        <w:tc>
          <w:tcPr>
            <w:tcW w:type="dxa" w:w="17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À compléter</w:t>
            </w:r>
          </w:p>
        </w:tc>
      </w:tr>
      <w:tr>
        <w:tc>
          <w:tcPr>
            <w:tcW w:type="dxa" w:w="150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Cloisonnement</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Aucune fuite du corpus interne en mode consultation</w:t>
            </w:r>
          </w:p>
        </w:tc>
        <w:tc>
          <w:tcPr>
            <w:tcW w:type="dxa" w:w="306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0 fuite sur 4 questions internes ; accès en production 1,00</w:t>
            </w:r>
          </w:p>
        </w:tc>
        <w:tc>
          <w:tcPr>
            <w:tcW w:type="dxa" w:w="1740"/>
            <w:tcMar>
              <w:top w:type="dxa" w:w="40"/>
              <w:left w:type="dxa" w:w="90"/>
              <w:bottom w:type="dxa" w:w="40"/>
              <w:right w:type="dxa" w:w="90"/>
            </w:tcMar>
          </w:tcPr>
          <w:p>
            <w:pPr>
              <w:spacing w:after="20"/>
              <w:jc w:val="left"/>
            </w:pPr>
            <w:r>
              <w:rPr>
                <w:rFonts w:ascii="Times New Roman" w:cs="Times New Roman" w:eastAsia="Times New Roman" w:hAnsi="Times New Roman"/>
                <w:sz w:val="20"/>
                <w:szCs w:val="20"/>
              </w:rPr>
              <w:t xml:space="preserve">Vérifié</w:t>
            </w:r>
          </w:p>
        </w:tc>
      </w:tr>
    </w:tbl>
    <w:p>
      <w:pPr>
        <w:spacing w:after="0"/>
      </w:pPr>
    </w:p>
    <w:p>
      <w:pPr>
        <w:spacing w:after="160" w:before="20"/>
        <w:jc w:val="center"/>
      </w:pPr>
      <w:r>
        <w:rPr>
          <w:rFonts w:ascii="Times New Roman" w:cs="Times New Roman" w:eastAsia="Times New Roman" w:hAnsi="Times New Roman"/>
          <w:i/>
          <w:iCs/>
          <w:sz w:val="19"/>
          <w:szCs w:val="19"/>
        </w:rPr>
        <w:t xml:space="preserve">Source : Auteur.</w:t>
      </w:r>
    </w:p>
    <w:p>
      <w:pPr>
        <w:spacing w:after="140" w:line="320"/>
        <w:ind w:firstLine="360"/>
        <w:jc w:val="both"/>
      </w:pPr>
      <w:r>
        <w:rPr>
          <w:rFonts w:ascii="Times New Roman" w:cs="Times New Roman" w:eastAsia="Times New Roman" w:hAnsi="Times New Roman"/>
          <w:b/>
          <w:bCs/>
          <w:sz w:val="23"/>
          <w:szCs w:val="23"/>
        </w:rPr>
        <w:t xml:space="preserve">H1</w:t>
      </w:r>
      <w:r>
        <w:rPr>
          <w:rFonts w:ascii="Times New Roman" w:cs="Times New Roman" w:eastAsia="Times New Roman" w:hAnsi="Times New Roman"/>
          <w:sz w:val="23"/>
          <w:szCs w:val="23"/>
        </w:rPr>
        <w:t xml:space="preserve"> n’est pas validée dans la configuration hors-ligne : la fusion égale la meilleure récupération simple sans la dépasser du seuil requis. Le diagnostic est clair — la complémentarité des deux canaux, ressort de l’apport de la fusion, est neutralisée par la corrélation du substitut vectoriel avec la recherche lexicale. La configuration de référence, dont le canal sémantique neuronal apporte un signal distinct, est attendue au-dessus du seuil ; la vérification de ce point constitue le prolongement expérimental immédiat du travail.</w:t>
      </w:r>
    </w:p>
    <w:p>
      <w:pPr>
        <w:spacing w:after="140" w:line="320"/>
        <w:ind w:firstLine="360"/>
        <w:jc w:val="both"/>
      </w:pPr>
      <w:r>
        <w:rPr>
          <w:rFonts w:ascii="Times New Roman" w:cs="Times New Roman" w:eastAsia="Times New Roman" w:hAnsi="Times New Roman"/>
          <w:b/>
          <w:bCs/>
          <w:sz w:val="23"/>
          <w:szCs w:val="23"/>
        </w:rPr>
        <w:t xml:space="preserve">H2</w:t>
      </w:r>
      <w:r>
        <w:rPr>
          <w:rFonts w:ascii="Times New Roman" w:cs="Times New Roman" w:eastAsia="Times New Roman" w:hAnsi="Times New Roman"/>
          <w:sz w:val="23"/>
          <w:szCs w:val="23"/>
        </w:rPr>
        <w:t xml:space="preserve"> est partiellement validée : le réordonnancement améliore nettement la précision au rang 3, critère central pour la qualité du contexte transmis à la restitution, sans améliorer le gain cumulé au rang 5. Ce profil correspond à un réordonnanceur qui resserre le sommet de liste ; un cross-encodeur, en configuration de référence, est attendu pour améliorer conjointement les deux métriques.</w:t>
      </w:r>
    </w:p>
    <w:p>
      <w:pPr>
        <w:spacing w:after="140" w:line="320"/>
        <w:ind w:firstLine="360"/>
        <w:jc w:val="both"/>
      </w:pPr>
      <w:r>
        <w:rPr>
          <w:rFonts w:ascii="Times New Roman" w:cs="Times New Roman" w:eastAsia="Times New Roman" w:hAnsi="Times New Roman"/>
          <w:b/>
          <w:bCs/>
          <w:sz w:val="23"/>
          <w:szCs w:val="23"/>
        </w:rPr>
        <w:t xml:space="preserve">H3</w:t>
      </w:r>
      <w:r>
        <w:rPr>
          <w:rFonts w:ascii="Times New Roman" w:cs="Times New Roman" w:eastAsia="Times New Roman" w:hAnsi="Times New Roman"/>
          <w:sz w:val="23"/>
          <w:szCs w:val="23"/>
        </w:rPr>
        <w:t xml:space="preserve"> est validée sur ses deux critères mesurables dans l’environnement logiciel : la fidélité et l’exactitude numérique dépassent largement leurs seuils, confirmant que l’ancrage documentaire et la règle de citation littérale garantissent des réponses vérifiables et exemptes d’hallucination numérique. Son troisième critère, la réduction du taux d’énoncés non soutenus par rapport à une restitution sans récupération, requiert la référence basse C0.</w:t>
      </w:r>
    </w:p>
    <w:p>
      <w:pPr>
        <w:spacing w:after="140" w:line="320"/>
        <w:ind w:firstLine="360"/>
        <w:jc w:val="both"/>
      </w:pPr>
      <w:r>
        <w:rPr>
          <w:rFonts w:ascii="Times New Roman" w:cs="Times New Roman" w:eastAsia="Times New Roman" w:hAnsi="Times New Roman"/>
          <w:sz w:val="23"/>
          <w:szCs w:val="23"/>
        </w:rPr>
        <w:t xml:space="preserve">Le </w:t>
      </w:r>
      <w:r>
        <w:rPr>
          <w:rFonts w:ascii="Times New Roman" w:cs="Times New Roman" w:eastAsia="Times New Roman" w:hAnsi="Times New Roman"/>
          <w:b/>
          <w:bCs/>
          <w:sz w:val="23"/>
          <w:szCs w:val="23"/>
        </w:rPr>
        <w:t xml:space="preserve">cloisonnement</w:t>
      </w:r>
      <w:r>
        <w:rPr>
          <w:rFonts w:ascii="Times New Roman" w:cs="Times New Roman" w:eastAsia="Times New Roman" w:hAnsi="Times New Roman"/>
          <w:sz w:val="23"/>
          <w:szCs w:val="23"/>
        </w:rPr>
        <w:t xml:space="preserve"> des deux modes, prémisse de sécurité du dispositif, est vérifié sans exception : aucune des quatre questions portant sur le document interne n’a donné lieu à la moindre fuite en mode consultation, tandis que le mode production y accède intégralement. </w:t>
      </w:r>
      <w:r>
        <w:rPr>
          <w:rFonts w:ascii="Times New Roman" w:cs="Times New Roman" w:eastAsia="Times New Roman" w:hAnsi="Times New Roman"/>
          <w:b/>
          <w:bCs/>
          <w:sz w:val="23"/>
          <w:szCs w:val="23"/>
        </w:rPr>
        <w:t xml:space="preserve">H4</w:t>
      </w:r>
      <w:r>
        <w:rPr>
          <w:rFonts w:ascii="Times New Roman" w:cs="Times New Roman" w:eastAsia="Times New Roman" w:hAnsi="Times New Roman"/>
          <w:sz w:val="23"/>
          <w:szCs w:val="23"/>
        </w:rPr>
        <w:t xml:space="preserve"> et </w:t>
      </w:r>
      <w:r>
        <w:rPr>
          <w:rFonts w:ascii="Times New Roman" w:cs="Times New Roman" w:eastAsia="Times New Roman" w:hAnsi="Times New Roman"/>
          <w:b/>
          <w:bCs/>
          <w:sz w:val="23"/>
          <w:szCs w:val="23"/>
        </w:rPr>
        <w:t xml:space="preserve">H5</w:t>
      </w:r>
      <w:r>
        <w:rPr>
          <w:rFonts w:ascii="Times New Roman" w:cs="Times New Roman" w:eastAsia="Times New Roman" w:hAnsi="Times New Roman"/>
          <w:sz w:val="23"/>
          <w:szCs w:val="23"/>
        </w:rPr>
        <w:t xml:space="preserve">, enfin, relèvent du protocole terrain et demeurent à compléter.</w:t>
      </w:r>
    </w:p>
    <w:p>
      <w:pPr>
        <w:pStyle w:val="Heading2"/>
        <w:spacing w:after="140" w:before="280"/>
      </w:pPr>
      <w:r>
        <w:rPr>
          <w:rFonts w:ascii="Times New Roman" w:cs="Times New Roman" w:eastAsia="Times New Roman" w:hAnsi="Times New Roman"/>
          <w:b/>
          <w:bCs/>
          <w:color w:val="2F5496"/>
          <w:sz w:val="24"/>
          <w:szCs w:val="24"/>
        </w:rPr>
        <w:t xml:space="preserve">4.7. Discussion, apports, limites et perspectives</w:t>
      </w:r>
    </w:p>
    <w:p>
      <w:pPr>
        <w:spacing w:after="140" w:line="320"/>
        <w:ind w:firstLine="360"/>
        <w:jc w:val="both"/>
      </w:pPr>
      <w:r>
        <w:rPr>
          <w:rFonts w:ascii="Times New Roman" w:cs="Times New Roman" w:eastAsia="Times New Roman" w:hAnsi="Times New Roman"/>
          <w:sz w:val="23"/>
          <w:szCs w:val="23"/>
        </w:rPr>
        <w:t xml:space="preserve">Les résultats appellent une lecture nuancée. Le système établit sans ambiguïté les propriétés qui font sa valeur pour un usage administratif : une restitution intégralement sourcée, une exactitude numérique parfaite garantie par construction, et un cloisonnement strict des documents internes. Ces propriétés répondent directement à la problématique du mémoire, qui plaçait la traçabilité et la maîtrise du risque d’hallucination numérique au centre de l’exploitation d’un patrimoine documentaire statistique.</w:t>
      </w:r>
    </w:p>
    <w:p>
      <w:pPr>
        <w:spacing w:after="140" w:line="320"/>
        <w:ind w:firstLine="360"/>
        <w:jc w:val="both"/>
      </w:pPr>
      <w:r>
        <w:rPr>
          <w:rFonts w:ascii="Times New Roman" w:cs="Times New Roman" w:eastAsia="Times New Roman" w:hAnsi="Times New Roman"/>
          <w:sz w:val="23"/>
          <w:szCs w:val="23"/>
        </w:rPr>
        <w:t xml:space="preserve">L’apport principal du travail est ainsi moins une performance de récupération brute qu’un </w:t>
      </w:r>
      <w:r>
        <w:rPr>
          <w:rFonts w:ascii="Times New Roman" w:cs="Times New Roman" w:eastAsia="Times New Roman" w:hAnsi="Times New Roman"/>
          <w:b/>
          <w:bCs/>
          <w:sz w:val="23"/>
          <w:szCs w:val="23"/>
        </w:rPr>
        <w:t xml:space="preserve">dispositif de confiance</w:t>
      </w:r>
      <w:r>
        <w:rPr>
          <w:rFonts w:ascii="Times New Roman" w:cs="Times New Roman" w:eastAsia="Times New Roman" w:hAnsi="Times New Roman"/>
          <w:sz w:val="23"/>
          <w:szCs w:val="23"/>
        </w:rPr>
        <w:t xml:space="preserve"> : le système est conçu pour ne jamais avancer un chiffre qu’il ne puisse rattacher à sa source, et pour ne jamais exposer un document non validé à un utilisateur non habilité. Cet apport est vérifié empiriquement, indépendamment du modèle d’encodage retenu.</w:t>
      </w:r>
    </w:p>
    <w:p>
      <w:pPr>
        <w:spacing w:after="140" w:line="320"/>
        <w:ind w:firstLine="360"/>
        <w:jc w:val="both"/>
      </w:pPr>
      <w:r>
        <w:rPr>
          <w:rFonts w:ascii="Times New Roman" w:cs="Times New Roman" w:eastAsia="Times New Roman" w:hAnsi="Times New Roman"/>
          <w:sz w:val="23"/>
          <w:szCs w:val="23"/>
        </w:rPr>
        <w:t xml:space="preserve">La principale limite de l’évaluation tient à l’environnement d’exécution hors-ligne, qui bride la composante sémantique et, par voie de conséquence, l’apport mesuré de la fusion hybride (H1) et du réordonnancement neuronal (H2). Cette limite est de nature technique et non conceptuelle : l’architecture prévoit le remplacement du substitut par un encodeur neuronal local sans autre modification. Une seconde limite tient à la taille du jeu de test et du corpus de démonstration, qui appelle l’extension au jeu de questions issu des agents et au corpus intermédiaire complet.</w:t>
      </w:r>
    </w:p>
    <w:p>
      <w:pPr>
        <w:spacing w:after="140" w:line="320"/>
        <w:ind w:firstLine="360"/>
        <w:jc w:val="both"/>
      </w:pPr>
      <w:r>
        <w:rPr>
          <w:rFonts w:ascii="Times New Roman" w:cs="Times New Roman" w:eastAsia="Times New Roman" w:hAnsi="Times New Roman"/>
          <w:sz w:val="23"/>
          <w:szCs w:val="23"/>
        </w:rPr>
        <w:t xml:space="preserve">Les perspectives se déduisent des limites. À court terme, l’exécution en configuration de référence permettra de statuer sur H1 et H2 dans leur régime nominal, et l’exécution des configurations C0 et C5 complétera la mesure de H3. À moyen terme, la séance de mesure du gain opérationnel trancherra H4 et H5. À plus long terme, l’introduction d’un seuil d’abstention, l’extraction fine des grands tableaux et le passage à un index vectoriel approché pour le changement d’échelle prolongeront naturellement le dispositif.</w:t>
      </w:r>
    </w:p>
    <w:p>
      <w:pPr>
        <w:pStyle w:val="Heading2"/>
        <w:spacing w:after="140" w:before="280"/>
      </w:pPr>
      <w:r>
        <w:rPr>
          <w:rFonts w:ascii="Times New Roman" w:cs="Times New Roman" w:eastAsia="Times New Roman" w:hAnsi="Times New Roman"/>
          <w:b/>
          <w:bCs/>
          <w:color w:val="2F5496"/>
          <w:sz w:val="24"/>
          <w:szCs w:val="24"/>
        </w:rPr>
        <w:t xml:space="preserve">Conclusion du chapitre</w:t>
      </w:r>
    </w:p>
    <w:p>
      <w:pPr>
        <w:spacing w:after="140" w:line="320"/>
        <w:ind w:firstLine="360"/>
        <w:jc w:val="both"/>
      </w:pPr>
      <w:r>
        <w:rPr>
          <w:rFonts w:ascii="Times New Roman" w:cs="Times New Roman" w:eastAsia="Times New Roman" w:hAnsi="Times New Roman"/>
          <w:sz w:val="23"/>
          <w:szCs w:val="23"/>
        </w:rPr>
        <w:t xml:space="preserve">Ce chapitre a soumis l’artefact à l’expérimentation et confronté ses résultats aux critères fixés a priori. En configuration hors-ligne, le système démontre une restitution parfaitement fidèle et sourcée, une exactitude numérique totale et un cloisonnement sans faille des deux modes ; l’apport de la fusion hybride et du réordonnancement, quant à lui, reste subordonné à l’exécution en configuration de référence, dont les enseignements attendus sont clairement identifiés. Le chapitre a ainsi validé les propriétés de conception les plus déterminantes du travail, tout en délimitant avec précision ce qui reste à établir. La conclusion générale en tire les enseignements d’ensemble.</w:t>
      </w:r>
    </w:p>
    <w:p>
      <w:r>
        <w:br w:type="page"/>
      </w:r>
    </w:p>
    <w:p>
      <w:pPr>
        <w:pStyle w:val="Heading1"/>
        <w:spacing w:after="200" w:before="360"/>
      </w:pPr>
      <w:r>
        <w:rPr>
          <w:rFonts w:ascii="Times New Roman" w:cs="Times New Roman" w:eastAsia="Times New Roman" w:hAnsi="Times New Roman"/>
          <w:b/>
          <w:bCs/>
          <w:color w:val="1F3864"/>
          <w:sz w:val="28"/>
          <w:szCs w:val="28"/>
        </w:rPr>
        <w:t xml:space="preserve">CONCLUSION GÉNÉRALE</w:t>
      </w:r>
    </w:p>
    <w:p>
      <w:pPr>
        <w:spacing w:after="140" w:line="320"/>
        <w:ind w:firstLine="360"/>
        <w:jc w:val="both"/>
      </w:pPr>
      <w:r>
        <w:rPr>
          <w:rFonts w:ascii="Times New Roman" w:cs="Times New Roman" w:eastAsia="Times New Roman" w:hAnsi="Times New Roman"/>
          <w:sz w:val="23"/>
          <w:szCs w:val="23"/>
        </w:rPr>
        <w:t xml:space="preserve">Ce mémoire est parti d’un constat simple : la production de l’Annuaire statistique des PMEESA et du Rapport annuel de performance mobilise un patrimoine documentaire volumineux, hétérogène et dispersé, dont l’exploitation manuelle est coûteuse et exposée à l’erreur. Il a posé la question de savoir comment un système intelligent pouvait faciliter cette exploitation tout en garantissant la traçabilité et la fiabilité des informations restituées, singulièrement des données chiffrées.</w:t>
      </w:r>
    </w:p>
    <w:p>
      <w:pPr>
        <w:spacing w:after="140" w:line="320"/>
        <w:ind w:firstLine="360"/>
        <w:jc w:val="both"/>
      </w:pPr>
      <w:r>
        <w:rPr>
          <w:rFonts w:ascii="Times New Roman" w:cs="Times New Roman" w:eastAsia="Times New Roman" w:hAnsi="Times New Roman"/>
          <w:sz w:val="23"/>
          <w:szCs w:val="23"/>
        </w:rPr>
        <w:t xml:space="preserve">Pour y répondre, le travail a conçu, implémenté et évalué un système de génération augmentée par récupération à architecture hybride, adossé à une démarche de recherche par conception d’artefact. Le chapitre 1 en a posé les fondements conceptuels et théoriques et situé le travail dans la littérature. Le chapitre 2 a caractérisé le patrimoine documentaire du ministère, analysé le besoin, dégagé deux modes d’usage et arrêté un protocole d’évaluation aux critères quantifiés. Le chapitre 3 a détaillé la conception et l’implémentation de l’artefact, de l’ingestion des documents à la restitution contrôlée. Le chapitre 4 l’a soumis à l’expérimentation.</w:t>
      </w:r>
    </w:p>
    <w:p>
      <w:pPr>
        <w:spacing w:after="140" w:line="320"/>
        <w:ind w:firstLine="360"/>
        <w:jc w:val="both"/>
      </w:pPr>
      <w:r>
        <w:rPr>
          <w:rFonts w:ascii="Times New Roman" w:cs="Times New Roman" w:eastAsia="Times New Roman" w:hAnsi="Times New Roman"/>
          <w:sz w:val="23"/>
          <w:szCs w:val="23"/>
        </w:rPr>
        <w:t xml:space="preserve">Les résultats établissent que le système remplit les fonctions les plus déterminantes qui lui étaient assignées. Toute réponse est ancrée dans les sources et accompagnée de ses références ; toute donnée chiffrée est reprise littéralement d’un passage, l’exactitude numérique mesurée atteignant l’unité ; et le cloisonnement entre le mode production et le mode consultation interdit sans exception l’accès des utilisateurs finaux aux documents internes non validés. Le système constitue ainsi, au-delà d’un outil de recherche, un dispositif de confiance adapté à un usage administratif et statistique.</w:t>
      </w:r>
    </w:p>
    <w:p>
      <w:pPr>
        <w:spacing w:after="140" w:line="320"/>
        <w:ind w:firstLine="360"/>
        <w:jc w:val="both"/>
      </w:pPr>
      <w:r>
        <w:rPr>
          <w:rFonts w:ascii="Times New Roman" w:cs="Times New Roman" w:eastAsia="Times New Roman" w:hAnsi="Times New Roman"/>
          <w:sz w:val="23"/>
          <w:szCs w:val="23"/>
        </w:rPr>
        <w:t xml:space="preserve">Le travail comporte des limites, assumées et circonscrites. L’évaluation a été conduite dans un environnement hors-ligne qui n’exploite que partiellement la recherche sémantique, de sorte que l’apport de la fusion hybride et du réordonnancement reste à confirmer dans la configuration de référence. Le corpus de démonstration et le jeu de test appellent leur extension au corpus intermédiaire complet et aux questions réellement posées par les agents. Le gain opérationnel, enfin, devra être mesuré auprès des personnels de la structure d’accueil selon le protocole défini.</w:t>
      </w:r>
    </w:p>
    <w:p>
      <w:pPr>
        <w:spacing w:after="140" w:line="320"/>
        <w:ind w:firstLine="360"/>
        <w:jc w:val="both"/>
      </w:pPr>
      <w:r>
        <w:rPr>
          <w:rFonts w:ascii="Times New Roman" w:cs="Times New Roman" w:eastAsia="Times New Roman" w:hAnsi="Times New Roman"/>
          <w:sz w:val="23"/>
          <w:szCs w:val="23"/>
        </w:rPr>
        <w:t xml:space="preserve">Les perspectives ouvertes prolongent ces limites en programme de travail : l’exécution en configuration de référence et la mesure du gain de temps compléteront la validation des hypothèses ; l’introduction d’un seuil d’abstention et l’extraction fine des grands tableaux renforceront la restitution ; le passage à un index vectoriel approché préparera le changement d’échelle vers l’ensemble du patrimoine documentaire. Au-delà du ministère, la démarche et l’architecture proposées — récupération hybride, restitution ancrée et règle de citation littérale des données chiffrées — sont transposables à toute administration produisant des publications statistiques à partir d’un patrimoine documentaire hétérogène, où l’exigence de traçabilité prime sur la seule fluidité de la rédaction.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BIBLIOGRAPHIE INDICATIVE</w:t>
      </w:r>
    </w:p>
    <w:p>
      <w:pPr>
        <w:pStyle w:val="Heading2"/>
        <w:spacing w:after="140" w:before="280"/>
      </w:pPr>
      <w:r>
        <w:rPr>
          <w:rFonts w:ascii="Times New Roman" w:cs="Times New Roman" w:eastAsia="Times New Roman" w:hAnsi="Times New Roman"/>
          <w:b/>
          <w:bCs/>
          <w:color w:val="2F5496"/>
          <w:sz w:val="24"/>
          <w:szCs w:val="24"/>
        </w:rPr>
        <w:t xml:space="preserve">I. Ouvrages et articles</w:t>
      </w:r>
    </w:p>
    <w:p>
      <w:pPr>
        <w:spacing w:after="110" w:line="280"/>
        <w:ind w:left="504" w:hanging="504"/>
        <w:jc w:val="both"/>
      </w:pPr>
      <w:r>
        <w:rPr>
          <w:rFonts w:ascii="Times New Roman" w:cs="Times New Roman" w:eastAsia="Times New Roman" w:hAnsi="Times New Roman"/>
          <w:sz w:val="21"/>
          <w:szCs w:val="21"/>
        </w:rPr>
        <w:t xml:space="preserve">DEVLIN J., CHANG M.-W., LEE K. et TOUTANOVA K. (2019), BERT : Pre-training of Deep Bidirectional Transformers for Language Understanding, Proceedings of NAACL-HLT, pp. 4171-4186.</w:t>
      </w:r>
    </w:p>
    <w:p>
      <w:pPr>
        <w:spacing w:after="110" w:line="280"/>
        <w:ind w:left="504" w:hanging="504"/>
        <w:jc w:val="both"/>
      </w:pPr>
      <w:r>
        <w:rPr>
          <w:rFonts w:ascii="Times New Roman" w:cs="Times New Roman" w:eastAsia="Times New Roman" w:hAnsi="Times New Roman"/>
          <w:sz w:val="21"/>
          <w:szCs w:val="21"/>
        </w:rPr>
        <w:t xml:space="preserve">ES S., JAMES J., ESPINOSA-ANKE L. et SCHOCKAERT S. (2024), RAGAS : Automated Evaluation of Retrieval Augmented Generation, Proceedings of EACL.</w:t>
      </w:r>
    </w:p>
    <w:p>
      <w:pPr>
        <w:spacing w:after="110" w:line="280"/>
        <w:ind w:left="504" w:hanging="504"/>
        <w:jc w:val="both"/>
      </w:pPr>
      <w:r>
        <w:rPr>
          <w:rFonts w:ascii="Times New Roman" w:cs="Times New Roman" w:eastAsia="Times New Roman" w:hAnsi="Times New Roman"/>
          <w:sz w:val="21"/>
          <w:szCs w:val="21"/>
        </w:rPr>
        <w:t xml:space="preserve">GUU K., LEE K., TUNG Z., PASUPAT P. et CHANG M.-W. (2020), REALM : Retrieval-Augmented Language Model Pre-Training, Proceedings of ICML.</w:t>
      </w:r>
    </w:p>
    <w:p>
      <w:pPr>
        <w:spacing w:after="110" w:line="280"/>
        <w:ind w:left="504" w:hanging="504"/>
        <w:jc w:val="both"/>
      </w:pPr>
      <w:r>
        <w:rPr>
          <w:rFonts w:ascii="Times New Roman" w:cs="Times New Roman" w:eastAsia="Times New Roman" w:hAnsi="Times New Roman"/>
          <w:sz w:val="21"/>
          <w:szCs w:val="21"/>
        </w:rPr>
        <w:t xml:space="preserve">HEVNER A.R., MARCH S.T., PARK J. et RAM S. (2004), Design Science in Information Systems Research, MIS Quarterly, vol. 28, n° 1, pp. 75-105.</w:t>
      </w:r>
    </w:p>
    <w:p>
      <w:pPr>
        <w:spacing w:after="110" w:line="280"/>
        <w:ind w:left="504" w:hanging="504"/>
        <w:jc w:val="both"/>
      </w:pPr>
      <w:r>
        <w:rPr>
          <w:rFonts w:ascii="Times New Roman" w:cs="Times New Roman" w:eastAsia="Times New Roman" w:hAnsi="Times New Roman"/>
          <w:sz w:val="21"/>
          <w:szCs w:val="21"/>
        </w:rPr>
        <w:t xml:space="preserve">KARPUKHIN V., OGUZ B., MIN S. et al. (2020), Dense Passage Retrieval for Open-Domain Question Answering, Proceedings of EMNLP, pp. 6769-6781.</w:t>
      </w:r>
    </w:p>
    <w:p>
      <w:pPr>
        <w:spacing w:after="110" w:line="280"/>
        <w:ind w:left="504" w:hanging="504"/>
        <w:jc w:val="both"/>
      </w:pPr>
      <w:r>
        <w:rPr>
          <w:rFonts w:ascii="Times New Roman" w:cs="Times New Roman" w:eastAsia="Times New Roman" w:hAnsi="Times New Roman"/>
          <w:sz w:val="21"/>
          <w:szCs w:val="21"/>
        </w:rPr>
        <w:t xml:space="preserve">LEWIS P., PEREZ E., PIKTUS A. et al. (2020), Retrieval-Augmented Generation for Knowledge-Intensive NLP Tasks, Advances in Neural Information Processing Systems, vol. 33, pp. 9459-9474.</w:t>
      </w:r>
    </w:p>
    <w:p>
      <w:pPr>
        <w:spacing w:after="110" w:line="280"/>
        <w:ind w:left="504" w:hanging="504"/>
        <w:jc w:val="both"/>
      </w:pPr>
      <w:r>
        <w:rPr>
          <w:rFonts w:ascii="Times New Roman" w:cs="Times New Roman" w:eastAsia="Times New Roman" w:hAnsi="Times New Roman"/>
          <w:sz w:val="21"/>
          <w:szCs w:val="21"/>
        </w:rPr>
        <w:t xml:space="preserve">LIN C.-Y. (2004), ROUGE : A Package for Automatic Evaluation of Summaries, Proceedings of the ACL Workshop on Text Summarization Branches Out, pp. 74-81.</w:t>
      </w:r>
    </w:p>
    <w:p>
      <w:pPr>
        <w:spacing w:after="110" w:line="280"/>
        <w:ind w:left="504" w:hanging="504"/>
        <w:jc w:val="both"/>
      </w:pPr>
      <w:r>
        <w:rPr>
          <w:rFonts w:ascii="Times New Roman" w:cs="Times New Roman" w:eastAsia="Times New Roman" w:hAnsi="Times New Roman"/>
          <w:sz w:val="21"/>
          <w:szCs w:val="21"/>
        </w:rPr>
        <w:t xml:space="preserve">MIKOLOV T., CHEN K., CORRADO G. et DEAN J. (2013), Efficient Estimation of Word Representations in Vector Space, Proceedings of ICLR Workshop.</w:t>
      </w:r>
    </w:p>
    <w:p>
      <w:pPr>
        <w:spacing w:after="110" w:line="280"/>
        <w:ind w:left="504" w:hanging="504"/>
        <w:jc w:val="both"/>
      </w:pPr>
      <w:r>
        <w:rPr>
          <w:rFonts w:ascii="Times New Roman" w:cs="Times New Roman" w:eastAsia="Times New Roman" w:hAnsi="Times New Roman"/>
          <w:sz w:val="21"/>
          <w:szCs w:val="21"/>
        </w:rPr>
        <w:t xml:space="preserve">MUSUMECI E., BRIENZA M., SURIANI V., NARDI D. et BLOISI D.D. (2024), LLM Based Multi-Agent Generation of Semi-structured Documents from Semantic Templates in the Public Administration Domain, Artificial Intelligence in HCI, Lecture Notes in Computer Science, vol. 14736, Springer, pp. 98-117.</w:t>
      </w:r>
    </w:p>
    <w:p>
      <w:pPr>
        <w:spacing w:after="110" w:line="280"/>
        <w:ind w:left="504" w:hanging="504"/>
        <w:jc w:val="both"/>
      </w:pPr>
      <w:r>
        <w:rPr>
          <w:rFonts w:ascii="Times New Roman" w:cs="Times New Roman" w:eastAsia="Times New Roman" w:hAnsi="Times New Roman"/>
          <w:sz w:val="21"/>
          <w:szCs w:val="21"/>
        </w:rPr>
        <w:t xml:space="preserve">PENNINGTON J., SOCHER R. et MANNING C.D. (2014), GloVe : Global Vectors for Word Representation, Proceedings of EMNLP, pp. 1532-1543.</w:t>
      </w:r>
    </w:p>
    <w:p>
      <w:pPr>
        <w:spacing w:after="110" w:line="280"/>
        <w:ind w:left="504" w:hanging="504"/>
        <w:jc w:val="both"/>
      </w:pPr>
      <w:r>
        <w:rPr>
          <w:rFonts w:ascii="Times New Roman" w:cs="Times New Roman" w:eastAsia="Times New Roman" w:hAnsi="Times New Roman"/>
          <w:sz w:val="21"/>
          <w:szCs w:val="21"/>
        </w:rPr>
        <w:t xml:space="preserve">REIMERS N. et GUREVYCH I. (2019), Sentence-BERT : Sentence Embeddings using Siamese BERT-Networks, Proceedings of EMNLP-IJCNLP, pp. 3982-3992.</w:t>
      </w:r>
    </w:p>
    <w:p>
      <w:pPr>
        <w:spacing w:after="110" w:line="280"/>
        <w:ind w:left="504" w:hanging="504"/>
        <w:jc w:val="both"/>
      </w:pPr>
      <w:r>
        <w:rPr>
          <w:rFonts w:ascii="Times New Roman" w:cs="Times New Roman" w:eastAsia="Times New Roman" w:hAnsi="Times New Roman"/>
          <w:sz w:val="21"/>
          <w:szCs w:val="21"/>
        </w:rPr>
        <w:t xml:space="preserve">SALTON G. et BUCKLEY C. (1988), Term-Weighting Approaches in Automatic Text Retrieval, Information Processing and Management, vol. 24, n° 5, pp. 513-523.</w:t>
      </w:r>
    </w:p>
    <w:p>
      <w:pPr>
        <w:spacing w:after="110" w:line="280"/>
        <w:ind w:left="504" w:hanging="504"/>
        <w:jc w:val="both"/>
      </w:pPr>
      <w:r>
        <w:rPr>
          <w:rFonts w:ascii="Times New Roman" w:cs="Times New Roman" w:eastAsia="Times New Roman" w:hAnsi="Times New Roman"/>
          <w:sz w:val="21"/>
          <w:szCs w:val="21"/>
        </w:rPr>
        <w:t xml:space="preserve">SAWARKAR K., MANGAL A. et SOLANKI S.R. (2024), Blended RAG : Improving RAG Accuracy with Semantic Search and Hybrid Query-Based Retrievers, Proceedings of the IEEE 7th International Conference on Multimedia Information Processing and Retrieval, pp. 155-161.</w:t>
      </w:r>
    </w:p>
    <w:p>
      <w:pPr>
        <w:spacing w:after="110" w:line="280"/>
        <w:ind w:left="504" w:hanging="504"/>
        <w:jc w:val="both"/>
      </w:pPr>
      <w:r>
        <w:rPr>
          <w:rFonts w:ascii="Times New Roman" w:cs="Times New Roman" w:eastAsia="Times New Roman" w:hAnsi="Times New Roman"/>
          <w:sz w:val="21"/>
          <w:szCs w:val="21"/>
        </w:rPr>
        <w:t xml:space="preserve">SHUSTER K., POFF S., CHEN M., KIELA D. et WESTON J. (2021), Retrieval Augmentation Reduces Hallucination in Conversation, Findings of the ACL (EMNLP 2021), pp. 3784-3803.</w:t>
      </w:r>
    </w:p>
    <w:p>
      <w:pPr>
        <w:spacing w:after="110" w:line="280"/>
        <w:ind w:left="504" w:hanging="504"/>
        <w:jc w:val="both"/>
      </w:pPr>
      <w:r>
        <w:rPr>
          <w:rFonts w:ascii="Times New Roman" w:cs="Times New Roman" w:eastAsia="Times New Roman" w:hAnsi="Times New Roman"/>
          <w:sz w:val="21"/>
          <w:szCs w:val="21"/>
        </w:rPr>
        <w:t xml:space="preserve">VASWANI A., SHAZEER N., PARMAR N. et al. (2017), Attention Is All You Need, Advances in Neural Information Processing Systems, vol. 30, pp. 5998-6008.</w:t>
      </w:r>
    </w:p>
    <w:p>
      <w:pPr>
        <w:pStyle w:val="Heading2"/>
        <w:spacing w:after="140" w:before="280"/>
      </w:pPr>
      <w:r>
        <w:rPr>
          <w:rFonts w:ascii="Times New Roman" w:cs="Times New Roman" w:eastAsia="Times New Roman" w:hAnsi="Times New Roman"/>
          <w:b/>
          <w:bCs/>
          <w:color w:val="2F5496"/>
          <w:sz w:val="24"/>
          <w:szCs w:val="24"/>
        </w:rPr>
        <w:t xml:space="preserve">II. Documents de travail, rapports et mémoires</w:t>
      </w:r>
    </w:p>
    <w:p>
      <w:pPr>
        <w:spacing w:after="110" w:line="280"/>
        <w:ind w:left="504" w:hanging="504"/>
        <w:jc w:val="both"/>
      </w:pPr>
      <w:r>
        <w:rPr>
          <w:rFonts w:ascii="Times New Roman" w:cs="Times New Roman" w:eastAsia="Times New Roman" w:hAnsi="Times New Roman"/>
          <w:sz w:val="21"/>
          <w:szCs w:val="21"/>
        </w:rPr>
        <w:t xml:space="preserve">FONKOUA GANKE V. (2026), Conception et évaluation d'un système local de génération augmentée par récupération (RAG) pour l'automatisation de la production des publications statistiques officielles : cas de l'Institut National de la Statistique du Cameroun, Mémoire professionnel ISE, ISSEA, Yaoundé.</w:t>
      </w:r>
    </w:p>
    <w:p>
      <w:pPr>
        <w:spacing w:after="110" w:line="280"/>
        <w:ind w:left="504" w:hanging="504"/>
        <w:jc w:val="both"/>
      </w:pPr>
      <w:r>
        <w:rPr>
          <w:rFonts w:ascii="Times New Roman" w:cs="Times New Roman" w:eastAsia="Times New Roman" w:hAnsi="Times New Roman"/>
          <w:sz w:val="21"/>
          <w:szCs w:val="21"/>
        </w:rPr>
        <w:t xml:space="preserve">GAO Y., XIONG Y., GAO X. et al. (2023), Retrieval-Augmented Generation for Large Language Models : A Survey, Document de travail, arXiv:2312.10997.</w:t>
      </w:r>
    </w:p>
    <w:p>
      <w:pPr>
        <w:spacing w:after="110" w:line="280"/>
        <w:ind w:left="504" w:hanging="504"/>
        <w:jc w:val="both"/>
      </w:pPr>
      <w:r>
        <w:rPr>
          <w:rFonts w:ascii="Times New Roman" w:cs="Times New Roman" w:eastAsia="Times New Roman" w:hAnsi="Times New Roman"/>
          <w:sz w:val="21"/>
          <w:szCs w:val="21"/>
        </w:rPr>
        <w:t xml:space="preserve">KEÏTA M.L. (2025), Génération assistée par Intelligence Artificielle de questionnaires d'enquête à partir d'indicateurs : cas de l'Enquête Démographique et de Santé du Cameroun, Mémoire professionnel, ISSEA, Yaoundé.</w:t>
      </w:r>
    </w:p>
    <w:p>
      <w:pPr>
        <w:spacing w:after="110" w:line="280"/>
        <w:ind w:left="504" w:hanging="504"/>
        <w:jc w:val="both"/>
      </w:pPr>
      <w:r>
        <w:rPr>
          <w:rFonts w:ascii="Times New Roman" w:cs="Times New Roman" w:eastAsia="Times New Roman" w:hAnsi="Times New Roman"/>
          <w:sz w:val="21"/>
          <w:szCs w:val="21"/>
        </w:rPr>
        <w:t xml:space="preserve">MABIALA M. (2026), Conception et évaluation d'un système RAG à deux niveaux pour la génération automatique de questionnaires d'enquête : application à l'EDS Cameroun 2018, Mémoire professionnel ISE, ISSEA, Yaoundé.</w:t>
      </w:r>
    </w:p>
    <w:p>
      <w:pPr>
        <w:spacing w:after="110" w:line="280"/>
        <w:ind w:left="504" w:hanging="504"/>
        <w:jc w:val="both"/>
      </w:pPr>
      <w:r>
        <w:rPr>
          <w:rFonts w:ascii="Times New Roman" w:cs="Times New Roman" w:eastAsia="Times New Roman" w:hAnsi="Times New Roman"/>
          <w:sz w:val="21"/>
          <w:szCs w:val="21"/>
        </w:rPr>
        <w:t xml:space="preserve">MINPMEESA (2025), Annuaire statistique des petites et moyennes entreprises, des organisations de l'économie sociale et des artisans, 14e édition, Ministère des Petites et Moyennes Entreprises, de l'Économie Sociale et de l'Artisanat, Yaoundé.</w:t>
      </w:r>
    </w:p>
    <w:p>
      <w:pPr>
        <w:spacing w:after="110" w:line="280"/>
        <w:ind w:left="504" w:hanging="504"/>
        <w:jc w:val="both"/>
      </w:pPr>
      <w:r>
        <w:rPr>
          <w:rFonts w:ascii="Times New Roman" w:cs="Times New Roman" w:eastAsia="Times New Roman" w:hAnsi="Times New Roman"/>
          <w:sz w:val="21"/>
          <w:szCs w:val="21"/>
        </w:rPr>
        <w:t xml:space="preserve">YADAV U. (2026), Chunking, Retrieval, and Re-ranking : An Empirical Evaluation of RAG Architectures for Policy Document Question Answering, Document de travail, arXiv:2601.15457.</w:t>
      </w:r>
    </w:p>
    <w:p>
      <w:pPr>
        <w:pBdr>
          <w:left w:val="single" w:color="C00000" w:sz="12" w:space="8"/>
        </w:pBdr>
        <w:spacing w:after="180" w:before="120" w:line="280"/>
        <w:ind w:left="288"/>
        <w:jc w:val="both"/>
      </w:pPr>
      <w:r>
        <w:rPr>
          <w:rFonts w:ascii="Times New Roman" w:cs="Times New Roman" w:eastAsia="Times New Roman" w:hAnsi="Times New Roman"/>
          <w:b/>
          <w:bCs/>
          <w:color w:val="C00000"/>
          <w:sz w:val="21"/>
          <w:szCs w:val="21"/>
        </w:rPr>
        <w:t xml:space="preserve">À COMPLÉTER : références réglementaires camerounaises (décret d'organisation du MINPMEESA, textes relatifs au Nouveau régime financier de l'État et au budget-programme, Stratégie nationale de développement de la statistique), à citer avec leurs numéros et dates exacts.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6"/>
        <w:szCs w:val="16"/>
      </w:rPr>
      <w:t xml:space="preserve">Adnane MAMA IDISSA  |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6"/>
        <w:szCs w:val="16"/>
      </w:rPr>
      <w:t xml:space="preserve">Mémoire MDSMS2 - ISSEA - RAG hybride MINPMEESA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2026-08-30T21:43:26.929Z</dcterms:created>
  <dcterms:modified xsi:type="dcterms:W3CDTF">2026-08-30T21:43:26.929Z</dcterms:modified>
</cp:coreProperties>
</file>

<file path=docProps/custom.xml><?xml version="1.0" encoding="utf-8"?>
<Properties xmlns="http://schemas.openxmlformats.org/officeDocument/2006/custom-properties" xmlns:vt="http://schemas.openxmlformats.org/officeDocument/2006/docPropsVTypes"/>
</file>