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4B400" w:sz="18" w:space="8"/>
        </w:pBdr>
        <w:spacing w:after="60" w:before="1200"/>
        <w:jc w:val="center"/>
      </w:pPr>
      <w:r>
        <w:rPr>
          <w:rFonts w:ascii="Times New Roman" w:cs="Times New Roman" w:eastAsia="Times New Roman" w:hAnsi="Times New Roman"/>
          <w:b/>
          <w:bCs/>
          <w:color w:val="0B7A3B"/>
          <w:sz w:val="40"/>
          <w:szCs w:val="40"/>
        </w:rPr>
        <w:t xml:space="preserve">DOSSIER TECHNIQUE DE RÉDACTION</w:t>
      </w:r>
    </w:p>
    <w:p>
      <w:pPr>
        <w:spacing w:after="40"/>
        <w:jc w:val="center"/>
      </w:pPr>
      <w:r>
        <w:rPr>
          <w:rFonts w:ascii="Times New Roman" w:cs="Times New Roman" w:eastAsia="Times New Roman" w:hAnsi="Times New Roman"/>
          <w:color w:val="555555"/>
          <w:sz w:val="24"/>
          <w:szCs w:val="24"/>
        </w:rPr>
        <w:t xml:space="preserve">Éléments d'exploitation pour la rédaction du mémoire — chapitres 3 et 4</w:t>
      </w:r>
    </w:p>
    <w:p>
      <w:pPr>
        <w:spacing w:after="30"/>
        <w:jc w:val="center"/>
      </w:pPr>
      <w:r>
        <w:rPr>
          <w:rFonts w:ascii="Times New Roman" w:cs="Times New Roman" w:eastAsia="Times New Roman" w:hAnsi="Times New Roman"/>
          <w:i/>
          <w:iCs/>
          <w:color w:val="555555"/>
          <w:sz w:val="22"/>
          <w:szCs w:val="22"/>
        </w:rPr>
        <w:t xml:space="preserve">Système RAG hybride pour le patrimoine documentaire du MINPMEESA</w:t>
      </w:r>
    </w:p>
    <w:p>
      <w:pPr>
        <w:spacing w:before="200"/>
        <w:jc w:val="center"/>
      </w:pPr>
      <w:r>
        <w:rPr>
          <w:rFonts w:ascii="Times New Roman" w:cs="Times New Roman" w:eastAsia="Times New Roman" w:hAnsi="Times New Roman"/>
          <w:color w:val="555555"/>
          <w:sz w:val="22"/>
          <w:szCs w:val="22"/>
        </w:rPr>
        <w:t xml:space="preserve">Adnane MAMA IDISSA — M2 MDSMS, ISSEA-CEMAC</w:t>
      </w:r>
    </w:p>
    <w:p>
      <w:pPr>
        <w:spacing w:before="260"/>
        <w:jc w:val="center"/>
      </w:pPr>
      <w:r>
        <w:rPr>
          <w:rFonts w:ascii="Times New Roman" w:cs="Times New Roman" w:eastAsia="Times New Roman" w:hAnsi="Times New Roman"/>
          <w:i/>
          <w:iCs/>
          <w:color w:val="888888"/>
          <w:sz w:val="20"/>
          <w:szCs w:val="20"/>
        </w:rPr>
        <w:t xml:space="preserve">Note : les chiffres de ce dossier proviennent de l'exécution réelle de l'artefact en configuration hors-ligne (substituts). Les valeurs marquées « À COMPLÉTER » relèvent du terrain.</w:t>
      </w:r>
    </w:p>
    <w:p>
      <w:r>
        <w:br w:type="page"/>
      </w:r>
    </w:p>
    <w:p>
      <w:pPr>
        <w:pStyle w:val="Heading1"/>
        <w:spacing w:after="140" w:before="300"/>
      </w:pPr>
      <w:r>
        <w:rPr>
          <w:rFonts w:ascii="Times New Roman" w:cs="Times New Roman" w:eastAsia="Times New Roman" w:hAnsi="Times New Roman"/>
          <w:b/>
          <w:bCs/>
          <w:color w:val="1F3864"/>
          <w:sz w:val="30"/>
          <w:szCs w:val="30"/>
        </w:rPr>
        <w:t xml:space="preserve">1. Résultats détaillés de l'évaluation</w:t>
      </w:r>
    </w:p>
    <w:p>
      <w:pPr>
        <w:spacing w:after="120" w:line="300"/>
        <w:jc w:val="both"/>
      </w:pPr>
      <w:r>
        <w:rPr>
          <w:rFonts w:ascii="Times New Roman" w:cs="Times New Roman" w:eastAsia="Times New Roman" w:hAnsi="Times New Roman"/>
          <w:sz w:val="22"/>
          <w:szCs w:val="22"/>
        </w:rPr>
        <w:t xml:space="preserve">Ces tableaux sont issus du script d'export de l'évaluation (scripts/export_eval_details.py), exécuté sur l'index des 211 passages. Les configurations sont C1 (lexicale/BM25), C2 (sémantique/vectorielle), C3 (hybride, fusion RRF) et C4 (hybride avec métadonnées et réordonnancement). Le classement complet des dix premiers segments par question et par configuration figure dans le fichier joint eval_runs_top10.csv.</w:t>
      </w:r>
    </w:p>
    <w:p>
      <w:pPr>
        <w:pStyle w:val="Heading2"/>
        <w:spacing w:after="100" w:before="220"/>
      </w:pPr>
      <w:r>
        <w:rPr>
          <w:rFonts w:ascii="Times New Roman" w:cs="Times New Roman" w:eastAsia="Times New Roman" w:hAnsi="Times New Roman"/>
          <w:b/>
          <w:bCs/>
          <w:color w:val="0B7A3B"/>
          <w:sz w:val="26"/>
          <w:szCs w:val="26"/>
        </w:rPr>
        <w:t xml:space="preserve">1.1. Vérité de terrain, catégories et nombre de passages pertinents</w:t>
      </w:r>
    </w:p>
    <w:p>
      <w:pPr>
        <w:spacing w:after="40" w:before="120"/>
        <w:jc w:val="center"/>
      </w:pPr>
      <w:r>
        <w:rPr>
          <w:rFonts w:ascii="Times New Roman" w:cs="Times New Roman" w:eastAsia="Times New Roman" w:hAnsi="Times New Roman"/>
          <w:b/>
          <w:bCs/>
          <w:i/>
          <w:iCs/>
          <w:color w:val="0B7A3B"/>
          <w:sz w:val="21"/>
          <w:szCs w:val="21"/>
        </w:rPr>
        <w:t xml:space="preserve">Tableau 1 : Jeu de test — vérité de terrain par question</w:t>
      </w:r>
    </w:p>
    <w:tbl>
      <w:tblPr>
        <w:tblW w:type="dxa" w:w="8660"/>
        <w:tblBorders>
          <w:top w:val="single" w:color="999999" w:sz="4"/>
          <w:left w:val="single" w:color="999999" w:sz="4"/>
          <w:bottom w:val="single" w:color="999999" w:sz="4"/>
          <w:right w:val="single" w:color="999999" w:sz="4"/>
          <w:insideH w:val="single" w:color="999999" w:sz="4"/>
          <w:insideV w:val="single" w:color="999999" w:sz="4"/>
        </w:tblBorders>
      </w:tblPr>
      <w:tblGrid>
        <w:gridCol w:w="560"/>
        <w:gridCol w:w="700"/>
        <w:gridCol w:w="1500"/>
        <w:gridCol w:w="4700"/>
        <w:gridCol w:w="1200"/>
      </w:tblGrid>
      <w:tr>
        <w:trPr>
          <w:tblHeader/>
        </w:trPr>
        <w:tc>
          <w:tcPr>
            <w:tcW w:type="dxa" w:w="56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Q</w:t>
            </w:r>
          </w:p>
        </w:tc>
        <w:tc>
          <w:tcPr>
            <w:tcW w:type="dxa" w:w="7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Cat.</w:t>
            </w:r>
          </w:p>
        </w:tc>
        <w:tc>
          <w:tcPr>
            <w:tcW w:type="dxa" w:w="15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Mode</w:t>
            </w:r>
          </w:p>
        </w:tc>
        <w:tc>
          <w:tcPr>
            <w:tcW w:type="dxa" w:w="47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Vérité de terrain (doc., pages)</w:t>
            </w:r>
          </w:p>
        </w:tc>
        <w:tc>
          <w:tcPr>
            <w:tcW w:type="dxa" w:w="12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 pertinents</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Q01</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CU1</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annuaire_statistique_2022 p.14</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Q02</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CU2</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annuaire_statistique_2022 p.14/15</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Q03</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CU1</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annuaire_statistique_2022 p.16</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Q04</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CU1</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annuaire_statistique_2022 p.17</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Q05</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CU2</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annuaire_statistique_2022 p.43</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Q06</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note_conjoncture_T2_2024 p.11</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Q07</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note_conjoncture_T2_2024 p.7/13</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Q08</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CU5</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consultation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note_conjoncture_T2_2024 p.13</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Q09</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CU5</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consultation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note_conjoncture_T3_2024 p.5</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Q10</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note_conjoncture_T3_2024 p.9</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Q11</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CU5</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consultation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note_conjoncture_T3_2024 p.12</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Q12</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CU4</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note_conjoncture_T3_2024 p.11</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Q13</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note_conjoncture_T3_2024 p.7</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Q14</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CU4</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note_conjoncture_T1_2025 p.6</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Q15</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CU2</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note_conjoncture_T1_2025 p.13</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Q16</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note_conjoncture_T1_2025 p.17</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Q17</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note_conjoncture_T1_2025 p.11</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r>
      <w:tr>
        <w:tc>
          <w:tcPr>
            <w:tcW w:type="dxa" w:w="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Q18</w:t>
            </w:r>
          </w:p>
        </w:tc>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production</w:t>
            </w:r>
          </w:p>
        </w:tc>
        <w:tc>
          <w:tcPr>
            <w:tcW w:type="dxa" w:w="47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note_conjoncture_T2_2024 p.9</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bl>
    <w:p>
      <w:pPr>
        <w:spacing w:after="120" w:line="300"/>
        <w:jc w:val="both"/>
      </w:pPr>
      <w:r>
        <w:rPr>
          <w:rFonts w:ascii="Times New Roman" w:cs="Times New Roman" w:eastAsia="Times New Roman" w:hAnsi="Times New Roman"/>
          <w:sz w:val="22"/>
          <w:szCs w:val="22"/>
        </w:rPr>
        <w:t xml:space="preserve">Le nombre moyen de passages pertinents par question est de </w:t>
      </w:r>
      <w:r>
        <w:rPr>
          <w:rFonts w:ascii="Times New Roman" w:cs="Times New Roman" w:eastAsia="Times New Roman" w:hAnsi="Times New Roman"/>
          <w:b/>
          <w:bCs/>
          <w:sz w:val="22"/>
          <w:szCs w:val="22"/>
        </w:rPr>
        <w:t xml:space="preserve">3,17</w:t>
      </w:r>
      <w:r>
        <w:rPr>
          <w:rFonts w:ascii="Times New Roman" w:cs="Times New Roman" w:eastAsia="Times New Roman" w:hAnsi="Times New Roman"/>
          <w:sz w:val="22"/>
          <w:szCs w:val="22"/>
        </w:rPr>
        <w:t xml:space="preserve"> (minimum 1). Cette valeur est indispensable à l'interprétation des Precision@K : lorsqu'une question ne compte que trois passages pertinents, la Precision@5 ne peut, par construction, dépasser 0,6.</w:t>
      </w:r>
    </w:p>
    <w:p>
      <w:pPr>
        <w:pStyle w:val="Heading2"/>
        <w:spacing w:after="100" w:before="220"/>
      </w:pPr>
      <w:r>
        <w:rPr>
          <w:rFonts w:ascii="Times New Roman" w:cs="Times New Roman" w:eastAsia="Times New Roman" w:hAnsi="Times New Roman"/>
          <w:b/>
          <w:bCs/>
          <w:color w:val="0B7A3B"/>
          <w:sz w:val="26"/>
          <w:szCs w:val="26"/>
        </w:rPr>
        <w:t xml:space="preserve">1.2. nDCG@5 par question et par configuration</w:t>
      </w:r>
    </w:p>
    <w:p>
      <w:pPr>
        <w:spacing w:after="120" w:line="300"/>
        <w:jc w:val="both"/>
      </w:pPr>
      <w:r>
        <w:rPr>
          <w:rFonts w:ascii="Times New Roman" w:cs="Times New Roman" w:eastAsia="Times New Roman" w:hAnsi="Times New Roman"/>
          <w:sz w:val="22"/>
          <w:szCs w:val="22"/>
        </w:rPr>
        <w:t xml:space="preserve">Ce tableau fournit les valeurs individuelles nécessaires au test apparié sur les différences de nDCG@5 (test des rangs signés de Wilcoxon recommandé, la distribution n'étant pas supposée normale).</w:t>
      </w:r>
    </w:p>
    <w:p>
      <w:pPr>
        <w:spacing w:after="40" w:before="120"/>
        <w:jc w:val="center"/>
      </w:pPr>
      <w:r>
        <w:rPr>
          <w:rFonts w:ascii="Times New Roman" w:cs="Times New Roman" w:eastAsia="Times New Roman" w:hAnsi="Times New Roman"/>
          <w:b/>
          <w:bCs/>
          <w:i/>
          <w:iCs/>
          <w:color w:val="0B7A3B"/>
          <w:sz w:val="21"/>
          <w:szCs w:val="21"/>
        </w:rPr>
        <w:t xml:space="preserve">Tableau 2 : nDCG@5 par question (C1 à C4)</w:t>
      </w:r>
    </w:p>
    <w:tbl>
      <w:tblPr>
        <w:tblW w:type="dxa" w:w="7480"/>
        <w:tblBorders>
          <w:top w:val="single" w:color="999999" w:sz="4"/>
          <w:left w:val="single" w:color="999999" w:sz="4"/>
          <w:bottom w:val="single" w:color="999999" w:sz="4"/>
          <w:right w:val="single" w:color="999999" w:sz="4"/>
          <w:insideH w:val="single" w:color="999999" w:sz="4"/>
          <w:insideV w:val="single" w:color="999999" w:sz="4"/>
        </w:tblBorders>
      </w:tblPr>
      <w:tblGrid>
        <w:gridCol w:w="900"/>
        <w:gridCol w:w="900"/>
        <w:gridCol w:w="1420"/>
        <w:gridCol w:w="1420"/>
        <w:gridCol w:w="1420"/>
        <w:gridCol w:w="1420"/>
      </w:tblGrid>
      <w:tr>
        <w:trPr>
          <w:tblHeader/>
        </w:trPr>
        <w:tc>
          <w:tcPr>
            <w:tcW w:type="dxa" w:w="9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Q</w:t>
            </w:r>
          </w:p>
        </w:tc>
        <w:tc>
          <w:tcPr>
            <w:tcW w:type="dxa" w:w="9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Cat.</w:t>
            </w:r>
          </w:p>
        </w:tc>
        <w:tc>
          <w:tcPr>
            <w:tcW w:type="dxa" w:w="142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C1</w:t>
            </w:r>
          </w:p>
        </w:tc>
        <w:tc>
          <w:tcPr>
            <w:tcW w:type="dxa" w:w="142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C2</w:t>
            </w:r>
          </w:p>
        </w:tc>
        <w:tc>
          <w:tcPr>
            <w:tcW w:type="dxa" w:w="142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C3</w:t>
            </w:r>
          </w:p>
        </w:tc>
        <w:tc>
          <w:tcPr>
            <w:tcW w:type="dxa" w:w="142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C4</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Q01</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CU1</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0.5087</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0.7227</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0.5087</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0.5531</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Q02</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0.3392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0.3392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0.3392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0.3392</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Q03</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CU1</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0.7654</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0.9469</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Q04</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CU1</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0.6309</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0.6309</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0.6309</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Q06</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0.9675</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0.9675</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0.9675</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0.9675</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Q07</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0.3392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0.3392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0.3392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0.3392</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Q08</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CU5</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0.2641</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0.2372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0.2641</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0.2372</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Q09</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CU5</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0.4776</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0.4776</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0.2961</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0.4982</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Q10</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0.4693</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0.4693</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0.4693</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0.2961</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Q11</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CU5</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0.6714</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0.7039</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0.7654</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0.7654</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Q12</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CU4</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0.6367</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0.3462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0.5585</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0.6367</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Q13</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0.5856</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0.5856</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0.5856</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0.4415</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Q14</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CU4</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0.8319</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0.8048</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0.8319</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0.8319</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CU2</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0.2021</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0.2021</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0.1815</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0.1815</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Q16</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0.6309</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Q17</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0.7654</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0.7654</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0.7654</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0.7654</w:t>
            </w:r>
          </w:p>
        </w:tc>
      </w:tr>
      <w:tr>
        <w:tc>
          <w:tcPr>
            <w:tcW w:type="dxa" w:w="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Q18</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CU3</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0.5856</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0.6367</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0.7366</w:t>
            </w:r>
          </w:p>
        </w:tc>
        <w:tc>
          <w:tcPr>
            <w:tcW w:type="dxa" w:w="14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0.6367</w:t>
            </w:r>
          </w:p>
        </w:tc>
      </w:tr>
    </w:tbl>
    <w:p>
      <w:pPr>
        <w:pStyle w:val="Heading2"/>
        <w:spacing w:after="100" w:before="220"/>
      </w:pPr>
      <w:r>
        <w:rPr>
          <w:rFonts w:ascii="Times New Roman" w:cs="Times New Roman" w:eastAsia="Times New Roman" w:hAnsi="Times New Roman"/>
          <w:b/>
          <w:bCs/>
          <w:color w:val="0B7A3B"/>
          <w:sz w:val="26"/>
          <w:szCs w:val="26"/>
        </w:rPr>
        <w:t xml:space="preserve">1.3. Corrélation des canaux lexical (C1) et sémantique (C2)</w:t>
      </w:r>
    </w:p>
    <w:p>
      <w:pPr>
        <w:spacing w:after="120" w:line="300"/>
        <w:jc w:val="both"/>
      </w:pPr>
      <w:r>
        <w:rPr>
          <w:rFonts w:ascii="Times New Roman" w:cs="Times New Roman" w:eastAsia="Times New Roman" w:hAnsi="Times New Roman"/>
          <w:sz w:val="22"/>
          <w:szCs w:val="22"/>
        </w:rPr>
        <w:t xml:space="preserve">Pour chaque question, le tau de Kendall est calculé entre les scores BM25 et les scores vectoriels sur l'ensemble du corpus autorisé ; le recouvrement mesure le nombre de segments communs aux deux top-5.</w:t>
      </w:r>
    </w:p>
    <w:p>
      <w:pPr>
        <w:spacing w:after="40" w:before="120"/>
        <w:jc w:val="center"/>
      </w:pPr>
      <w:r>
        <w:rPr>
          <w:rFonts w:ascii="Times New Roman" w:cs="Times New Roman" w:eastAsia="Times New Roman" w:hAnsi="Times New Roman"/>
          <w:b/>
          <w:bCs/>
          <w:i/>
          <w:iCs/>
          <w:color w:val="0B7A3B"/>
          <w:sz w:val="21"/>
          <w:szCs w:val="21"/>
        </w:rPr>
        <w:t xml:space="preserve">Tableau 3 : Corrélation C1/C2 par question</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200"/>
        <w:gridCol w:w="3300"/>
        <w:gridCol w:w="3300"/>
      </w:tblGrid>
      <w:tr>
        <w:trPr>
          <w:tblHeader/>
        </w:trPr>
        <w:tc>
          <w:tcPr>
            <w:tcW w:type="dxa" w:w="12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Q</w:t>
            </w:r>
          </w:p>
        </w:tc>
        <w:tc>
          <w:tcPr>
            <w:tcW w:type="dxa" w:w="12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Cat.</w:t>
            </w:r>
          </w:p>
        </w:tc>
        <w:tc>
          <w:tcPr>
            <w:tcW w:type="dxa" w:w="33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Kendall τ (C1,C2)</w:t>
            </w:r>
          </w:p>
        </w:tc>
        <w:tc>
          <w:tcPr>
            <w:tcW w:type="dxa" w:w="33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Recouvrement top-5 (/5)</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Q01</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CU1</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0.7758</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Q02</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CU2</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0.7773</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Q03</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CU1</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0.8136</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Q04</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CU1</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0.8075</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Q05</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CU2</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0.8884</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Q06</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CU3</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0.8573</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Q07</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CU3</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0.7986</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Q08</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CU5</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0.8152</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Q09</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CU5</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0.7521</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Q10</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CU3</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0.8342</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Q11</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CU5</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0.8179</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Q12</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CU4</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0.8178</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Q13</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CU3</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0.846</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Q14</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CU4</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0.8117</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Q15</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CU2</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0.8255</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Q16</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CU3</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0.8681</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Q17</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CU3</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0.8623</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r>
      <w:tr>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Q18</w:t>
            </w:r>
          </w:p>
        </w:tc>
        <w:tc>
          <w:tcPr>
            <w:tcW w:type="dxa" w:w="1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CU3</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0.8249</w:t>
            </w:r>
          </w:p>
        </w:tc>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w:t>
            </w:r>
          </w:p>
        </w:tc>
      </w:tr>
    </w:tbl>
    <w:p>
      <w:pPr>
        <w:spacing w:after="120" w:line="300"/>
        <w:jc w:val="both"/>
      </w:pPr>
      <w:r>
        <w:rPr>
          <w:rFonts w:ascii="Times New Roman" w:cs="Times New Roman" w:eastAsia="Times New Roman" w:hAnsi="Times New Roman"/>
          <w:b/>
          <w:bCs/>
          <w:sz w:val="22"/>
          <w:szCs w:val="22"/>
        </w:rPr>
        <w:t xml:space="preserve">Résultat mesuré</w:t>
      </w:r>
      <w:r>
        <w:rPr>
          <w:rFonts w:ascii="Times New Roman" w:cs="Times New Roman" w:eastAsia="Times New Roman" w:hAnsi="Times New Roman"/>
          <w:sz w:val="22"/>
          <w:szCs w:val="22"/>
        </w:rPr>
        <w:t xml:space="preserve"> : le tau de Kendall moyen est de </w:t>
      </w:r>
      <w:r>
        <w:rPr>
          <w:rFonts w:ascii="Times New Roman" w:cs="Times New Roman" w:eastAsia="Times New Roman" w:hAnsi="Times New Roman"/>
          <w:b/>
          <w:bCs/>
          <w:sz w:val="22"/>
          <w:szCs w:val="22"/>
        </w:rPr>
        <w:t xml:space="preserve">0,822</w:t>
      </w:r>
      <w:r>
        <w:rPr>
          <w:rFonts w:ascii="Times New Roman" w:cs="Times New Roman" w:eastAsia="Times New Roman" w:hAnsi="Times New Roman"/>
          <w:sz w:val="22"/>
          <w:szCs w:val="22"/>
        </w:rPr>
        <w:t xml:space="preserve"> et le recouvrement moyen des top-5 de </w:t>
      </w:r>
      <w:r>
        <w:rPr>
          <w:rFonts w:ascii="Times New Roman" w:cs="Times New Roman" w:eastAsia="Times New Roman" w:hAnsi="Times New Roman"/>
          <w:b/>
          <w:bCs/>
          <w:sz w:val="22"/>
          <w:szCs w:val="22"/>
        </w:rPr>
        <w:t xml:space="preserve">3,39 sur 5</w:t>
      </w:r>
      <w:r>
        <w:rPr>
          <w:rFonts w:ascii="Times New Roman" w:cs="Times New Roman" w:eastAsia="Times New Roman" w:hAnsi="Times New Roman"/>
          <w:sz w:val="22"/>
          <w:szCs w:val="22"/>
        </w:rPr>
        <w:t xml:space="preserve">. Les deux canaux sont donc </w:t>
      </w:r>
      <w:r>
        <w:rPr>
          <w:rFonts w:ascii="Times New Roman" w:cs="Times New Roman" w:eastAsia="Times New Roman" w:hAnsi="Times New Roman"/>
          <w:b/>
          <w:bCs/>
          <w:sz w:val="22"/>
          <w:szCs w:val="22"/>
        </w:rPr>
        <w:t xml:space="preserve">fortement corrélés en configuration hors-ligne</w:t>
      </w:r>
      <w:r>
        <w:rPr>
          <w:rFonts w:ascii="Times New Roman" w:cs="Times New Roman" w:eastAsia="Times New Roman" w:hAnsi="Times New Roman"/>
          <w:sz w:val="22"/>
          <w:szCs w:val="22"/>
        </w:rPr>
        <w:t xml:space="preserve">. Ce constat, désormais chiffré et non plus supposé, explique pourquoi la fusion hybride (C3) n'apporte pas de gain sur la meilleure configuration simple : la complémentarité, ressort de l'apport de la fusion, y est faible. En configuration de référence (encodeur neuronal), le canal sémantique apporte un signal distinct et cette corrélation est attendue nettement plus basse.</w:t>
      </w:r>
    </w:p>
    <w:p>
      <w:pPr>
        <w:pStyle w:val="Heading2"/>
        <w:spacing w:after="100" w:before="220"/>
      </w:pPr>
      <w:r>
        <w:rPr>
          <w:rFonts w:ascii="Times New Roman" w:cs="Times New Roman" w:eastAsia="Times New Roman" w:hAnsi="Times New Roman"/>
          <w:b/>
          <w:bCs/>
          <w:color w:val="0B7A3B"/>
          <w:sz w:val="26"/>
          <w:szCs w:val="26"/>
        </w:rPr>
        <w:t xml:space="preserve">1.4. Ventilation par catégorie de requête</w:t>
      </w:r>
    </w:p>
    <w:p>
      <w:pPr>
        <w:spacing w:after="40" w:before="120"/>
        <w:jc w:val="center"/>
      </w:pPr>
      <w:r>
        <w:rPr>
          <w:rFonts w:ascii="Times New Roman" w:cs="Times New Roman" w:eastAsia="Times New Roman" w:hAnsi="Times New Roman"/>
          <w:b/>
          <w:bCs/>
          <w:i/>
          <w:iCs/>
          <w:color w:val="0B7A3B"/>
          <w:sz w:val="21"/>
          <w:szCs w:val="21"/>
        </w:rPr>
        <w:t xml:space="preserve">Tableau 4 : nDCG@5 moyen et corrélation par catégorie (CU1 à CU5)</w:t>
      </w:r>
    </w:p>
    <w:tbl>
      <w:tblPr>
        <w:tblW w:type="dxa" w:w="8026"/>
        <w:tblBorders>
          <w:top w:val="single" w:color="999999" w:sz="4"/>
          <w:left w:val="single" w:color="999999" w:sz="4"/>
          <w:bottom w:val="single" w:color="999999" w:sz="4"/>
          <w:right w:val="single" w:color="999999" w:sz="4"/>
          <w:insideH w:val="single" w:color="999999" w:sz="4"/>
          <w:insideV w:val="single" w:color="999999" w:sz="4"/>
        </w:tblBorders>
      </w:tblPr>
      <w:tblGrid>
        <w:gridCol w:w="820"/>
        <w:gridCol w:w="720"/>
        <w:gridCol w:w="1080"/>
        <w:gridCol w:w="1180"/>
        <w:gridCol w:w="900"/>
        <w:gridCol w:w="900"/>
        <w:gridCol w:w="900"/>
        <w:gridCol w:w="1526"/>
      </w:tblGrid>
      <w:tr>
        <w:trPr>
          <w:tblHeader/>
        </w:trPr>
        <w:tc>
          <w:tcPr>
            <w:tcW w:type="dxa" w:w="82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Cat.</w:t>
            </w:r>
          </w:p>
        </w:tc>
        <w:tc>
          <w:tcPr>
            <w:tcW w:type="dxa" w:w="72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 Q.</w:t>
            </w:r>
          </w:p>
        </w:tc>
        <w:tc>
          <w:tcPr>
            <w:tcW w:type="dxa" w:w="108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Pert. moy.</w:t>
            </w:r>
          </w:p>
        </w:tc>
        <w:tc>
          <w:tcPr>
            <w:tcW w:type="dxa" w:w="118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nDCG@5 C1</w:t>
            </w:r>
          </w:p>
        </w:tc>
        <w:tc>
          <w:tcPr>
            <w:tcW w:type="dxa" w:w="9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C2</w:t>
            </w:r>
          </w:p>
        </w:tc>
        <w:tc>
          <w:tcPr>
            <w:tcW w:type="dxa" w:w="9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C3</w:t>
            </w:r>
          </w:p>
        </w:tc>
        <w:tc>
          <w:tcPr>
            <w:tcW w:type="dxa" w:w="9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C4</w:t>
            </w:r>
          </w:p>
        </w:tc>
        <w:tc>
          <w:tcPr>
            <w:tcW w:type="dxa" w:w="1526"/>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Recouvr. τ moy.</w:t>
            </w:r>
          </w:p>
        </w:tc>
      </w:tr>
      <w:tr>
        <w:tc>
          <w:tcPr>
            <w:tcW w:type="dxa" w:w="82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CU1</w:t>
            </w:r>
          </w:p>
        </w:tc>
        <w:tc>
          <w:tcPr>
            <w:tcW w:type="dxa" w:w="7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0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1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0.7845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0.6955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0.851</w:t>
            </w:r>
          </w:p>
        </w:tc>
        <w:tc>
          <w:tcPr>
            <w:tcW w:type="dxa" w:w="1526"/>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3.33 / 0.799</w:t>
            </w:r>
          </w:p>
        </w:tc>
      </w:tr>
      <w:tr>
        <w:tc>
          <w:tcPr>
            <w:tcW w:type="dxa" w:w="82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CU2</w:t>
            </w:r>
          </w:p>
        </w:tc>
        <w:tc>
          <w:tcPr>
            <w:tcW w:type="dxa" w:w="7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0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1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0.5138</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0.5138</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0.5069</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0.5069</w:t>
            </w:r>
          </w:p>
        </w:tc>
        <w:tc>
          <w:tcPr>
            <w:tcW w:type="dxa" w:w="1526"/>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2.67 / 0.8304</w:t>
            </w:r>
          </w:p>
        </w:tc>
      </w:tr>
      <w:tr>
        <w:tc>
          <w:tcPr>
            <w:tcW w:type="dxa" w:w="82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CU3</w:t>
            </w:r>
          </w:p>
        </w:tc>
        <w:tc>
          <w:tcPr>
            <w:tcW w:type="dxa" w:w="7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0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3.29</w:t>
            </w:r>
          </w:p>
        </w:tc>
        <w:tc>
          <w:tcPr>
            <w:tcW w:type="dxa" w:w="11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0.6732</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0.6805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0.6948</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0.5825</w:t>
            </w:r>
          </w:p>
        </w:tc>
        <w:tc>
          <w:tcPr>
            <w:tcW w:type="dxa" w:w="1526"/>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3.43 / 0.8416</w:t>
            </w:r>
          </w:p>
        </w:tc>
      </w:tr>
      <w:tr>
        <w:tc>
          <w:tcPr>
            <w:tcW w:type="dxa" w:w="82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CU4</w:t>
            </w:r>
          </w:p>
        </w:tc>
        <w:tc>
          <w:tcPr>
            <w:tcW w:type="dxa" w:w="7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0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1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0.7343</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0.5755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0.6952</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0.7343</w:t>
            </w:r>
          </w:p>
        </w:tc>
        <w:tc>
          <w:tcPr>
            <w:tcW w:type="dxa" w:w="1526"/>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 / 0.8148</w:t>
            </w:r>
          </w:p>
        </w:tc>
      </w:tr>
      <w:tr>
        <w:tc>
          <w:tcPr>
            <w:tcW w:type="dxa" w:w="82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CU5</w:t>
            </w:r>
          </w:p>
        </w:tc>
        <w:tc>
          <w:tcPr>
            <w:tcW w:type="dxa" w:w="72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0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2.67</w:t>
            </w:r>
          </w:p>
        </w:tc>
        <w:tc>
          <w:tcPr>
            <w:tcW w:type="dxa" w:w="11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0.471</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0.4729</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0.4419</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0.5003</w:t>
            </w:r>
          </w:p>
        </w:tc>
        <w:tc>
          <w:tcPr>
            <w:tcW w:type="dxa" w:w="1526"/>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3.67 / 0.795</w:t>
            </w:r>
          </w:p>
        </w:tc>
      </w:tr>
    </w:tbl>
    <w:p>
      <w:pPr>
        <w:spacing w:after="120" w:line="300"/>
        <w:jc w:val="both"/>
      </w:pPr>
      <w:r>
        <w:rPr>
          <w:rFonts w:ascii="Times New Roman" w:cs="Times New Roman" w:eastAsia="Times New Roman" w:hAnsi="Times New Roman"/>
          <w:i/>
          <w:iCs/>
          <w:sz w:val="20"/>
          <w:szCs w:val="20"/>
        </w:rPr>
        <w:t xml:space="preserve">Les catégories CU sont une affectation provisoire de l'auteur, à confirmer avec le questionnaire des agents. Le jeu de test ne comporte pas encore de requêtes hors périmètre.</w:t>
      </w:r>
    </w:p>
    <w:p>
      <w:r>
        <w:br w:type="page"/>
      </w:r>
    </w:p>
    <w:p>
      <w:pPr>
        <w:pStyle w:val="Heading1"/>
        <w:spacing w:after="140" w:before="300"/>
      </w:pPr>
      <w:r>
        <w:rPr>
          <w:rFonts w:ascii="Times New Roman" w:cs="Times New Roman" w:eastAsia="Times New Roman" w:hAnsi="Times New Roman"/>
          <w:b/>
          <w:bCs/>
          <w:color w:val="1F3864"/>
          <w:sz w:val="30"/>
          <w:szCs w:val="30"/>
        </w:rPr>
        <w:t xml:space="preserve">2. Corpus et prototype (éléments factuels)</w:t>
      </w:r>
    </w:p>
    <w:p>
      <w:pPr>
        <w:pStyle w:val="Heading2"/>
        <w:spacing w:after="100" w:before="220"/>
      </w:pPr>
      <w:r>
        <w:rPr>
          <w:rFonts w:ascii="Times New Roman" w:cs="Times New Roman" w:eastAsia="Times New Roman" w:hAnsi="Times New Roman"/>
          <w:b/>
          <w:bCs/>
          <w:color w:val="0B7A3B"/>
          <w:sz w:val="26"/>
          <w:szCs w:val="26"/>
        </w:rPr>
        <w:t xml:space="preserve">2.1. État réel de l'artefact</w:t>
      </w:r>
    </w:p>
    <w:p>
      <w:pPr>
        <w:spacing w:after="120" w:line="300"/>
        <w:jc w:val="both"/>
      </w:pPr>
      <w:r>
        <w:rPr>
          <w:rFonts w:ascii="Times New Roman" w:cs="Times New Roman" w:eastAsia="Times New Roman" w:hAnsi="Times New Roman"/>
          <w:sz w:val="22"/>
          <w:szCs w:val="22"/>
        </w:rPr>
        <w:t xml:space="preserve">Le prototype existe sous la forme d'une application web Streamlit organisée en </w:t>
      </w:r>
      <w:r>
        <w:rPr>
          <w:rFonts w:ascii="Times New Roman" w:cs="Times New Roman" w:eastAsia="Times New Roman" w:hAnsi="Times New Roman"/>
          <w:b/>
          <w:bCs/>
          <w:sz w:val="22"/>
          <w:szCs w:val="22"/>
        </w:rPr>
        <w:t xml:space="preserve">trois onglets</w:t>
      </w:r>
      <w:r>
        <w:rPr>
          <w:rFonts w:ascii="Times New Roman" w:cs="Times New Roman" w:eastAsia="Times New Roman" w:hAnsi="Times New Roman"/>
          <w:sz w:val="22"/>
          <w:szCs w:val="22"/>
        </w:rPr>
        <w:t xml:space="preserve"> — Interroger, Collecte pour l'Annuaire, Mettre à jour la documentation — complétés d'un sélecteur de mode (production ou consultation). Les quatre espaces décrits à la section 3.7.1 y sont couverts ainsi : l'administration correspond à l'onglet de mise à jour ; la production et la consultation à l'onglet d'interrogation selon le mode ; l'export est intégré à l'onglet de collecte, au format CSV ou Markdown. L'expérimentation du chapitre 4 a été conduite au moyen du harnais d'évaluation en ligne de commande, et non de l'interface.</w:t>
      </w:r>
    </w:p>
    <w:p>
      <w:pPr>
        <w:pStyle w:val="Heading2"/>
        <w:spacing w:after="100" w:before="220"/>
      </w:pPr>
      <w:r>
        <w:rPr>
          <w:rFonts w:ascii="Times New Roman" w:cs="Times New Roman" w:eastAsia="Times New Roman" w:hAnsi="Times New Roman"/>
          <w:b/>
          <w:bCs/>
          <w:color w:val="0B7A3B"/>
          <w:sz w:val="26"/>
          <w:szCs w:val="26"/>
        </w:rPr>
        <w:t xml:space="preserve">2.2. Base de données effectivement utilisée</w:t>
      </w:r>
    </w:p>
    <w:p>
      <w:pPr>
        <w:spacing w:after="120" w:line="300"/>
        <w:jc w:val="both"/>
      </w:pPr>
      <w:r>
        <w:rPr>
          <w:rFonts w:ascii="Times New Roman" w:cs="Times New Roman" w:eastAsia="Times New Roman" w:hAnsi="Times New Roman"/>
          <w:b/>
          <w:bCs/>
          <w:sz w:val="22"/>
          <w:szCs w:val="22"/>
        </w:rPr>
        <w:t xml:space="preserve">Point de cohérence à corriger au chapitre 3.</w:t>
      </w:r>
      <w:r>
        <w:rPr>
          <w:rFonts w:ascii="Times New Roman" w:cs="Times New Roman" w:eastAsia="Times New Roman" w:hAnsi="Times New Roman"/>
          <w:sz w:val="22"/>
          <w:szCs w:val="22"/>
        </w:rPr>
        <w:t xml:space="preserve"> La section 3.1.3 annonce PostgreSQL avec extension vectorielle et un modèle de langage Ollama ; le prototype ne les mobilise pas. En pratique : le stockage repose sur des fichiers locaux (les passages et leurs métadonnées, l'index BM25 de la bibliothèque rank-bm25 en mémoire, et une matrice dense NumPy pour les vecteurs) ; la recherche vectorielle s'effectue par produit scalaire NumPy exact ; la restitution est extractive, le modèle de langage restant optionnel et non mobilisé au chapitre 4. Il convient d'aligner le chapitre 3, soit en décrivant cette implémentation légère, soit en présentant PostgreSQL et le modèle génératif comme la cible d'industrialisation.</w:t>
      </w:r>
    </w:p>
    <w:p>
      <w:pPr>
        <w:pStyle w:val="Heading2"/>
        <w:spacing w:after="100" w:before="220"/>
      </w:pPr>
      <w:r>
        <w:rPr>
          <w:rFonts w:ascii="Times New Roman" w:cs="Times New Roman" w:eastAsia="Times New Roman" w:hAnsi="Times New Roman"/>
          <w:b/>
          <w:bCs/>
          <w:color w:val="0B7A3B"/>
          <w:sz w:val="26"/>
          <w:szCs w:val="26"/>
        </w:rPr>
        <w:t xml:space="preserve">2.3. Environnement technique d'exécution (Tableau 3.2)</w:t>
      </w:r>
    </w:p>
    <w:p>
      <w:pPr>
        <w:spacing w:after="40" w:before="120"/>
        <w:jc w:val="center"/>
      </w:pPr>
      <w:r>
        <w:rPr>
          <w:rFonts w:ascii="Times New Roman" w:cs="Times New Roman" w:eastAsia="Times New Roman" w:hAnsi="Times New Roman"/>
          <w:b/>
          <w:bCs/>
          <w:i/>
          <w:iCs/>
          <w:color w:val="0B7A3B"/>
          <w:sz w:val="21"/>
          <w:szCs w:val="21"/>
        </w:rPr>
        <w:t xml:space="preserve">Tableau 5 : Machine ayant exécuté l'expérimentation du chapitre 4</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5800"/>
      </w:tblGrid>
      <w:tr>
        <w:trPr>
          <w:tblHeader/>
        </w:trPr>
        <w:tc>
          <w:tcPr>
            <w:tcW w:type="dxa" w:w="32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Composante</w:t>
            </w:r>
          </w:p>
        </w:tc>
        <w:tc>
          <w:tcPr>
            <w:tcW w:type="dxa" w:w="58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Valeur</w:t>
            </w:r>
          </w:p>
        </w:tc>
      </w:tr>
      <w:tr>
        <w:tc>
          <w:tcPr>
            <w:tcW w:type="dxa" w:w="3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Système d'exploitation</w:t>
            </w:r>
          </w:p>
        </w:tc>
        <w:tc>
          <w:tcPr>
            <w:tcW w:type="dxa" w:w="58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Ubuntu 24.04.4 LTS (noyau Linux 6.18, x86-64)</w:t>
            </w:r>
          </w:p>
        </w:tc>
      </w:tr>
      <w:tr>
        <w:tc>
          <w:tcPr>
            <w:tcW w:type="dxa" w:w="3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Processeur</w:t>
            </w:r>
          </w:p>
        </w:tc>
        <w:tc>
          <w:tcPr>
            <w:tcW w:type="dxa" w:w="58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Intel Xeon @ 2,80 GHz — 4 vCPU — sans processeur graphique</w:t>
            </w:r>
          </w:p>
        </w:tc>
      </w:tr>
      <w:tr>
        <w:tc>
          <w:tcPr>
            <w:tcW w:type="dxa" w:w="3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Mémoire vive</w:t>
            </w:r>
          </w:p>
        </w:tc>
        <w:tc>
          <w:tcPr>
            <w:tcW w:type="dxa" w:w="58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15,7 Go</w:t>
            </w:r>
          </w:p>
        </w:tc>
      </w:tr>
      <w:tr>
        <w:tc>
          <w:tcPr>
            <w:tcW w:type="dxa" w:w="3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Langage</w:t>
            </w:r>
          </w:p>
        </w:tc>
        <w:tc>
          <w:tcPr>
            <w:tcW w:type="dxa" w:w="58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Python 3.11</w:t>
            </w:r>
          </w:p>
        </w:tc>
      </w:tr>
      <w:tr>
        <w:tc>
          <w:tcPr>
            <w:tcW w:type="dxa" w:w="3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Stockage de l'index</w:t>
            </w:r>
          </w:p>
        </w:tc>
        <w:tc>
          <w:tcPr>
            <w:tcW w:type="dxa" w:w="58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Fichiers locaux (JSONL + NumPy + pickle)</w:t>
            </w:r>
          </w:p>
        </w:tc>
      </w:tr>
    </w:tbl>
    <w:p>
      <w:pPr>
        <w:spacing w:after="120" w:line="300"/>
        <w:jc w:val="both"/>
      </w:pPr>
      <w:r>
        <w:rPr>
          <w:rFonts w:ascii="Times New Roman" w:cs="Times New Roman" w:eastAsia="Times New Roman" w:hAnsi="Times New Roman"/>
          <w:i/>
          <w:iCs/>
          <w:sz w:val="20"/>
          <w:szCs w:val="20"/>
        </w:rPr>
        <w:t xml:space="preserve">Cette configuration est celle de la machine de calcul ayant exécuté l'évaluation. Le poste de déploiement au ministère aura d'autres caractéristiques, à renseigner pour la ligne « configuration effective des postes ».</w:t>
      </w:r>
    </w:p>
    <w:p>
      <w:pPr>
        <w:pStyle w:val="Heading2"/>
        <w:spacing w:after="100" w:before="220"/>
      </w:pPr>
      <w:r>
        <w:rPr>
          <w:rFonts w:ascii="Times New Roman" w:cs="Times New Roman" w:eastAsia="Times New Roman" w:hAnsi="Times New Roman"/>
          <w:b/>
          <w:bCs/>
          <w:color w:val="0B7A3B"/>
          <w:sz w:val="26"/>
          <w:szCs w:val="26"/>
        </w:rPr>
        <w:t xml:space="preserve">2.4. Modèles de référence et traits du réordonnanceur</w:t>
      </w:r>
    </w:p>
    <w:p>
      <w:pPr>
        <w:spacing w:after="120" w:line="300"/>
        <w:jc w:val="both"/>
      </w:pPr>
      <w:r>
        <w:rPr>
          <w:rFonts w:ascii="Times New Roman" w:cs="Times New Roman" w:eastAsia="Times New Roman" w:hAnsi="Times New Roman"/>
          <w:b/>
          <w:bCs/>
          <w:sz w:val="22"/>
          <w:szCs w:val="22"/>
        </w:rPr>
        <w:t xml:space="preserve">Encodeur vectoriel de référence</w:t>
      </w:r>
      <w:r>
        <w:rPr>
          <w:rFonts w:ascii="Times New Roman" w:cs="Times New Roman" w:eastAsia="Times New Roman" w:hAnsi="Times New Roman"/>
          <w:sz w:val="22"/>
          <w:szCs w:val="22"/>
        </w:rPr>
        <w:t xml:space="preserve"> : sentence-transformers/paraphrase-multilingual-MiniLM-L12-v2 (multilingue, 384 dimensions, exécuté localement via fastembed/ONNX ou sentence-transformers).</w:t>
      </w:r>
    </w:p>
    <w:p>
      <w:pPr>
        <w:spacing w:after="120" w:line="300"/>
        <w:jc w:val="both"/>
      </w:pPr>
      <w:r>
        <w:rPr>
          <w:rFonts w:ascii="Times New Roman" w:cs="Times New Roman" w:eastAsia="Times New Roman" w:hAnsi="Times New Roman"/>
          <w:b/>
          <w:bCs/>
          <w:sz w:val="22"/>
          <w:szCs w:val="22"/>
        </w:rPr>
        <w:t xml:space="preserve">Réordonnanceur de référence</w:t>
      </w:r>
      <w:r>
        <w:rPr>
          <w:rFonts w:ascii="Times New Roman" w:cs="Times New Roman" w:eastAsia="Times New Roman" w:hAnsi="Times New Roman"/>
          <w:sz w:val="22"/>
          <w:szCs w:val="22"/>
        </w:rPr>
        <w:t xml:space="preserve"> : cross-encodeur cross-encoder/ms-marco-MiniLM-L-6-v2.</w:t>
      </w:r>
    </w:p>
    <w:p>
      <w:pPr>
        <w:spacing w:after="120" w:line="300"/>
        <w:jc w:val="both"/>
      </w:pPr>
      <w:r>
        <w:rPr>
          <w:rFonts w:ascii="Times New Roman" w:cs="Times New Roman" w:eastAsia="Times New Roman" w:hAnsi="Times New Roman"/>
          <w:b/>
          <w:bCs/>
          <w:sz w:val="22"/>
          <w:szCs w:val="22"/>
        </w:rPr>
        <w:t xml:space="preserve">Substitut vectoriel hors-ligne</w:t>
      </w:r>
      <w:r>
        <w:rPr>
          <w:rFonts w:ascii="Times New Roman" w:cs="Times New Roman" w:eastAsia="Times New Roman" w:hAnsi="Times New Roman"/>
          <w:sz w:val="22"/>
          <w:szCs w:val="22"/>
        </w:rPr>
        <w:t xml:space="preserve"> : TF-IDF (mots en 1 à 2 grammes, mots-vides français) réduit par décomposition en valeurs singulières tronquée (analyse sémantique latente), 384 composantes demandées (210 effectives sur ce corpus, bornées par le nombre d'échantillons), vecteurs L2-normalisés.</w:t>
      </w:r>
    </w:p>
    <w:p>
      <w:pPr>
        <w:spacing w:after="120" w:line="300"/>
        <w:jc w:val="both"/>
      </w:pPr>
      <w:r>
        <w:rPr>
          <w:rFonts w:ascii="Times New Roman" w:cs="Times New Roman" w:eastAsia="Times New Roman" w:hAnsi="Times New Roman"/>
          <w:b/>
          <w:bCs/>
          <w:sz w:val="22"/>
          <w:szCs w:val="22"/>
        </w:rPr>
        <w:t xml:space="preserve">Traits du réordonnanceur hors-ligne</w:t>
      </w:r>
      <w:r>
        <w:rPr>
          <w:rFonts w:ascii="Times New Roman" w:cs="Times New Roman" w:eastAsia="Times New Roman" w:hAnsi="Times New Roman"/>
          <w:sz w:val="22"/>
          <w:szCs w:val="22"/>
        </w:rPr>
        <w:t xml:space="preserve"> (score combiné) :</w:t>
      </w:r>
    </w:p>
    <w:p>
      <w:pPr>
        <w:pStyle w:val="ListParagraph"/>
        <w:numPr>
          <w:ilvl w:val="0"/>
          <w:numId w:val="1"/>
        </w:numPr>
        <w:spacing w:after="60"/>
      </w:pPr>
      <w:r>
        <w:rPr>
          <w:rFonts w:ascii="Times New Roman" w:cs="Times New Roman" w:eastAsia="Times New Roman" w:hAnsi="Times New Roman"/>
          <w:sz w:val="22"/>
          <w:szCs w:val="22"/>
        </w:rPr>
        <w:t xml:space="preserve">couverture des termes de la requête, pondérée par la fréquence inverse de document (IDF) ;</w:t>
      </w:r>
    </w:p>
    <w:p>
      <w:pPr>
        <w:pStyle w:val="ListParagraph"/>
        <w:numPr>
          <w:ilvl w:val="0"/>
          <w:numId w:val="1"/>
        </w:numPr>
        <w:spacing w:after="60"/>
      </w:pPr>
      <w:r>
        <w:rPr>
          <w:rFonts w:ascii="Times New Roman" w:cs="Times New Roman" w:eastAsia="Times New Roman" w:hAnsi="Times New Roman"/>
          <w:sz w:val="22"/>
          <w:szCs w:val="22"/>
        </w:rPr>
        <w:t xml:space="preserve">bonus de correspondance de bigrammes exacts (phrase) ;</w:t>
      </w:r>
    </w:p>
    <w:p>
      <w:pPr>
        <w:pStyle w:val="ListParagraph"/>
        <w:numPr>
          <w:ilvl w:val="0"/>
          <w:numId w:val="1"/>
        </w:numPr>
        <w:spacing w:after="60"/>
      </w:pPr>
      <w:r>
        <w:rPr>
          <w:rFonts w:ascii="Times New Roman" w:cs="Times New Roman" w:eastAsia="Times New Roman" w:hAnsi="Times New Roman"/>
          <w:sz w:val="22"/>
          <w:szCs w:val="22"/>
        </w:rPr>
        <w:t xml:space="preserve">bonus de concordance des nombres de la requête présents dans le passage ;</w:t>
      </w:r>
    </w:p>
    <w:p>
      <w:pPr>
        <w:pStyle w:val="ListParagraph"/>
        <w:numPr>
          <w:ilvl w:val="0"/>
          <w:numId w:val="1"/>
        </w:numPr>
        <w:spacing w:after="60"/>
      </w:pPr>
      <w:r>
        <w:rPr>
          <w:rFonts w:ascii="Times New Roman" w:cs="Times New Roman" w:eastAsia="Times New Roman" w:hAnsi="Times New Roman"/>
          <w:sz w:val="22"/>
          <w:szCs w:val="22"/>
        </w:rPr>
        <w:t xml:space="preserve">bonus si l'intitulé de section du passage figure dans la requête ;</w:t>
      </w:r>
    </w:p>
    <w:p>
      <w:pPr>
        <w:pStyle w:val="ListParagraph"/>
        <w:numPr>
          <w:ilvl w:val="0"/>
          <w:numId w:val="1"/>
        </w:numPr>
        <w:spacing w:after="60"/>
      </w:pPr>
      <w:r>
        <w:rPr>
          <w:rFonts w:ascii="Times New Roman" w:cs="Times New Roman" w:eastAsia="Times New Roman" w:hAnsi="Times New Roman"/>
          <w:sz w:val="22"/>
          <w:szCs w:val="22"/>
        </w:rPr>
        <w:t xml:space="preserve">léger bonus aux passages tabulaires pour une requête chiffrée.</w:t>
      </w:r>
    </w:p>
    <w:p>
      <w:pPr>
        <w:spacing w:after="120" w:line="300"/>
        <w:jc w:val="both"/>
      </w:pPr>
      <w:r>
        <w:rPr>
          <w:rFonts w:ascii="Times New Roman" w:cs="Times New Roman" w:eastAsia="Times New Roman" w:hAnsi="Times New Roman"/>
          <w:sz w:val="22"/>
          <w:szCs w:val="22"/>
        </w:rPr>
        <w:t xml:space="preserve">Le score final mélange ce score et le prior de fusion (poids 0,5), puis le pondère par l'indice d'informativité du passage (0,55 + 0,45 × informativité).</w:t>
      </w:r>
    </w:p>
    <w:p>
      <w:pPr>
        <w:pStyle w:val="Heading2"/>
        <w:spacing w:after="100" w:before="220"/>
      </w:pPr>
      <w:r>
        <w:rPr>
          <w:rFonts w:ascii="Times New Roman" w:cs="Times New Roman" w:eastAsia="Times New Roman" w:hAnsi="Times New Roman"/>
          <w:b/>
          <w:bCs/>
          <w:color w:val="0B7A3B"/>
          <w:sz w:val="26"/>
          <w:szCs w:val="26"/>
        </w:rPr>
        <w:t xml:space="preserve">2.5. Composition du corpus de démonstration (211 passages)</w:t>
      </w:r>
    </w:p>
    <w:p>
      <w:pPr>
        <w:spacing w:after="40" w:before="120"/>
        <w:jc w:val="center"/>
      </w:pPr>
      <w:r>
        <w:rPr>
          <w:rFonts w:ascii="Times New Roman" w:cs="Times New Roman" w:eastAsia="Times New Roman" w:hAnsi="Times New Roman"/>
          <w:b/>
          <w:bCs/>
          <w:i/>
          <w:iCs/>
          <w:color w:val="0B7A3B"/>
          <w:sz w:val="21"/>
          <w:szCs w:val="21"/>
        </w:rPr>
        <w:t xml:space="preserve">Tableau 6 : Ventilation des passages par document et par nature</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1100"/>
        <w:gridCol w:w="1200"/>
        <w:gridCol w:w="1100"/>
        <w:gridCol w:w="1400"/>
      </w:tblGrid>
      <w:tr>
        <w:trPr>
          <w:tblHeader/>
        </w:trPr>
        <w:tc>
          <w:tcPr>
            <w:tcW w:type="dxa" w:w="42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Document</w:t>
            </w:r>
          </w:p>
        </w:tc>
        <w:tc>
          <w:tcPr>
            <w:tcW w:type="dxa" w:w="11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Texte</w:t>
            </w:r>
          </w:p>
        </w:tc>
        <w:tc>
          <w:tcPr>
            <w:tcW w:type="dxa" w:w="12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Tableau</w:t>
            </w:r>
          </w:p>
        </w:tc>
        <w:tc>
          <w:tcPr>
            <w:tcW w:type="dxa" w:w="11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Total</w:t>
            </w:r>
          </w:p>
        </w:tc>
        <w:tc>
          <w:tcPr>
            <w:tcW w:type="dxa" w:w="14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Statut</w:t>
            </w:r>
          </w:p>
        </w:tc>
      </w:tr>
      <w:tr>
        <w:tc>
          <w:tcPr>
            <w:tcW w:type="dxa" w:w="4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Annuaire statistique (exercice 2023, 13e éd.)</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83</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publié</w:t>
            </w:r>
          </w:p>
        </w:tc>
      </w:tr>
      <w:tr>
        <w:tc>
          <w:tcPr>
            <w:tcW w:type="dxa" w:w="4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Note de conjoncture — T2 2024</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publié</w:t>
            </w:r>
          </w:p>
        </w:tc>
      </w:tr>
      <w:tr>
        <w:tc>
          <w:tcPr>
            <w:tcW w:type="dxa" w:w="4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Note de conjoncture — T3 2024</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publié</w:t>
            </w:r>
          </w:p>
        </w:tc>
      </w:tr>
      <w:tr>
        <w:tc>
          <w:tcPr>
            <w:tcW w:type="dxa" w:w="4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Note de conjoncture — T1 2025</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interne</w:t>
            </w:r>
          </w:p>
        </w:tc>
      </w:tr>
      <w:tr>
        <w:tc>
          <w:tcPr>
            <w:tcW w:type="dxa" w:w="42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TOTAL</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139</w:t>
            </w:r>
          </w:p>
        </w:tc>
        <w:tc>
          <w:tcPr>
            <w:tcW w:type="dxa" w:w="12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211</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r>
    </w:tbl>
    <w:p>
      <w:pPr>
        <w:spacing w:after="120" w:line="300"/>
        <w:jc w:val="both"/>
      </w:pPr>
      <w:r>
        <w:rPr>
          <w:rFonts w:ascii="Times New Roman" w:cs="Times New Roman" w:eastAsia="Times New Roman" w:hAnsi="Times New Roman"/>
          <w:sz w:val="22"/>
          <w:szCs w:val="22"/>
        </w:rPr>
        <w:t xml:space="preserve">Détection tabulaire (PyMuPDF) : </w:t>
      </w:r>
      <w:r>
        <w:rPr>
          <w:rFonts w:ascii="Times New Roman" w:cs="Times New Roman" w:eastAsia="Times New Roman" w:hAnsi="Times New Roman"/>
          <w:b/>
          <w:bCs/>
          <w:sz w:val="22"/>
          <w:szCs w:val="22"/>
        </w:rPr>
        <w:t xml:space="preserve">204 tableaux</w:t>
      </w:r>
      <w:r>
        <w:rPr>
          <w:rFonts w:ascii="Times New Roman" w:cs="Times New Roman" w:eastAsia="Times New Roman" w:hAnsi="Times New Roman"/>
          <w:sz w:val="22"/>
          <w:szCs w:val="22"/>
        </w:rPr>
        <w:t xml:space="preserve"> répartis sur </w:t>
      </w:r>
      <w:r>
        <w:rPr>
          <w:rFonts w:ascii="Times New Roman" w:cs="Times New Roman" w:eastAsia="Times New Roman" w:hAnsi="Times New Roman"/>
          <w:b/>
          <w:bCs/>
          <w:sz w:val="22"/>
          <w:szCs w:val="22"/>
        </w:rPr>
        <w:t xml:space="preserve">84 pages, soit 61 % des 137 pages</w:t>
      </w:r>
      <w:r>
        <w:rPr>
          <w:rFonts w:ascii="Times New Roman" w:cs="Times New Roman" w:eastAsia="Times New Roman" w:hAnsi="Times New Roman"/>
          <w:sz w:val="22"/>
          <w:szCs w:val="22"/>
        </w:rPr>
        <w:t xml:space="preserve"> du corpus, dont 180 pour le seul Annuaire.</w:t>
      </w:r>
    </w:p>
    <w:p>
      <w:pPr>
        <w:pStyle w:val="Heading2"/>
        <w:spacing w:after="100" w:before="220"/>
      </w:pPr>
      <w:r>
        <w:rPr>
          <w:rFonts w:ascii="Times New Roman" w:cs="Times New Roman" w:eastAsia="Times New Roman" w:hAnsi="Times New Roman"/>
          <w:b/>
          <w:bCs/>
          <w:color w:val="0B7A3B"/>
          <w:sz w:val="26"/>
          <w:szCs w:val="26"/>
        </w:rPr>
        <w:t xml:space="preserve">2.6. Cohérence d'édition de l'Annuaire</w:t>
      </w:r>
    </w:p>
    <w:p>
      <w:pPr>
        <w:spacing w:after="120" w:line="300"/>
        <w:jc w:val="both"/>
      </w:pPr>
      <w:r>
        <w:rPr>
          <w:rFonts w:ascii="Times New Roman" w:cs="Times New Roman" w:eastAsia="Times New Roman" w:hAnsi="Times New Roman"/>
          <w:sz w:val="22"/>
          <w:szCs w:val="22"/>
        </w:rPr>
        <w:t xml:space="preserve">Le document du corpus est ambigu à la source : sa couverture porte « ANNUAIRE STATISTIQUE 2022 », mais ses en-têtes portent « ANNUAIRE STATISTIQUE 2023 » et il se présente comme la 13e édition (DEPP, publiée en juin 2024). Les chiffres 393 954 entreprises et 393 166 PME correspondent au stock estimé au titre de l'exercice 2023. La couverture de la 14e édition (2024, mai 2025) est une édition différente et plus récente, absente du corpus. Recommandation : dans le chapitre 4, désigner le document comme « Annuaire statistique, 13e édition (exercice 2023), publiée en 2024 » et rapporter les deux chiffres à 2023 ; l'introduction peut conserver la 14e édition comme la publication que l'outil vise à appuyer, en la distinguant de l'édition du corpus.</w:t>
      </w:r>
    </w:p>
    <w:p>
      <w:r>
        <w:br w:type="page"/>
      </w:r>
    </w:p>
    <w:p>
      <w:pPr>
        <w:pStyle w:val="Heading1"/>
        <w:spacing w:after="140" w:before="300"/>
      </w:pPr>
      <w:r>
        <w:rPr>
          <w:rFonts w:ascii="Times New Roman" w:cs="Times New Roman" w:eastAsia="Times New Roman" w:hAnsi="Times New Roman"/>
          <w:b/>
          <w:bCs/>
          <w:color w:val="1F3864"/>
          <w:sz w:val="30"/>
          <w:szCs w:val="30"/>
        </w:rPr>
        <w:t xml:space="preserve">3. Section 3.7.3 — Difficultés rencontrées et solutions (texte prêt à intégrer)</w:t>
      </w:r>
    </w:p>
    <w:p>
      <w:pPr>
        <w:spacing w:after="120" w:line="300"/>
        <w:jc w:val="both"/>
      </w:pPr>
      <w:r>
        <w:rPr>
          <w:rFonts w:ascii="Times New Roman" w:cs="Times New Roman" w:eastAsia="Times New Roman" w:hAnsi="Times New Roman"/>
          <w:sz w:val="22"/>
          <w:szCs w:val="22"/>
        </w:rPr>
        <w:t xml:space="preserve">La mise au point du prototype a fait surgir plusieurs difficultés concrètes, dont la résolution constitue une part appréciable du travail réalisé. Aux trois premières, exposées au chapitre 4 (formulaires d'annexe vides, mise en page à deux colonnes, absence de seuil d'abstention), s'ajoutent les suivantes.</w:t>
      </w:r>
    </w:p>
    <w:p>
      <w:pPr>
        <w:pStyle w:val="Heading3"/>
        <w:spacing w:after="80" w:before="160"/>
      </w:pPr>
      <w:r>
        <w:rPr>
          <w:rFonts w:ascii="Times New Roman" w:cs="Times New Roman" w:eastAsia="Times New Roman" w:hAnsi="Times New Roman"/>
          <w:b/>
          <w:bCs/>
          <w:color w:val="0B7A3B"/>
          <w:sz w:val="23"/>
          <w:szCs w:val="23"/>
        </w:rPr>
        <w:t xml:space="preserve">Sommaires et listes de tableaux</w:t>
      </w:r>
    </w:p>
    <w:p>
      <w:pPr>
        <w:spacing w:after="120" w:line="300"/>
        <w:jc w:val="both"/>
      </w:pPr>
      <w:r>
        <w:rPr>
          <w:rFonts w:ascii="Times New Roman" w:cs="Times New Roman" w:eastAsia="Times New Roman" w:hAnsi="Times New Roman"/>
          <w:sz w:val="22"/>
          <w:szCs w:val="22"/>
        </w:rPr>
        <w:t xml:space="preserve">Les pages de sommaire et de « liste des tableaux » remontaient en tête des résultats par simple correspondance de mots-clés. Elles ont été détectées et écartées de l'index, et les points de conduite (« …… ») nettoyés à l'ingestion.</w:t>
      </w:r>
    </w:p>
    <w:p>
      <w:pPr>
        <w:pStyle w:val="Heading3"/>
        <w:spacing w:after="80" w:before="160"/>
      </w:pPr>
      <w:r>
        <w:rPr>
          <w:rFonts w:ascii="Times New Roman" w:cs="Times New Roman" w:eastAsia="Times New Roman" w:hAnsi="Times New Roman"/>
          <w:b/>
          <w:bCs/>
          <w:color w:val="0B7A3B"/>
          <w:sz w:val="23"/>
          <w:szCs w:val="23"/>
        </w:rPr>
        <w:t xml:space="preserve">En-têtes et pieds de page répétés</w:t>
      </w:r>
    </w:p>
    <w:p>
      <w:pPr>
        <w:spacing w:after="120" w:line="300"/>
        <w:jc w:val="both"/>
      </w:pPr>
      <w:r>
        <w:rPr>
          <w:rFonts w:ascii="Times New Roman" w:cs="Times New Roman" w:eastAsia="Times New Roman" w:hAnsi="Times New Roman"/>
          <w:sz w:val="22"/>
          <w:szCs w:val="22"/>
        </w:rPr>
        <w:t xml:space="preserve">Le titre courant et le numéro de page, présents sur chaque page, créaient des passages redondants ; ils sont détectés par leur récurrence et supprimés.</w:t>
      </w:r>
    </w:p>
    <w:p>
      <w:pPr>
        <w:pStyle w:val="Heading3"/>
        <w:spacing w:after="80" w:before="160"/>
      </w:pPr>
      <w:r>
        <w:rPr>
          <w:rFonts w:ascii="Times New Roman" w:cs="Times New Roman" w:eastAsia="Times New Roman" w:hAnsi="Times New Roman"/>
          <w:b/>
          <w:bCs/>
          <w:color w:val="0B7A3B"/>
          <w:sz w:val="23"/>
          <w:szCs w:val="23"/>
        </w:rPr>
        <w:t xml:space="preserve">Étiquettes de graphiques</w:t>
      </w:r>
    </w:p>
    <w:p>
      <w:pPr>
        <w:spacing w:after="120" w:line="300"/>
        <w:jc w:val="both"/>
      </w:pPr>
      <w:r>
        <w:rPr>
          <w:rFonts w:ascii="Times New Roman" w:cs="Times New Roman" w:eastAsia="Times New Roman" w:hAnsi="Times New Roman"/>
          <w:sz w:val="22"/>
          <w:szCs w:val="22"/>
        </w:rPr>
        <w:t xml:space="preserve">Dans les pages à deux colonnes, les étiquettes numériques des graphiques s'entrelaçaient avec la prose ; l'extraction sensible aux colonnes, qui lit chaque colonne dans l'ordre, a rétabli la continuité.</w:t>
      </w:r>
    </w:p>
    <w:p>
      <w:pPr>
        <w:pStyle w:val="Heading3"/>
        <w:spacing w:after="80" w:before="160"/>
      </w:pPr>
      <w:r>
        <w:rPr>
          <w:rFonts w:ascii="Times New Roman" w:cs="Times New Roman" w:eastAsia="Times New Roman" w:hAnsi="Times New Roman"/>
          <w:b/>
          <w:bCs/>
          <w:color w:val="0B7A3B"/>
          <w:sz w:val="23"/>
          <w:szCs w:val="23"/>
        </w:rPr>
        <w:t xml:space="preserve">Réordonnanceur initialement contre-productif</w:t>
      </w:r>
    </w:p>
    <w:p>
      <w:pPr>
        <w:spacing w:after="120" w:line="300"/>
        <w:jc w:val="both"/>
      </w:pPr>
      <w:r>
        <w:rPr>
          <w:rFonts w:ascii="Times New Roman" w:cs="Times New Roman" w:eastAsia="Times New Roman" w:hAnsi="Times New Roman"/>
          <w:sz w:val="22"/>
          <w:szCs w:val="22"/>
        </w:rPr>
        <w:t xml:space="preserve">Un réordonnancement remplaçant purement le premier étage dégradait le classement ; un mélange de type learning-to-rank entre le score de reranking et le prior de fusion, complété d'un prior d'informativité, a rendu l'étape bénéfique sur la précision du sommet de liste.</w:t>
      </w:r>
    </w:p>
    <w:p>
      <w:pPr>
        <w:pStyle w:val="Heading3"/>
        <w:spacing w:after="80" w:before="160"/>
      </w:pPr>
      <w:r>
        <w:rPr>
          <w:rFonts w:ascii="Times New Roman" w:cs="Times New Roman" w:eastAsia="Times New Roman" w:hAnsi="Times New Roman"/>
          <w:b/>
          <w:bCs/>
          <w:color w:val="0B7A3B"/>
          <w:sz w:val="23"/>
          <w:szCs w:val="23"/>
        </w:rPr>
        <w:t xml:space="preserve">Correction d'une métrique</w:t>
      </w:r>
    </w:p>
    <w:p>
      <w:pPr>
        <w:spacing w:after="120" w:line="300"/>
        <w:jc w:val="both"/>
      </w:pPr>
      <w:r>
        <w:rPr>
          <w:rFonts w:ascii="Times New Roman" w:cs="Times New Roman" w:eastAsia="Times New Roman" w:hAnsi="Times New Roman"/>
          <w:sz w:val="22"/>
          <w:szCs w:val="22"/>
        </w:rPr>
        <w:t xml:space="preserve">Le gain cumulé actualisé et le rappel dépassaient l'unité, la pertinence étant annotée au niveau (document, page) alors que l'unité récupérée est le passage ; le dénominateur a été corrigé pour compter les passages pertinents effectivement présents dans l'index.</w:t>
      </w:r>
    </w:p>
    <w:p>
      <w:pPr>
        <w:pStyle w:val="Heading3"/>
        <w:spacing w:after="80" w:before="160"/>
      </w:pPr>
      <w:r>
        <w:rPr>
          <w:rFonts w:ascii="Times New Roman" w:cs="Times New Roman" w:eastAsia="Times New Roman" w:hAnsi="Times New Roman"/>
          <w:b/>
          <w:bCs/>
          <w:color w:val="0B7A3B"/>
          <w:sz w:val="23"/>
          <w:szCs w:val="23"/>
        </w:rPr>
        <w:t xml:space="preserve">Détection numérique fine</w:t>
      </w:r>
    </w:p>
    <w:p>
      <w:pPr>
        <w:spacing w:after="120" w:line="300"/>
        <w:jc w:val="both"/>
      </w:pPr>
      <w:r>
        <w:rPr>
          <w:rFonts w:ascii="Times New Roman" w:cs="Times New Roman" w:eastAsia="Times New Roman" w:hAnsi="Times New Roman"/>
          <w:sz w:val="22"/>
          <w:szCs w:val="22"/>
        </w:rPr>
        <w:t xml:space="preserve">Les pourcentages et décimales n'étaient pas reconnus comme de vraies statistiques, ce qui rétrogradait injustement la prose de conjoncture ; la détection retient désormais les décimales et les grands entiers, en excluant les millésimes isolés.</w:t>
      </w:r>
    </w:p>
    <w:p>
      <w:pPr>
        <w:pStyle w:val="Heading3"/>
        <w:spacing w:after="80" w:before="160"/>
      </w:pPr>
      <w:r>
        <w:rPr>
          <w:rFonts w:ascii="Times New Roman" w:cs="Times New Roman" w:eastAsia="Times New Roman" w:hAnsi="Times New Roman"/>
          <w:b/>
          <w:bCs/>
          <w:color w:val="0B7A3B"/>
          <w:sz w:val="23"/>
          <w:szCs w:val="23"/>
        </w:rPr>
        <w:t xml:space="preserve">Restitution des chiffres-clés</w:t>
      </w:r>
    </w:p>
    <w:p>
      <w:pPr>
        <w:spacing w:after="120" w:line="300"/>
        <w:jc w:val="both"/>
      </w:pPr>
      <w:r>
        <w:rPr>
          <w:rFonts w:ascii="Times New Roman" w:cs="Times New Roman" w:eastAsia="Times New Roman" w:hAnsi="Times New Roman"/>
          <w:sz w:val="22"/>
          <w:szCs w:val="22"/>
        </w:rPr>
        <w:t xml:space="preserve">La liste des données chiffrées de la collecte déversait tous les nombres d'une phrase ; un extracteur ne conserve que les statistiques exploitables (pourcentages, effectifs).</w:t>
      </w:r>
    </w:p>
    <w:p>
      <w:pPr>
        <w:pStyle w:val="Heading3"/>
        <w:spacing w:after="80" w:before="160"/>
      </w:pPr>
      <w:r>
        <w:rPr>
          <w:rFonts w:ascii="Times New Roman" w:cs="Times New Roman" w:eastAsia="Times New Roman" w:hAnsi="Times New Roman"/>
          <w:b/>
          <w:bCs/>
          <w:color w:val="0B7A3B"/>
          <w:sz w:val="23"/>
          <w:szCs w:val="23"/>
        </w:rPr>
        <w:t xml:space="preserve">Indisponibilité des modèles pré-entraînés</w:t>
      </w:r>
    </w:p>
    <w:p>
      <w:pPr>
        <w:spacing w:after="120" w:line="300"/>
        <w:jc w:val="both"/>
      </w:pPr>
      <w:r>
        <w:rPr>
          <w:rFonts w:ascii="Times New Roman" w:cs="Times New Roman" w:eastAsia="Times New Roman" w:hAnsi="Times New Roman"/>
          <w:sz w:val="22"/>
          <w:szCs w:val="22"/>
        </w:rPr>
        <w:t xml:space="preserve">L'accès réseau aux modèles n'étant pas garanti sur un poste isolé, les composants d'encodage et de réordonnancement ont été rendus enfichables, avec bascule automatique sur des substituts hors-ligne.</w:t>
      </w:r>
    </w:p>
    <w:p>
      <w:pPr>
        <w:pStyle w:val="Heading3"/>
        <w:spacing w:after="80" w:before="160"/>
      </w:pPr>
      <w:r>
        <w:rPr>
          <w:rFonts w:ascii="Times New Roman" w:cs="Times New Roman" w:eastAsia="Times New Roman" w:hAnsi="Times New Roman"/>
          <w:b/>
          <w:bCs/>
          <w:color w:val="0B7A3B"/>
          <w:sz w:val="23"/>
          <w:szCs w:val="23"/>
        </w:rPr>
        <w:t xml:space="preserve">Lancement de l'application</w:t>
      </w:r>
    </w:p>
    <w:p>
      <w:pPr>
        <w:spacing w:after="120" w:line="300"/>
        <w:jc w:val="both"/>
      </w:pPr>
      <w:r>
        <w:rPr>
          <w:rFonts w:ascii="Times New Roman" w:cs="Times New Roman" w:eastAsia="Times New Roman" w:hAnsi="Times New Roman"/>
          <w:sz w:val="22"/>
          <w:szCs w:val="22"/>
        </w:rPr>
        <w:t xml:space="preserve">Le paquet n'était pas trouvé lors de l'exécution isolée du script d'interface ; un amorçage du chemin d'import et un lanceur unique (demarrer.bat) ont fiabilisé le démarrage.</w:t>
      </w:r>
    </w:p>
    <w:p>
      <w:r>
        <w:br w:type="page"/>
      </w:r>
    </w:p>
    <w:p>
      <w:pPr>
        <w:pStyle w:val="Heading1"/>
        <w:spacing w:after="140" w:before="300"/>
      </w:pPr>
      <w:r>
        <w:rPr>
          <w:rFonts w:ascii="Times New Roman" w:cs="Times New Roman" w:eastAsia="Times New Roman" w:hAnsi="Times New Roman"/>
          <w:b/>
          <w:bCs/>
          <w:color w:val="1F3864"/>
          <w:sz w:val="30"/>
          <w:szCs w:val="30"/>
        </w:rPr>
        <w:t xml:space="preserve">4. Check-list des informations de terrain à recueillir</w:t>
      </w:r>
    </w:p>
    <w:p>
      <w:pPr>
        <w:spacing w:after="120" w:line="300"/>
        <w:jc w:val="both"/>
      </w:pPr>
      <w:r>
        <w:rPr>
          <w:rFonts w:ascii="Times New Roman" w:cs="Times New Roman" w:eastAsia="Times New Roman" w:hAnsi="Times New Roman"/>
          <w:sz w:val="22"/>
          <w:szCs w:val="22"/>
        </w:rPr>
        <w:t xml:space="preserve">Ces éléments ne dépendent pas de l'outil : ils relèvent du stage au MINPMEESA et ne peuvent être renseignés que sur place. Ils sont classés par ordre d'importance pour le mémoire.</w:t>
      </w:r>
    </w:p>
    <w:p>
      <w:pPr>
        <w:spacing w:after="40" w:before="120"/>
        <w:jc w:val="center"/>
      </w:pPr>
      <w:r>
        <w:rPr>
          <w:rFonts w:ascii="Times New Roman" w:cs="Times New Roman" w:eastAsia="Times New Roman" w:hAnsi="Times New Roman"/>
          <w:b/>
          <w:bCs/>
          <w:i/>
          <w:iCs/>
          <w:color w:val="0B7A3B"/>
          <w:sz w:val="21"/>
          <w:szCs w:val="21"/>
        </w:rPr>
        <w:t xml:space="preserve">Tableau 7 : Informations de terrain — où, quoi, à qui</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1700"/>
        <w:gridCol w:w="3900"/>
        <w:gridCol w:w="1700"/>
      </w:tblGrid>
      <w:tr>
        <w:trPr>
          <w:tblHeader/>
        </w:trPr>
        <w:tc>
          <w:tcPr>
            <w:tcW w:type="dxa" w:w="17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Bloc</w:t>
            </w:r>
          </w:p>
        </w:tc>
        <w:tc>
          <w:tcPr>
            <w:tcW w:type="dxa" w:w="17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Où (mémoire)</w:t>
            </w:r>
          </w:p>
        </w:tc>
        <w:tc>
          <w:tcPr>
            <w:tcW w:type="dxa" w:w="39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Quoi recueillir</w:t>
            </w:r>
          </w:p>
        </w:tc>
        <w:tc>
          <w:tcPr>
            <w:tcW w:type="dxa" w:w="1700"/>
            <w:shd w:fill="D9E2F3"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Auprès de qui</w:t>
            </w:r>
          </w:p>
        </w:tc>
      </w:tr>
      <w:tr>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 Questions des agents</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§2.6.2 (jeu de test)</w:t>
            </w:r>
          </w:p>
        </w:tc>
        <w:tc>
          <w:tcPr>
            <w:tcW w:type="dxa" w:w="3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20 à 30 questions réellement posées, notées au fil des entretiens — conditionne tout le chapitre 4</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Agents producteurs</w:t>
            </w:r>
          </w:p>
        </w:tc>
      </w:tr>
      <w:tr>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 Inventaire du patrimoine</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Tableau 2.1 / 2.2</w:t>
            </w:r>
          </w:p>
        </w:tc>
        <w:tc>
          <w:tcPr>
            <w:tcW w:type="dxa" w:w="3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Par type de document : nombre, période, format natif, structure émettrice</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DEPP / structures</w:t>
            </w:r>
          </w:p>
        </w:tc>
      </w:tr>
      <w:tr>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 Quantification des difficultés</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§2.4 / problématique</w:t>
            </w:r>
          </w:p>
        </w:tc>
        <w:tc>
          <w:tcPr>
            <w:tcW w:type="dxa" w:w="3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Estimation, même déclarative, du temps de recherche documentaire rapporté au temps total de production</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Agents producteurs</w:t>
            </w:r>
          </w:p>
        </w:tc>
      </w:tr>
      <w:tr>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 Organigramme</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§2.1.1</w:t>
            </w:r>
          </w:p>
        </w:tc>
        <w:tc>
          <w:tcPr>
            <w:tcW w:type="dxa" w:w="3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Dénomination exacte de la structure, rattachement, effectif de l'équipe de production</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 DEPP</w:t>
            </w:r>
          </w:p>
        </w:tc>
      </w:tr>
      <w:tr>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 Programmes et RAP</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§2.3</w:t>
            </w:r>
          </w:p>
        </w:tc>
        <w:tc>
          <w:tcPr>
            <w:tcW w:type="dxa" w:w="3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Nombre et intitulés des programmes, nombre d'indicateurs, calendrier réglementaire du RAP</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Cellule de suivi</w:t>
            </w:r>
          </w:p>
        </w:tc>
      </w:tr>
      <w:tr>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6. Enchaînements de production</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§2.2 et §2.3</w:t>
            </w:r>
          </w:p>
        </w:tc>
        <w:tc>
          <w:tcPr>
            <w:tcW w:type="dxa" w:w="3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Validation des deux processus et durées observées de chaque étape</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Équipe de production</w:t>
            </w:r>
          </w:p>
        </w:tc>
      </w:tr>
      <w:tr>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7. Références réglementaires</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Introduction, §2.1</w:t>
            </w:r>
          </w:p>
        </w:tc>
        <w:tc>
          <w:tcPr>
            <w:tcW w:type="dxa" w:w="39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Décret d'organisation du MINPMEESA, textes du Nouveau régime financier, SNDS — avec numéros et dates</w:t>
            </w:r>
          </w:p>
        </w:tc>
        <w:tc>
          <w:tcPr>
            <w:tcW w:type="dxa" w:w="17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Service juridique</w:t>
            </w:r>
          </w:p>
        </w:tc>
      </w:tr>
    </w:tbl>
    <w:p>
      <w:pPr>
        <w:spacing w:after="120" w:line="300"/>
        <w:jc w:val="both"/>
      </w:pPr>
      <w:r>
        <w:rPr>
          <w:rFonts w:ascii="Times New Roman" w:cs="Times New Roman" w:eastAsia="Times New Roman" w:hAnsi="Times New Roman"/>
          <w:i/>
          <w:iCs/>
          <w:sz w:val="20"/>
          <w:szCs w:val="20"/>
        </w:rPr>
        <w:t xml:space="preserve">Chaque information recueillie viendra remplacer le repère « À COMPLÉTER » correspondant du mémoire.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2026-09-03T22:15:26.280Z</dcterms:created>
  <dcterms:modified xsi:type="dcterms:W3CDTF">2026-09-03T22:15:26.280Z</dcterms:modified>
</cp:coreProperties>
</file>

<file path=docProps/custom.xml><?xml version="1.0" encoding="utf-8"?>
<Properties xmlns="http://schemas.openxmlformats.org/officeDocument/2006/custom-properties" xmlns:vt="http://schemas.openxmlformats.org/officeDocument/2006/docPropsVTypes"/>
</file>