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A721E" w14:textId="77777777" w:rsidR="009829FE" w:rsidRDefault="009829FE">
      <w:pPr>
        <w:spacing w:before="3000"/>
      </w:pPr>
    </w:p>
    <w:p w14:paraId="4398DDA3" w14:textId="77777777" w:rsidR="009829FE" w:rsidRPr="002E4AAC" w:rsidRDefault="00000000">
      <w:pPr>
        <w:spacing w:after="400"/>
        <w:jc w:val="center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eastAsia="SimHei" w:hAnsi="Times New Roman" w:cs="Times New Roman"/>
          <w:b/>
          <w:bCs/>
          <w:color w:val="020617"/>
          <w:sz w:val="28"/>
          <w:szCs w:val="28"/>
        </w:rPr>
        <w:t xml:space="preserve">Федеративный 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020617"/>
          <w:sz w:val="28"/>
          <w:szCs w:val="28"/>
        </w:rPr>
        <w:t>TinyML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020617"/>
          <w:sz w:val="28"/>
          <w:szCs w:val="28"/>
        </w:rPr>
        <w:t xml:space="preserve"> на MCU</w:t>
      </w:r>
    </w:p>
    <w:p w14:paraId="4647D3E5" w14:textId="77777777" w:rsidR="009829FE" w:rsidRPr="002E4AAC" w:rsidRDefault="009829FE">
      <w:pPr>
        <w:rPr>
          <w:rFonts w:ascii="Times New Roman" w:hAnsi="Times New Roman" w:cs="Times New Roman"/>
          <w:sz w:val="28"/>
          <w:szCs w:val="28"/>
        </w:rPr>
        <w:sectPr w:rsidR="009829FE" w:rsidRPr="002E4AA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Times New Roman" w:hAnsi="Times New Roman" w:cs="Times New Roman"/>
          <w:sz w:val="28"/>
          <w:szCs w:val="28"/>
        </w:rPr>
        <w:alias w:val="Оглавление"/>
        <w:id w:val="1060207796"/>
      </w:sdtPr>
      <w:sdtContent>
        <w:p w14:paraId="4C98DABD" w14:textId="77777777" w:rsidR="002E4AAC" w:rsidRPr="002E4AAC" w:rsidRDefault="00000000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E4AA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E4AAC">
            <w:rPr>
              <w:rFonts w:ascii="Times New Roman" w:hAnsi="Times New Roman" w:cs="Times New Roman"/>
              <w:sz w:val="28"/>
              <w:szCs w:val="28"/>
            </w:rPr>
            <w:instrText>TOC \h \o "1-3"</w:instrText>
          </w:r>
          <w:r w:rsidRPr="002E4AA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501382" w:history="1">
            <w:r w:rsidR="002E4AAC"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 Контекст задачи и обоснование горизонта 50–100 мс</w:t>
            </w:r>
            <w:r w:rsidR="002E4AAC"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E4AAC"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2E4AAC"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_Toc225501382 \h </w:instrText>
            </w:r>
            <w:r w:rsidR="002E4AAC"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2E4AAC"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2E4AAC"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2E4AAC"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F0C6C10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83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 Почему горизонт 50–100 мс реалистичен для IMU+EMG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_Toc225501383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A9A6EC4" w14:textId="77777777" w:rsidR="002E4AAC" w:rsidRPr="002E4AAC" w:rsidRDefault="002E4AA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84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 Архитектура Federated TinyML с персонализацией на устройстве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_Toc225501384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1981D95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85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2.1. Базовая идея: общий энкодер + персональная голова регрессии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_Toc225501385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3B3C8CD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86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2.2. Связь с персонализированным FL: FedPer и FedRep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_Toc225501386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32B3AFD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87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2.3. Конкретный «Tiny» вариант, дружественный SRAM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_Toc225501387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C82BF93" w14:textId="77777777" w:rsidR="002E4AAC" w:rsidRPr="002E4AAC" w:rsidRDefault="002E4AA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88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 Почему частичное обновление решает OOM и снижает катастрофическое забывание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_Toc225501388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EFC1EB3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89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3.1. Почему возникает OOM на MCU: память обучения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_Toc225501389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932B0FE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0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3.2. Математическая причина экономии SRAM при замороженном энкодере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_Toc225501390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8BCAC54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1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3.3. Снижение catastrophic forgetting и локального дрейфа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_Toc225501391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92C0B39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2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3.4. Преимущества перед «обновлять всё на лету» на ESP32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_Toc225501392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11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9B77B86" w14:textId="77777777" w:rsidR="002E4AAC" w:rsidRPr="002E4AAC" w:rsidRDefault="002E4AA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3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 Ускорение на ESP32-классе: SIMD/PIE, квантизация и оптимизированные ядра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_Toc225501393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F0A9A38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4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4.1. Оптимизированные ядра для TFLite Micro на ESP32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_Toc225501394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4CB4EAD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5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4.2. SIMD/PIE и выжимание скорости на ESP32-S3/ESP32-P4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_Toc225501395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13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6963843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6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4.3. DSP-предобработка для IMU/EMG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_Toc225501396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BF92E05" w14:textId="77777777" w:rsidR="002E4AAC" w:rsidRPr="002E4AAC" w:rsidRDefault="002E4AA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7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 PoC-стек и пайплайн Python → C/C++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_Toc225501397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1673AD3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8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5.1. Python-уровень: моделирование FL и прототипирование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_Toc225501398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15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04895A8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399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5.2. MCU-уровень: инференс энкодера и обучение головы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_Toc225501399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16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BA2222C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0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5.3. Альтернатива: компиляция через TVM / microTVM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_Toc225501400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17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605F183" w14:textId="77777777" w:rsidR="002E4AAC" w:rsidRPr="002E4AAC" w:rsidRDefault="002E4AA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1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 Идеи для научной статьи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_Toc225501401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17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D0F0E6C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2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6.1. Парциальная персонализация как ограниченная оптимизация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_Toc225501402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18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5A92B49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3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6.2. Проксимальные/регуляризационные методы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_Toc225501403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19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5EE78A4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4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6.3. Компрессия апдейтов и коммуникационно-эффективный FL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_Toc225501404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19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89725C9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5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6.4. Селективное обучение и экстремальная экономия backward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_Toc225501405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20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99173C0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6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6.5. Split-подходы как крайний вариант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_Toc225501406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C125D86" w14:textId="77777777" w:rsidR="002E4AAC" w:rsidRPr="002E4AAC" w:rsidRDefault="002E4AA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7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 Каталог репозиториев, проектов и работ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_Toc225501407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79AB02E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8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7.1. Federated Learning / on-device training на микроконтроллерах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_Toc225501408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21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46587A9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09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7.2. Персонализация: FedPer / FedRep / partial personalization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_Toc225501409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22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6124C03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10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7.3. MCU-инференс/ускорение на ESP32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_Toc225501410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22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6FB0554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11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7.4. Python-фреймворки для симуляции FL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_Toc225501411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23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708331F" w14:textId="77777777" w:rsidR="002E4AAC" w:rsidRPr="002E4AAC" w:rsidRDefault="002E4AAC">
          <w:pPr>
            <w:pStyle w:val="20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12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7.5. IMU/EMG: прогноз суставных углов и короткий горизонт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_Toc225501412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23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09DEA4D" w14:textId="77777777" w:rsidR="002E4AAC" w:rsidRPr="002E4AAC" w:rsidRDefault="002E4AAC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501413" w:history="1">
            <w:r w:rsidRPr="002E4AAC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8. Заключение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_Toc225501413 \h </w:instrTex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t>24</w:t>
            </w:r>
            <w:r w:rsidRPr="002E4AAC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5327519" w14:textId="77777777" w:rsidR="009829FE" w:rsidRPr="002E4AAC" w:rsidRDefault="00000000">
          <w:pPr>
            <w:rPr>
              <w:rFonts w:ascii="Times New Roman" w:hAnsi="Times New Roman" w:cs="Times New Roman"/>
              <w:sz w:val="28"/>
              <w:szCs w:val="28"/>
            </w:rPr>
          </w:pPr>
          <w:r w:rsidRPr="002E4AA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5DD6EE1" w14:textId="77777777" w:rsidR="009829FE" w:rsidRPr="002E4AAC" w:rsidRDefault="00000000">
      <w:pPr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sz w:val="28"/>
          <w:szCs w:val="28"/>
        </w:rPr>
        <w:br w:type="page"/>
      </w:r>
    </w:p>
    <w:p w14:paraId="2AF3A207" w14:textId="77777777" w:rsidR="009829FE" w:rsidRPr="002E4AAC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25501382"/>
      <w:r w:rsidRPr="002E4AAC">
        <w:rPr>
          <w:rFonts w:ascii="Times New Roman" w:hAnsi="Times New Roman" w:cs="Times New Roman"/>
          <w:sz w:val="28"/>
          <w:szCs w:val="28"/>
        </w:rPr>
        <w:lastRenderedPageBreak/>
        <w:t>1. Контекст задачи и обоснование горизонта 50–100 мс</w:t>
      </w:r>
      <w:bookmarkEnd w:id="0"/>
    </w:p>
    <w:p w14:paraId="5F9BBCC9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1" w:name="_Toc225501383"/>
      <w:r w:rsidRPr="002E4AAC">
        <w:rPr>
          <w:rFonts w:ascii="Times New Roman" w:hAnsi="Times New Roman" w:cs="Times New Roman"/>
        </w:rPr>
        <w:t>1.1. Почему горизонт 50–100 мс реалистичен для IMU+EMG</w:t>
      </w:r>
      <w:bookmarkEnd w:id="1"/>
    </w:p>
    <w:p w14:paraId="74A6477A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В сценарии «умного»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телеприсутствующего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костюма ключевой регрессионный выход — будущая траектория (XYZ) либо будущие суставные углы — нужен в очень коротком горизонте (50–100 мс). Это необходимо для двух критически важных задач: во-первых, чтобы передатчик на потолке успевал упреждающе «доворачивать» узкий луч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proactive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beamforming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/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tracking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проактивное формирование и сопровождение луча), и, во-вторых, чтобы цифровой аватар в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метавселенной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выглядел «нулевой задержки» за счёт предиктивного рендеринга.</w:t>
      </w:r>
    </w:p>
    <w:p w14:paraId="2A111912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Для терагерцовых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terahertz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) и миллиметровых волн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mmWave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) систем именно узость лучей и чувствительность к динамике и блокировкам делают задачу управления лучом и трекинга существенно сложнее при движении пользователя и изменении среды. Эти физические ограничения требуют наличия упреждающего прогноза, который может быть обеспечен только сенсорами, способными «заглядывать вперёд» на основе физиологических сигналов.</w:t>
      </w:r>
    </w:p>
    <w:p w14:paraId="6CFB83DB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Сенсорная связка IMU+EMG (инерциальные измерительные блоки + электромиография) для такого горизонта имеет физически осмысленное преимущество. Поверхностная ЭМГ отражает нервно-мышечную активацию и часто появляется раньше фактической кинематики движения. В литературе упоминаются характерные опережения порядка десятков миллисекунд. Это делает EMG особенно полезной ровно в «упреждающем» окне 50–100 мс, где чисто кинематическая экстраполяция уже начинает ошибаться на ускорениях и сменах намерения.</w:t>
      </w:r>
    </w:p>
    <w:p w14:paraId="07FE4ADE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Наличие научных работ, где суставные углы предсказываются на 50/100/150/200 мс вперёд по EMG (иногда вместе с углами и кинематикой), — прямое подтверждение, что выбранный горизонт прогнозирования соответствует устоявшейся постановке в биомеханике 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нейроинженерии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.</w:t>
      </w:r>
    </w:p>
    <w:p w14:paraId="418AE61D" w14:textId="77777777" w:rsidR="009829FE" w:rsidRPr="002E4AAC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225501384"/>
      <w:r w:rsidRPr="002E4AAC">
        <w:rPr>
          <w:rFonts w:ascii="Times New Roman" w:hAnsi="Times New Roman" w:cs="Times New Roman"/>
          <w:sz w:val="28"/>
          <w:szCs w:val="28"/>
        </w:rPr>
        <w:lastRenderedPageBreak/>
        <w:t xml:space="preserve">2. Архитектура </w:t>
      </w:r>
      <w:proofErr w:type="spellStart"/>
      <w:r w:rsidRPr="002E4AAC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2E4A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sz w:val="28"/>
          <w:szCs w:val="28"/>
        </w:rPr>
        <w:t>TinyML</w:t>
      </w:r>
      <w:proofErr w:type="spellEnd"/>
      <w:r w:rsidRPr="002E4AAC">
        <w:rPr>
          <w:rFonts w:ascii="Times New Roman" w:hAnsi="Times New Roman" w:cs="Times New Roman"/>
          <w:sz w:val="28"/>
          <w:szCs w:val="28"/>
        </w:rPr>
        <w:t xml:space="preserve"> с персонализацией на устройстве</w:t>
      </w:r>
      <w:bookmarkEnd w:id="2"/>
    </w:p>
    <w:p w14:paraId="08AABA9C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3" w:name="_Toc225501385"/>
      <w:r w:rsidRPr="002E4AAC">
        <w:rPr>
          <w:rFonts w:ascii="Times New Roman" w:hAnsi="Times New Roman" w:cs="Times New Roman"/>
        </w:rPr>
        <w:t xml:space="preserve">2.1. Базовая идея: общий </w:t>
      </w:r>
      <w:proofErr w:type="spellStart"/>
      <w:r w:rsidRPr="002E4AAC">
        <w:rPr>
          <w:rFonts w:ascii="Times New Roman" w:hAnsi="Times New Roman" w:cs="Times New Roman"/>
        </w:rPr>
        <w:t>энкодер</w:t>
      </w:r>
      <w:proofErr w:type="spellEnd"/>
      <w:r w:rsidRPr="002E4AAC">
        <w:rPr>
          <w:rFonts w:ascii="Times New Roman" w:hAnsi="Times New Roman" w:cs="Times New Roman"/>
        </w:rPr>
        <w:t xml:space="preserve"> + персональная голова регрессии</w:t>
      </w:r>
      <w:bookmarkEnd w:id="3"/>
    </w:p>
    <w:p w14:paraId="18C59E82" w14:textId="21190F2D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При жёстком ограничении SRAM (на ESP32 типично 520 KB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on-chip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SRAM по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даташиту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, но реально доступное приложению окно меньше из-за стека,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heap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, буферов и RTOS-окружения) практичной становится архитектура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frozen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backbone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+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trainable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head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.</w:t>
      </w:r>
    </w:p>
    <w:p w14:paraId="705E9EAA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Формально модель можно представить как композицию двух модулей:</w:t>
      </w:r>
    </w:p>
    <w:p w14:paraId="78F9DDDC" w14:textId="6953C4C6" w:rsidR="009829FE" w:rsidRPr="002E4AAC" w:rsidRDefault="00000000">
      <w:pPr>
        <w:shd w:val="clear" w:color="auto" w:fill="F1F5F9"/>
        <w:spacing w:before="300" w:after="1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Общий</w:t>
      </w: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 (</w:t>
      </w:r>
      <w:r w:rsid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извлекает признаки)</w:t>
      </w: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>:</w:t>
      </w:r>
    </w:p>
    <w:p w14:paraId="24C135BD" w14:textId="77777777" w:rsidR="009829FE" w:rsidRPr="002E4AAC" w:rsidRDefault="00000000">
      <w:pPr>
        <w:shd w:val="clear" w:color="auto" w:fill="F1F5F9"/>
        <w:spacing w:before="200"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 xml:space="preserve">z = </w:t>
      </w:r>
      <w:proofErr w:type="gramStart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>f(</w:t>
      </w:r>
      <w:proofErr w:type="gramEnd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 xml:space="preserve">x; </w:t>
      </w: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θ</w:t>
      </w: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>)</w:t>
      </w:r>
    </w:p>
    <w:p w14:paraId="23374E08" w14:textId="77777777" w:rsidR="009829FE" w:rsidRPr="002E4AAC" w:rsidRDefault="00000000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64748B"/>
          <w:sz w:val="28"/>
          <w:szCs w:val="28"/>
        </w:rPr>
        <w:t xml:space="preserve">где x — окно IMU/EMG (сырые ряды или простые признаки), z </w:t>
      </w:r>
      <w:r w:rsidRPr="002E4AAC">
        <w:rPr>
          <w:rFonts w:ascii="Cambria Math" w:hAnsi="Cambria Math" w:cs="Cambria Math"/>
          <w:color w:val="64748B"/>
          <w:sz w:val="28"/>
          <w:szCs w:val="28"/>
        </w:rPr>
        <w:t>∈</w:t>
      </w:r>
      <w:r w:rsidRPr="002E4AAC">
        <w:rPr>
          <w:rFonts w:ascii="Times New Roman" w:hAnsi="Times New Roman" w:cs="Times New Roman"/>
          <w:color w:val="64748B"/>
          <w:sz w:val="28"/>
          <w:szCs w:val="28"/>
        </w:rPr>
        <w:t xml:space="preserve"> ℝᵈ — компактное </w:t>
      </w:r>
      <w:proofErr w:type="spellStart"/>
      <w:r w:rsidRPr="002E4AAC">
        <w:rPr>
          <w:rFonts w:ascii="Times New Roman" w:hAnsi="Times New Roman" w:cs="Times New Roman"/>
          <w:color w:val="64748B"/>
          <w:sz w:val="28"/>
          <w:szCs w:val="28"/>
        </w:rPr>
        <w:t>эмбеддинг</w:t>
      </w:r>
      <w:proofErr w:type="spellEnd"/>
      <w:r w:rsidRPr="002E4AAC">
        <w:rPr>
          <w:rFonts w:ascii="Times New Roman" w:hAnsi="Times New Roman" w:cs="Times New Roman"/>
          <w:color w:val="64748B"/>
          <w:sz w:val="28"/>
          <w:szCs w:val="28"/>
        </w:rPr>
        <w:t>-представление</w:t>
      </w:r>
    </w:p>
    <w:p w14:paraId="1BB94F7E" w14:textId="564B1716" w:rsidR="009829FE" w:rsidRPr="002E4AAC" w:rsidRDefault="002E4AAC">
      <w:pPr>
        <w:shd w:val="clear" w:color="auto" w:fill="F1F5F9"/>
        <w:spacing w:before="300" w:after="1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E293B"/>
          <w:sz w:val="28"/>
          <w:szCs w:val="28"/>
        </w:rPr>
        <w:t>Персональная обучаемая голова (предсказывает и обучается на лету)</w:t>
      </w:r>
      <w:r w:rsidR="00000000"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:</w:t>
      </w:r>
    </w:p>
    <w:p w14:paraId="2F2B4C4C" w14:textId="77777777" w:rsidR="009829FE" w:rsidRPr="002E4AAC" w:rsidRDefault="00000000">
      <w:pPr>
        <w:shd w:val="clear" w:color="auto" w:fill="F1F5F9"/>
        <w:spacing w:before="200" w:after="200"/>
        <w:jc w:val="center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 xml:space="preserve">ŷ = </w:t>
      </w:r>
      <w:proofErr w:type="gramStart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g(</w:t>
      </w:r>
      <w:proofErr w:type="gramEnd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z; φᵢ)</w:t>
      </w:r>
    </w:p>
    <w:p w14:paraId="2B1AC9F1" w14:textId="77777777" w:rsidR="009829FE" w:rsidRPr="002E4AAC" w:rsidRDefault="00000000">
      <w:pPr>
        <w:spacing w:after="300"/>
        <w:jc w:val="center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64748B"/>
          <w:sz w:val="28"/>
          <w:szCs w:val="28"/>
        </w:rPr>
        <w:t>где ŷ — будущие углы/XYZ на горизонте 50–100 мс, а φᵢ — параметры, специфичные для пользователя/устройства i</w:t>
      </w:r>
    </w:p>
    <w:p w14:paraId="3DC1DD38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В федеративной постановке на сервере агрегируется только «общая» часть (обычно θ), а персональная часть φᵢ остаётся на устройстве. Это соответствует целому классу методов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partial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model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personalization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в федеративном обучении: параметры делятся на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shared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(общие) 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personal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(персональные), и протокол может либо обновлять их совместно, либо чередовать обновления. При этом персональные параметры не обязываются отправляться на сервер.</w:t>
      </w:r>
    </w:p>
    <w:p w14:paraId="51508FCC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4" w:name="_Toc225501386"/>
      <w:r w:rsidRPr="002E4AAC">
        <w:rPr>
          <w:rFonts w:ascii="Times New Roman" w:hAnsi="Times New Roman" w:cs="Times New Roman"/>
        </w:rPr>
        <w:t xml:space="preserve">2.2. Связь с персонализированным FL: </w:t>
      </w:r>
      <w:proofErr w:type="spellStart"/>
      <w:r w:rsidRPr="002E4AAC">
        <w:rPr>
          <w:rFonts w:ascii="Times New Roman" w:hAnsi="Times New Roman" w:cs="Times New Roman"/>
        </w:rPr>
        <w:t>FedPer</w:t>
      </w:r>
      <w:proofErr w:type="spellEnd"/>
      <w:r w:rsidRPr="002E4AAC">
        <w:rPr>
          <w:rFonts w:ascii="Times New Roman" w:hAnsi="Times New Roman" w:cs="Times New Roman"/>
        </w:rPr>
        <w:t xml:space="preserve"> и </w:t>
      </w:r>
      <w:proofErr w:type="spellStart"/>
      <w:r w:rsidRPr="002E4AAC">
        <w:rPr>
          <w:rFonts w:ascii="Times New Roman" w:hAnsi="Times New Roman" w:cs="Times New Roman"/>
        </w:rPr>
        <w:t>FedRep</w:t>
      </w:r>
      <w:bookmarkEnd w:id="4"/>
      <w:proofErr w:type="spellEnd"/>
    </w:p>
    <w:p w14:paraId="1AA978E0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Две «канонические» идеи из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personalized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federated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learning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(персонализированного федеративного обучения) почти напрямую совпадают с рассматриваемым вариантом:</w:t>
      </w:r>
    </w:p>
    <w:p w14:paraId="728EF533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FedPer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(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base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+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personalization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layers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— базовые + персонализируемые слои):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сеть разделяется на «базовые» (общие) слои и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>«персонализируемые» слои — это вводится как средство борьбы со статистической неоднородностью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non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-IID) между устройствами и пользователями.</w:t>
      </w:r>
    </w:p>
    <w:p w14:paraId="71619ED5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FedRep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(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shared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representation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+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local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heads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— общее представление + локальные головы):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>у клиентов общий репрезентативный блок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representation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), а головы локальные. В обсуждении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FedRep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явно подчёркивается обучение «общего представления» при одновременном наличии персональных голов, и что локальная голова может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дообучаться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на клиенте.</w:t>
      </w:r>
    </w:p>
    <w:p w14:paraId="49175494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телеприсутствующего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костюма это особенно естественно: часть вариативности концентрируется в физиологии (EMG-паттерны), креплении датчиков, длинах сегментов, стиле походки и тому подобном — то есть в «последнем отображении» (z → y), тогда как низкоуровневые признаки в IMU/EMG (частоты, импульсы, корреляции каналов) гораздо более переносимы между людьми.</w:t>
      </w:r>
    </w:p>
    <w:p w14:paraId="1F148DB4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5" w:name="_Toc225501387"/>
      <w:r w:rsidRPr="002E4AAC">
        <w:rPr>
          <w:rFonts w:ascii="Times New Roman" w:hAnsi="Times New Roman" w:cs="Times New Roman"/>
        </w:rPr>
        <w:t>2.3. Конкретный «</w:t>
      </w:r>
      <w:proofErr w:type="spellStart"/>
      <w:r w:rsidRPr="002E4AAC">
        <w:rPr>
          <w:rFonts w:ascii="Times New Roman" w:hAnsi="Times New Roman" w:cs="Times New Roman"/>
        </w:rPr>
        <w:t>Tiny</w:t>
      </w:r>
      <w:proofErr w:type="spellEnd"/>
      <w:r w:rsidRPr="002E4AAC">
        <w:rPr>
          <w:rFonts w:ascii="Times New Roman" w:hAnsi="Times New Roman" w:cs="Times New Roman"/>
        </w:rPr>
        <w:t>» вариант, дружественный SRAM</w:t>
      </w:r>
      <w:bookmarkEnd w:id="5"/>
    </w:p>
    <w:p w14:paraId="728D075B" w14:textId="33C24BA6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Чтобы «голова» реально обучалась на ESP32-классе MCU (микроконтроллеров), её размер должен быть крошечным</w:t>
      </w:r>
      <w:r w:rsidR="002E4AAC">
        <w:rPr>
          <w:rFonts w:ascii="Times New Roman" w:hAnsi="Times New Roman" w:cs="Times New Roman"/>
          <w:color w:val="1E293B"/>
          <w:sz w:val="28"/>
          <w:szCs w:val="28"/>
        </w:rPr>
        <w:t>.</w:t>
      </w:r>
    </w:p>
    <w:p w14:paraId="27602D83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: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1D-CNN/TCN (одномерная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свёрточная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нейросеть / временная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свёрточная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сеть) по времени или узкий GRU (управляемый рекуррентный блок), с выходом d </w:t>
      </w:r>
      <w:r w:rsidRPr="002E4AAC">
        <w:rPr>
          <w:rFonts w:ascii="Cambria Math" w:hAnsi="Cambria Math" w:cs="Cambria Math"/>
          <w:color w:val="1E293B"/>
          <w:sz w:val="28"/>
          <w:szCs w:val="28"/>
        </w:rPr>
        <w:t>∈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[16, 64].</w:t>
      </w:r>
    </w:p>
    <w:p w14:paraId="2FBED362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Голова: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линейная регрессия или маленький MLP (многослойный перцептрон), например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Dense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d→k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 +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ReLU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+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Dense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k→out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), где k </w:t>
      </w:r>
      <w:r w:rsidRPr="002E4AAC">
        <w:rPr>
          <w:rFonts w:ascii="Cambria Math" w:hAnsi="Cambria Math" w:cs="Cambria Math"/>
          <w:color w:val="1E293B"/>
          <w:sz w:val="28"/>
          <w:szCs w:val="28"/>
        </w:rPr>
        <w:t>∈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[8, 32].</w:t>
      </w:r>
    </w:p>
    <w:p w14:paraId="46C01371" w14:textId="1B09D538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Ключевой момент: обновлять только φᵢ (либо φᵢ + очень малые «адаптеры») — это и есть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on-device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personalization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(персонализация на устройстве) через частичное обновление весов. По смыслу это совпадает с линией на «обучение малого подмодуля при фиксированном экстракторе признаков», которую активно развивали 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-устройств.</w:t>
      </w:r>
    </w:p>
    <w:p w14:paraId="51B6C2C5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Отдельно важно отметить: существуют работы, которые прямо реализуют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federated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transfer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learning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(федеративное трансферное обучение)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 xml:space="preserve">на микроконтроллерах и подчёркивают, что классические фреймворки микроконтроллерного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инференса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не предназначены для полного обучения на устройстве. Например,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TinyFedTL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позиционируется как первая реализация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federated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transfer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learning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на ресурсно-ограниченном микроконтроллере и прямо отмечает ограничение: «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TensorFlow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Lite … не поддерживает обучение на устройстве, а ориентирован на статический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инференс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».</w:t>
      </w:r>
    </w:p>
    <w:p w14:paraId="6B5AEEE8" w14:textId="77777777" w:rsidR="009829FE" w:rsidRPr="002E4AAC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6" w:name="_Toc225501388"/>
      <w:r w:rsidRPr="002E4AAC">
        <w:rPr>
          <w:rFonts w:ascii="Times New Roman" w:hAnsi="Times New Roman" w:cs="Times New Roman"/>
          <w:sz w:val="28"/>
          <w:szCs w:val="28"/>
        </w:rPr>
        <w:t>3. Почему частичное обновление решает OOM и снижает катастрофическое забывание</w:t>
      </w:r>
      <w:bookmarkEnd w:id="6"/>
    </w:p>
    <w:p w14:paraId="1A8C3757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7" w:name="_Toc225501389"/>
      <w:r w:rsidRPr="002E4AAC">
        <w:rPr>
          <w:rFonts w:ascii="Times New Roman" w:hAnsi="Times New Roman" w:cs="Times New Roman"/>
        </w:rPr>
        <w:t>3.1. Почему возникает OOM на MCU: память обучения</w:t>
      </w:r>
      <w:bookmarkEnd w:id="7"/>
    </w:p>
    <w:p w14:paraId="1033BE3B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На практике «Out-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of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-Memory» (нехватка памяти) при обратном распространении ошибки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backprop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) на MCU почти всегда вызван не весами, а памятью под промежуточные активации по слоям (нужны для обратного прохода), градиенты и состояния оптимизатора (например, в Adam это 2 дополнительных тензора на параметр).</w:t>
      </w:r>
    </w:p>
    <w:p w14:paraId="2C1584B3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Именно на это указывает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TinyTL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: главное узкое место обучения — активации, а не число параметров. Предлагается фиксировать «тяжёлые» части и учить лишь «лёгкие» модули, чтобы не хранить промежуточные активации.</w:t>
      </w:r>
    </w:p>
    <w:p w14:paraId="50908165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8" w:name="_Toc225501390"/>
      <w:r w:rsidRPr="002E4AAC">
        <w:rPr>
          <w:rFonts w:ascii="Times New Roman" w:hAnsi="Times New Roman" w:cs="Times New Roman"/>
        </w:rPr>
        <w:t xml:space="preserve">3.2. Математическая причина экономии SRAM при замороженном </w:t>
      </w:r>
      <w:proofErr w:type="spellStart"/>
      <w:r w:rsidRPr="002E4AAC">
        <w:rPr>
          <w:rFonts w:ascii="Times New Roman" w:hAnsi="Times New Roman" w:cs="Times New Roman"/>
        </w:rPr>
        <w:t>энкодере</w:t>
      </w:r>
      <w:bookmarkEnd w:id="8"/>
      <w:proofErr w:type="spellEnd"/>
    </w:p>
    <w:p w14:paraId="52C0ECA3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Если обучаются все веса θ и φ, то для обратного прохода по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энкодеру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нужно сохранить (или восстанавливать) активации на каждом слое:</w:t>
      </w:r>
    </w:p>
    <w:p w14:paraId="4E430719" w14:textId="77777777" w:rsidR="009829FE" w:rsidRPr="002E4AAC" w:rsidRDefault="00000000">
      <w:pPr>
        <w:shd w:val="clear" w:color="auto" w:fill="F1F5F9"/>
        <w:spacing w:before="200"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>M_train</w:t>
      </w:r>
      <w:proofErr w:type="spellEnd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 xml:space="preserve"> ≈ </w:t>
      </w: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Σ</w:t>
      </w: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 xml:space="preserve">ₗ [B · size(aₗ)] + </w:t>
      </w:r>
      <w:proofErr w:type="gramStart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>size(</w:t>
      </w:r>
      <w:proofErr w:type="gramEnd"/>
      <w:r w:rsidRPr="002E4AAC">
        <w:rPr>
          <w:rFonts w:ascii="Cambria Math" w:eastAsia="Times New Roman" w:hAnsi="Cambria Math" w:cs="Cambria Math"/>
          <w:i/>
          <w:iCs/>
          <w:color w:val="1E40AF"/>
          <w:sz w:val="28"/>
          <w:szCs w:val="28"/>
          <w:lang w:val="en-US"/>
        </w:rPr>
        <w:t>∇</w:t>
      </w: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θ</w:t>
      </w: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 xml:space="preserve">, </w:t>
      </w:r>
      <w:r w:rsidRPr="002E4AAC">
        <w:rPr>
          <w:rFonts w:ascii="Cambria Math" w:eastAsia="Times New Roman" w:hAnsi="Cambria Math" w:cs="Cambria Math"/>
          <w:i/>
          <w:iCs/>
          <w:color w:val="1E40AF"/>
          <w:sz w:val="28"/>
          <w:szCs w:val="28"/>
          <w:lang w:val="en-US"/>
        </w:rPr>
        <w:t>∇</w:t>
      </w: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φ</w:t>
      </w:r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  <w:lang w:val="en-US"/>
        </w:rPr>
        <w:t>) + size(opt states)</w:t>
      </w:r>
    </w:p>
    <w:p w14:paraId="7C743AC5" w14:textId="77777777" w:rsidR="009829FE" w:rsidRPr="002E4AAC" w:rsidRDefault="00000000">
      <w:pPr>
        <w:spacing w:after="300"/>
        <w:jc w:val="center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64748B"/>
          <w:sz w:val="28"/>
          <w:szCs w:val="28"/>
        </w:rPr>
        <w:t xml:space="preserve">где B — </w:t>
      </w:r>
      <w:proofErr w:type="spellStart"/>
      <w:r w:rsidRPr="002E4AAC">
        <w:rPr>
          <w:rFonts w:ascii="Times New Roman" w:hAnsi="Times New Roman" w:cs="Times New Roman"/>
          <w:color w:val="64748B"/>
          <w:sz w:val="28"/>
          <w:szCs w:val="28"/>
        </w:rPr>
        <w:t>batch</w:t>
      </w:r>
      <w:proofErr w:type="spellEnd"/>
      <w:r w:rsidRPr="002E4AAC">
        <w:rPr>
          <w:rFonts w:ascii="Times New Roman" w:hAnsi="Times New Roman" w:cs="Times New Roman"/>
          <w:color w:val="64748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64748B"/>
          <w:sz w:val="28"/>
          <w:szCs w:val="28"/>
        </w:rPr>
        <w:t>size</w:t>
      </w:r>
      <w:proofErr w:type="spellEnd"/>
      <w:r w:rsidRPr="002E4AAC">
        <w:rPr>
          <w:rFonts w:ascii="Times New Roman" w:hAnsi="Times New Roman" w:cs="Times New Roman"/>
          <w:color w:val="64748B"/>
          <w:sz w:val="28"/>
          <w:szCs w:val="28"/>
        </w:rPr>
        <w:t xml:space="preserve"> (размер </w:t>
      </w:r>
      <w:proofErr w:type="spellStart"/>
      <w:r w:rsidRPr="002E4AAC">
        <w:rPr>
          <w:rFonts w:ascii="Times New Roman" w:hAnsi="Times New Roman" w:cs="Times New Roman"/>
          <w:color w:val="64748B"/>
          <w:sz w:val="28"/>
          <w:szCs w:val="28"/>
        </w:rPr>
        <w:t>батча</w:t>
      </w:r>
      <w:proofErr w:type="spellEnd"/>
      <w:r w:rsidRPr="002E4AAC">
        <w:rPr>
          <w:rFonts w:ascii="Times New Roman" w:hAnsi="Times New Roman" w:cs="Times New Roman"/>
          <w:color w:val="64748B"/>
          <w:sz w:val="28"/>
          <w:szCs w:val="28"/>
        </w:rPr>
        <w:t>), aₗ — активации слоя ℓ</w:t>
      </w:r>
    </w:p>
    <w:p w14:paraId="11FF9EF7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Если же θ заморожены, то градиенты </w:t>
      </w:r>
      <w:r w:rsidRPr="002E4AAC">
        <w:rPr>
          <w:rFonts w:ascii="Cambria Math" w:hAnsi="Cambria Math" w:cs="Cambria Math"/>
          <w:color w:val="1E293B"/>
          <w:sz w:val="28"/>
          <w:szCs w:val="28"/>
        </w:rPr>
        <w:t>∇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θ не вычисляются, и нет необходимости хранить цепочку активаций внутри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. Достаточно вычислить z = </w:t>
      </w:r>
      <w:proofErr w:type="gram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f(</w:t>
      </w:r>
      <w:proofErr w:type="gram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x; θ) в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forward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-режиме и сохранить только z (и, возможно, пару буферов внутри головы). Это прямо соответствует тезису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TinyTL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 xml:space="preserve">«заморозка весов </w:t>
      </w:r>
      <w:r w:rsidRPr="002E4AAC">
        <w:rPr>
          <w:rFonts w:ascii="Cambria Math" w:hAnsi="Cambria Math" w:cs="Cambria Math"/>
          <w:color w:val="1E293B"/>
          <w:sz w:val="28"/>
          <w:szCs w:val="28"/>
        </w:rPr>
        <w:t>⇒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нет необходимости хранить промежуточные активации».</w:t>
      </w:r>
    </w:p>
    <w:p w14:paraId="168225E7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В результате обучающая память становится близкой к:</w:t>
      </w:r>
    </w:p>
    <w:p w14:paraId="19F4BCED" w14:textId="77777777" w:rsidR="009829FE" w:rsidRPr="002E4AAC" w:rsidRDefault="00000000">
      <w:pPr>
        <w:shd w:val="clear" w:color="auto" w:fill="F1F5F9"/>
        <w:spacing w:before="200" w:after="20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M_train^head-only</w:t>
      </w:r>
      <w:proofErr w:type="spellEnd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 xml:space="preserve"> ≈ B · </w:t>
      </w:r>
      <w:proofErr w:type="spellStart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size</w:t>
      </w:r>
      <w:proofErr w:type="spellEnd"/>
      <w:r w:rsidRPr="002E4AAC">
        <w:rPr>
          <w:rFonts w:ascii="Times New Roman" w:eastAsia="Times New Roman" w:hAnsi="Times New Roman" w:cs="Times New Roman"/>
          <w:i/>
          <w:iCs/>
          <w:color w:val="1E40AF"/>
          <w:sz w:val="28"/>
          <w:szCs w:val="28"/>
        </w:rPr>
        <w:t>(z) + (активации головы) + градиенты головы + (состояния оптимизатора головы)</w:t>
      </w:r>
    </w:p>
    <w:p w14:paraId="5D0097CD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что на порядки меньше, если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глубокий, а d маленькое. Практический вывод: «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head-only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training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» (обучение только головы) — один из немногих вариантов, где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backprop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вообще помещается в сотни килобайт SRAM без экзотических техник.</w:t>
      </w:r>
    </w:p>
    <w:p w14:paraId="7ACC8D27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9" w:name="_Toc225501391"/>
      <w:r w:rsidRPr="002E4AAC">
        <w:rPr>
          <w:rFonts w:ascii="Times New Roman" w:hAnsi="Times New Roman" w:cs="Times New Roman"/>
        </w:rPr>
        <w:t xml:space="preserve">3.3. Снижение </w:t>
      </w:r>
      <w:proofErr w:type="spellStart"/>
      <w:r w:rsidRPr="002E4AAC">
        <w:rPr>
          <w:rFonts w:ascii="Times New Roman" w:hAnsi="Times New Roman" w:cs="Times New Roman"/>
        </w:rPr>
        <w:t>catastrophic</w:t>
      </w:r>
      <w:proofErr w:type="spellEnd"/>
      <w:r w:rsidRPr="002E4AAC">
        <w:rPr>
          <w:rFonts w:ascii="Times New Roman" w:hAnsi="Times New Roman" w:cs="Times New Roman"/>
        </w:rPr>
        <w:t xml:space="preserve"> </w:t>
      </w:r>
      <w:proofErr w:type="spellStart"/>
      <w:r w:rsidRPr="002E4AAC">
        <w:rPr>
          <w:rFonts w:ascii="Times New Roman" w:hAnsi="Times New Roman" w:cs="Times New Roman"/>
        </w:rPr>
        <w:t>forgetting</w:t>
      </w:r>
      <w:proofErr w:type="spellEnd"/>
      <w:r w:rsidRPr="002E4AAC">
        <w:rPr>
          <w:rFonts w:ascii="Times New Roman" w:hAnsi="Times New Roman" w:cs="Times New Roman"/>
        </w:rPr>
        <w:t xml:space="preserve"> и локального дрейфа</w:t>
      </w:r>
      <w:bookmarkEnd w:id="9"/>
    </w:p>
    <w:p w14:paraId="145010C6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«Катастрофическое забывание»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catastrophic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forgetting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 — классическая проблема последовательного обучения: при дообучении на новых данных сеть теряет ранее усвоенные функции. Один из известных и широко цитируемых подходов — регуляризация важных весов (например, EWC —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Elastic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Weight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Consolidation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), которая прямо «штрафует» сильные изменения параметров, значимых для предыдущих задач.</w:t>
      </w:r>
    </w:p>
    <w:p w14:paraId="5EA03C4B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Заморозка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это предельная версия такого ограничения: изменение θ запрещено, а значит «представление» </w:t>
      </w:r>
      <w:proofErr w:type="gram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f(</w:t>
      </w:r>
      <w:proofErr w:type="gram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x; θ) остаётся стабильным. На маленьких локальных данных пользователя это особенно важно: полное дообучение всех весов почти гарантирует переобучение на краткосрочные паттерны (последние движения, текущая усталость мышц,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микросдвиг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электродов), что ухудшит переносимость и устойчивость.</w:t>
      </w:r>
    </w:p>
    <w:p w14:paraId="4435E436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В федеративной динамике похожая проблема проявляется как «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client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drift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» (дрейф клиента): при агрессивном локальном обучении полных весов клиенты расходятся, и усреднение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FedAvg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 начинает хуже сходиться на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non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-IID данных.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FedProx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вводит проксимальный член, который ограничивает удаление локальных весов от глобальных и повышает устойчивость в гетерогенных сетях.</w:t>
      </w:r>
    </w:p>
    <w:p w14:paraId="6280B2B9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Частичное обновление — ещё более «жёсткий» и простой способ снизить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drift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: если на MCU обучается только φᵢ, то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shared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-часть θ либо не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>меняется вообще на клиенте, либо меняется очень редко и малыми шагами (в зависимости от выбранного протокола). Это уменьшает риск расхождения и упрощает агрегацию.</w:t>
      </w:r>
    </w:p>
    <w:p w14:paraId="7E554B81" w14:textId="7E1CBFE6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10" w:name="_Toc225501392"/>
      <w:r w:rsidRPr="002E4AAC">
        <w:rPr>
          <w:rFonts w:ascii="Times New Roman" w:hAnsi="Times New Roman" w:cs="Times New Roman"/>
        </w:rPr>
        <w:t xml:space="preserve">3.4. Преимущества перед </w:t>
      </w:r>
      <w:r w:rsidR="002E4AAC">
        <w:rPr>
          <w:rFonts w:ascii="Times New Roman" w:hAnsi="Times New Roman" w:cs="Times New Roman"/>
        </w:rPr>
        <w:t xml:space="preserve">обновлением всех весов </w:t>
      </w:r>
      <w:r w:rsidRPr="002E4AAC">
        <w:rPr>
          <w:rFonts w:ascii="Times New Roman" w:hAnsi="Times New Roman" w:cs="Times New Roman"/>
        </w:rPr>
        <w:t>на ESP32</w:t>
      </w:r>
      <w:bookmarkEnd w:id="10"/>
    </w:p>
    <w:p w14:paraId="293E8E13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Полное локальное дообучение всех весов на MCU обычно проигрывает по трём причинам одновременно:</w:t>
      </w:r>
    </w:p>
    <w:p w14:paraId="5FDD2C44" w14:textId="068D1044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1. Память: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backprop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через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требует хранить/восстанавливать активации;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TinyTL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подчёркивает, что именно активации —</w:t>
      </w:r>
      <w:r w:rsidR="002E4AAC">
        <w:rPr>
          <w:rFonts w:ascii="Times New Roman" w:hAnsi="Times New Roman" w:cs="Times New Roman"/>
          <w:color w:val="1E293B"/>
          <w:sz w:val="28"/>
          <w:szCs w:val="28"/>
        </w:rPr>
        <w:t xml:space="preserve"> наиболее узкое место в памяти.</w:t>
      </w:r>
    </w:p>
    <w:p w14:paraId="42F823D7" w14:textId="0C399EC3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2. Время/энергия: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обратный проход существенно дороже </w:t>
      </w:r>
      <w:r w:rsidR="002E4AAC">
        <w:rPr>
          <w:rFonts w:ascii="Times New Roman" w:hAnsi="Times New Roman" w:cs="Times New Roman"/>
          <w:color w:val="1E293B"/>
          <w:sz w:val="28"/>
          <w:szCs w:val="28"/>
        </w:rPr>
        <w:t>прямого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>; современные «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extreme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edge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» работы показывают, что радикальная экономия достигается именно за счёт селективного/частичного обновления.</w:t>
      </w:r>
    </w:p>
    <w:p w14:paraId="4483C19A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3. Стабильность/обобщение: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полное дообучение на малом локальном датасете усиливает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forgetting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 снижает переносимость; ограничение обновляемых весов является прямым способом стабилизации.</w:t>
      </w:r>
    </w:p>
    <w:p w14:paraId="0DA70A43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Иными словами, «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freeze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encoder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+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train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head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» (заморозить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+ обучать голову) — это не просто компромисс, а архитектурная стратегия, которая целенаправленно закрывает сразу два риска: OOM и деградацию качества от локального дрейфа и забывания.</w:t>
      </w:r>
    </w:p>
    <w:p w14:paraId="5C417398" w14:textId="77777777" w:rsidR="009829FE" w:rsidRPr="002E4AAC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1" w:name="_Toc225501393"/>
      <w:r w:rsidRPr="002E4AAC">
        <w:rPr>
          <w:rFonts w:ascii="Times New Roman" w:hAnsi="Times New Roman" w:cs="Times New Roman"/>
          <w:sz w:val="28"/>
          <w:szCs w:val="28"/>
        </w:rPr>
        <w:t>4. Ускорение на ESP32-классе: SIMD/PIE, квантизация и оптимизированные ядра</w:t>
      </w:r>
      <w:bookmarkEnd w:id="11"/>
    </w:p>
    <w:p w14:paraId="55FC8474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12" w:name="_Toc225501394"/>
      <w:r w:rsidRPr="002E4AAC">
        <w:rPr>
          <w:rFonts w:ascii="Times New Roman" w:hAnsi="Times New Roman" w:cs="Times New Roman"/>
        </w:rPr>
        <w:t xml:space="preserve">4.1. Оптимизированные ядра для </w:t>
      </w:r>
      <w:proofErr w:type="spellStart"/>
      <w:r w:rsidRPr="002E4AAC">
        <w:rPr>
          <w:rFonts w:ascii="Times New Roman" w:hAnsi="Times New Roman" w:cs="Times New Roman"/>
        </w:rPr>
        <w:t>TFLite</w:t>
      </w:r>
      <w:proofErr w:type="spellEnd"/>
      <w:r w:rsidRPr="002E4AAC">
        <w:rPr>
          <w:rFonts w:ascii="Times New Roman" w:hAnsi="Times New Roman" w:cs="Times New Roman"/>
        </w:rPr>
        <w:t xml:space="preserve"> Micro на ESP32</w:t>
      </w:r>
      <w:bookmarkEnd w:id="12"/>
    </w:p>
    <w:p w14:paraId="5372481B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инференса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замороженного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наиболее прагматичная стратегия — держать его в int8 (или смешанной) квантизации и использовать оптимизированные ядра свёртки/FC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fully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connected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полносвязные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слои):</w:t>
      </w:r>
    </w:p>
    <w:p w14:paraId="62451836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Репозиторий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esp-nn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hyperlink r:id="rId7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https://github.com/espressif/esp-nn</w:t>
        </w:r>
      </w:hyperlink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содержит оптимизированные NN-функции для различных чипов, включая ESP32-S3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 xml:space="preserve">(там есть ассемблерные версии, использующие векторные инструкции), и позиционируется как поддержка 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TFLite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Micro.</w:t>
      </w:r>
    </w:p>
    <w:p w14:paraId="0FBEB8BF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Отдельный компонентный репозиторий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esp-tflite-micro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hyperlink r:id="rId8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https://github.com/espressif/esp-tflite-m</w:t>
        </w:r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i</w:t>
        </w:r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cro</w:t>
        </w:r>
      </w:hyperlink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упрощает использование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TFLite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Micro на чипсетах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Espressif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через ESP-IDF.</w:t>
      </w:r>
    </w:p>
    <w:p w14:paraId="22C224CC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Сам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TFLite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Micro </w:t>
      </w:r>
      <w:hyperlink r:id="rId9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https://github.com/tensorflow/tflite-micro</w:t>
        </w:r>
      </w:hyperlink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описывается как порт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TFLite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для микроконтроллеров и других устройств с ограниченной памятью; в документации и публикациях подчёркивается ориентация на малый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бинарник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embedded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-ограничения.</w:t>
      </w:r>
    </w:p>
    <w:p w14:paraId="0D0A5C70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Это хорошо стыкуется со стратегией: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«тяжёлый» → максимально быстрый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forward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; обучение только головы → минимальный локальный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backward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.</w:t>
      </w:r>
    </w:p>
    <w:p w14:paraId="6188DC3F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13" w:name="_Toc225501395"/>
      <w:r w:rsidRPr="002E4AAC">
        <w:rPr>
          <w:rFonts w:ascii="Times New Roman" w:hAnsi="Times New Roman" w:cs="Times New Roman"/>
        </w:rPr>
        <w:t>4.2. SIMD/PIE и выжимание скорости на ESP32-S3/ESP32-P4</w:t>
      </w:r>
      <w:bookmarkEnd w:id="13"/>
    </w:p>
    <w:p w14:paraId="5A76597E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Поколения ESP32-S3 и ESP32-P4 имеют расширения инструкций PIE (Processor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Instructions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for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Embedded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AI), ориентированные на AI/DSP-задачи и SIMD-векторизацию (Single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Instruction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,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Multiple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Data — один поток команд, множество потоков данных). В материалах производителя описываются 128-битные векторные операции и ускорение работы с 8/16/32-битными форматами данных. Это прямо полезно для int8-свёрток и матричных умножений.</w:t>
      </w:r>
    </w:p>
    <w:p w14:paraId="0954133D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По сути, «правильная» инженерная траектория выглядит так:</w:t>
      </w:r>
    </w:p>
    <w:p w14:paraId="7972C42D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•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в int8 (веса/активации), ядра свёртки/FC — из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esp-nn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или аналогичных оптимизаций;</w:t>
      </w:r>
    </w:p>
    <w:p w14:paraId="42DCFB51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• Хранение тензоров и буферов с выравниванием под векторные загрузки/выгрузки (для ряда AOT-подходов 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embedded-рантаймов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выравнивание памяти прямо упоминается как важный практический момент);</w:t>
      </w:r>
    </w:p>
    <w:p w14:paraId="32A22DC4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>• «Голова» (обучаемая часть) проектируется так, чтобы её градиенты считались в простых GEMM/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inner-product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операциях, идеально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маппящихся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на SIMD.</w:t>
      </w:r>
    </w:p>
    <w:p w14:paraId="12C27BCB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14" w:name="_Toc225501396"/>
      <w:r w:rsidRPr="002E4AAC">
        <w:rPr>
          <w:rFonts w:ascii="Times New Roman" w:hAnsi="Times New Roman" w:cs="Times New Roman"/>
        </w:rPr>
        <w:t>4.3. DSP-предобработка для IMU/EMG</w:t>
      </w:r>
      <w:bookmarkEnd w:id="14"/>
    </w:p>
    <w:p w14:paraId="4A13C814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На MCU зачастую выгодно «дёшево» улучшить входной сигнал до нейросети: фильтрация EMG (например, огибающая, RMS-фичи), подавление шумов, простые спектральные признаки. Для этого есть официальная DSP-библиотека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Espressif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esp-dsp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) с оптимизированными функциями, включая FFT, FIR/IIR, матричное умножение и векторные операции.</w:t>
      </w:r>
    </w:p>
    <w:p w14:paraId="73EF7CFB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Это важно архитектурно: если стабилизировать входы (например, EMG-огибающая + нормализация) «до сети», то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можно сделать более компактным без потери качества — а это снижает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FLOPs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, буферы, энергопотребление и повышает шанс уложиться в SRAM/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real-time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.</w:t>
      </w:r>
    </w:p>
    <w:p w14:paraId="459AA198" w14:textId="77777777" w:rsidR="009829FE" w:rsidRPr="002E4AAC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5" w:name="_Toc225501397"/>
      <w:r w:rsidRPr="002E4AA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2E4AAC">
        <w:rPr>
          <w:rFonts w:ascii="Times New Roman" w:hAnsi="Times New Roman" w:cs="Times New Roman"/>
          <w:sz w:val="28"/>
          <w:szCs w:val="28"/>
        </w:rPr>
        <w:t>PoC</w:t>
      </w:r>
      <w:proofErr w:type="spellEnd"/>
      <w:r w:rsidRPr="002E4AAC">
        <w:rPr>
          <w:rFonts w:ascii="Times New Roman" w:hAnsi="Times New Roman" w:cs="Times New Roman"/>
          <w:sz w:val="28"/>
          <w:szCs w:val="28"/>
        </w:rPr>
        <w:t xml:space="preserve">-стек и </w:t>
      </w:r>
      <w:proofErr w:type="spellStart"/>
      <w:r w:rsidRPr="002E4AAC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2E4AAC">
        <w:rPr>
          <w:rFonts w:ascii="Times New Roman" w:hAnsi="Times New Roman" w:cs="Times New Roman"/>
          <w:sz w:val="28"/>
          <w:szCs w:val="28"/>
        </w:rPr>
        <w:t xml:space="preserve"> Python → C/C++</w:t>
      </w:r>
      <w:bookmarkEnd w:id="15"/>
    </w:p>
    <w:p w14:paraId="58361A29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16" w:name="_Toc225501398"/>
      <w:r w:rsidRPr="002E4AAC">
        <w:rPr>
          <w:rFonts w:ascii="Times New Roman" w:hAnsi="Times New Roman" w:cs="Times New Roman"/>
        </w:rPr>
        <w:t>5.1. Python-уровень: моделирование FL и прототипирование</w:t>
      </w:r>
      <w:bookmarkEnd w:id="16"/>
    </w:p>
    <w:p w14:paraId="2E967DD9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Для исследования алгоритмов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FedAvg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/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FedProx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/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FedPer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/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FedRep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-подобные режимы), подбора архитектуры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 проверки качества прогнозирования удобнее всего начинать с симуляции на ПК:</w:t>
      </w:r>
    </w:p>
    <w:p w14:paraId="5E66B756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Flower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hyperlink r:id="rId10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https://github.com/flwrlabs/flower</w:t>
        </w:r>
      </w:hyperlink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практичный фреймворк для построения федеративных систем и симуляции клиентов.</w:t>
      </w:r>
    </w:p>
    <w:p w14:paraId="25943F5A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TensorFlow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Federated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hyperlink r:id="rId11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https://github.com/google-parfait/tensorflow-federated</w:t>
        </w:r>
      </w:hyperlink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исследовательский фреймворк для вычислений на децентрализованных данных.</w:t>
      </w:r>
    </w:p>
    <w:p w14:paraId="434F22C2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PySyft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от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OpenMined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hyperlink r:id="rId12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https://github.com/openmined/pysyft</w:t>
        </w:r>
      </w:hyperlink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библиотека 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privacy-preserving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workflows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(включая FL-сценарии).</w:t>
      </w:r>
    </w:p>
    <w:p w14:paraId="4DF535C2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На этом этапе можно: собрать датасет окон IMU/EMG → «следующий шаг» (50–100 мс); обучить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глобально (централизованно или в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 xml:space="preserve">симуляции FL); зафиксировать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 симулировать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on-device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personalization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головы на «локальных» данных клиентов; измерить компромисс «точность ↔ размер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эмбеддинга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d ↔ сложность головы».</w:t>
      </w:r>
    </w:p>
    <w:p w14:paraId="531C1FAE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17" w:name="_Toc225501399"/>
      <w:r w:rsidRPr="002E4AAC">
        <w:rPr>
          <w:rFonts w:ascii="Times New Roman" w:hAnsi="Times New Roman" w:cs="Times New Roman"/>
        </w:rPr>
        <w:t xml:space="preserve">5.2. MCU-уровень: </w:t>
      </w:r>
      <w:proofErr w:type="spellStart"/>
      <w:r w:rsidRPr="002E4AAC">
        <w:rPr>
          <w:rFonts w:ascii="Times New Roman" w:hAnsi="Times New Roman" w:cs="Times New Roman"/>
        </w:rPr>
        <w:t>инференс</w:t>
      </w:r>
      <w:proofErr w:type="spellEnd"/>
      <w:r w:rsidRPr="002E4AAC">
        <w:rPr>
          <w:rFonts w:ascii="Times New Roman" w:hAnsi="Times New Roman" w:cs="Times New Roman"/>
        </w:rPr>
        <w:t xml:space="preserve"> </w:t>
      </w:r>
      <w:proofErr w:type="spellStart"/>
      <w:r w:rsidRPr="002E4AAC">
        <w:rPr>
          <w:rFonts w:ascii="Times New Roman" w:hAnsi="Times New Roman" w:cs="Times New Roman"/>
        </w:rPr>
        <w:t>энкодера</w:t>
      </w:r>
      <w:proofErr w:type="spellEnd"/>
      <w:r w:rsidRPr="002E4AAC">
        <w:rPr>
          <w:rFonts w:ascii="Times New Roman" w:hAnsi="Times New Roman" w:cs="Times New Roman"/>
        </w:rPr>
        <w:t xml:space="preserve"> и обучение головы</w:t>
      </w:r>
      <w:bookmarkEnd w:id="17"/>
    </w:p>
    <w:p w14:paraId="78F825A2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Инференс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frozen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backbone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замороженный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бэкбон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 на ESP32-классе — наиболее прямой путь через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TFLite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Micro-экосистему:</w:t>
      </w:r>
    </w:p>
    <w:p w14:paraId="62C8A65E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Основной репозиторий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TFLite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Micro: </w:t>
      </w:r>
      <w:hyperlink r:id="rId13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https://github.com/tensorflow/tflite-micro</w:t>
        </w:r>
      </w:hyperlink>
    </w:p>
    <w:p w14:paraId="46A3615B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Поддержка/компоненты под ESP-IDF: </w:t>
      </w:r>
      <w:hyperlink r:id="rId14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https://github.com/espressif/esp-tflite-micro</w:t>
        </w:r>
      </w:hyperlink>
    </w:p>
    <w:p w14:paraId="04DAA78B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Ускоренные ядра: </w:t>
      </w:r>
      <w:hyperlink r:id="rId15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https://github.com/espressif/esp-nn</w:t>
        </w:r>
      </w:hyperlink>
    </w:p>
    <w:p w14:paraId="535A3DE9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Обучение головы — здесь важно честно разделить «официальную поддержку» и «практическую реализацию».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TinyFedTL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прямо подчёркивает, что «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TensorFlow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Lite … не поддерживает обучение на устройстве» (в контексте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microcontroller-deploy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), и поэтому обучение на MCU приходится реализовывать специализированно.</w:t>
      </w:r>
    </w:p>
    <w:p w14:paraId="4805F93F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PoC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под задачу наиболее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инженерно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безопасный путь обычно такой:</w:t>
      </w:r>
    </w:p>
    <w:p w14:paraId="2837CB6B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1.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исполняется через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TFLite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Micro (int8).</w:t>
      </w:r>
    </w:p>
    <w:p w14:paraId="7F838010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2.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В конце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получается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эмбеддинг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z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float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или int16/int8 с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scale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).</w:t>
      </w:r>
    </w:p>
    <w:p w14:paraId="72D4EEDB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3.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>Голова реализуется как небольшой модуль на C/C++ с ручным вычислением градиентов (MSE-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loss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для регрессии).</w:t>
      </w:r>
    </w:p>
    <w:p w14:paraId="6DDC29F0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4.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На сервер отправляются только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Δφ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ᵢ (или периодически φᵢ), а θ обновляются редко централизованно.</w:t>
      </w:r>
    </w:p>
    <w:p w14:paraId="3241C90F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Для готовых идей системной оптимизации обучения на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-железе полезны также проекты, ориентированные на экстремально малую память и/или селективное обновление:</w:t>
      </w:r>
    </w:p>
    <w:p w14:paraId="20CB1B71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>On-device training under 256KB memory (</w:t>
      </w: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код</w:t>
      </w: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): </w:t>
      </w:r>
      <w:hyperlink r:id="rId16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https://github.com/mit-han-lab/tiny-training</w:t>
        </w:r>
      </w:hyperlink>
    </w:p>
    <w:p w14:paraId="2AE89378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lastRenderedPageBreak/>
        <w:t>TinyTrain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(код + публикация): </w:t>
      </w:r>
      <w:hyperlink r:id="rId17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https://github.com/theyoungkwon/TinyTrain</w:t>
        </w:r>
      </w:hyperlink>
    </w:p>
    <w:p w14:paraId="376E3F22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18" w:name="_Toc225501400"/>
      <w:r w:rsidRPr="002E4AAC">
        <w:rPr>
          <w:rFonts w:ascii="Times New Roman" w:hAnsi="Times New Roman" w:cs="Times New Roman"/>
        </w:rPr>
        <w:t xml:space="preserve">5.3. Альтернатива: компиляция через TVM / </w:t>
      </w:r>
      <w:proofErr w:type="spellStart"/>
      <w:r w:rsidRPr="002E4AAC">
        <w:rPr>
          <w:rFonts w:ascii="Times New Roman" w:hAnsi="Times New Roman" w:cs="Times New Roman"/>
        </w:rPr>
        <w:t>microTVM</w:t>
      </w:r>
      <w:bookmarkEnd w:id="18"/>
      <w:proofErr w:type="spellEnd"/>
    </w:p>
    <w:p w14:paraId="1B78BB58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Если стратегия — агрессивная компиляция, AOT-исполнение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Ahead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-Of-Time — предварительная компиляция) и тонкий контроль памяти, то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microTVM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(часть стека TVM) может быть полезен как компилятор/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рантайм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инференса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на микроконтроллерах. TVM позиционируется как ML-компилятор для генерации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deployable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модулей из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предобученных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моделей.</w:t>
      </w:r>
    </w:p>
    <w:p w14:paraId="01B7D718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Важно: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microTVM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помогает именно с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инференсом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(компиляция/оптимизация операторов, AOT-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рантайм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, контроль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workspace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), тогда как обучение головы всё равно чаще реализуют отдельно, «ручным» кодом, потому что общая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автодифференциация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для MCU-класса — существенно более тяжёлая задача.</w:t>
      </w:r>
    </w:p>
    <w:p w14:paraId="04C36912" w14:textId="77777777" w:rsidR="009829FE" w:rsidRPr="002E4AAC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9" w:name="_Toc225501401"/>
      <w:r w:rsidRPr="002E4AAC">
        <w:rPr>
          <w:rFonts w:ascii="Times New Roman" w:hAnsi="Times New Roman" w:cs="Times New Roman"/>
          <w:sz w:val="28"/>
          <w:szCs w:val="28"/>
        </w:rPr>
        <w:t>6. Идеи для научной статьи</w:t>
      </w:r>
      <w:bookmarkEnd w:id="19"/>
    </w:p>
    <w:p w14:paraId="57A2979B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Ниже — направления, которые можно оформить как «научный вклад» 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Federated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TinyML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в постановке прогноза траектории/суставов на 50–100 мс на MCU с малой SRAM.</w:t>
      </w:r>
    </w:p>
    <w:p w14:paraId="139EEB65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20" w:name="_Toc225501402"/>
      <w:r w:rsidRPr="002E4AAC">
        <w:rPr>
          <w:rFonts w:ascii="Times New Roman" w:hAnsi="Times New Roman" w:cs="Times New Roman"/>
        </w:rPr>
        <w:t>6.1. Парциальная персонализация как ограниченная оптимизация</w:t>
      </w:r>
      <w:bookmarkEnd w:id="20"/>
    </w:p>
    <w:p w14:paraId="52B940EE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Постановка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partial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personalization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формализуется как оптимизация по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shared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-параметрам u и персональным vᵢ (размерности могут отличаться по устройствам), где при локальном шаге персональные параметры могут оставаться на клиенте, а на сервер отправляются только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shared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-параметры. Это даёт строгий язык для «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frozen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backbone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+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local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head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»: u = θ, vᵢ = φᵢ.</w:t>
      </w:r>
    </w:p>
    <w:p w14:paraId="27FCCFFE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В таком виде можно анализировать:</w:t>
      </w:r>
    </w:p>
    <w:p w14:paraId="28C3FB79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Коммуникационную цену: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передаются только vᵢ (или только часть u, если иногда обновляется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), что в разы уменьшает трафик.</w:t>
      </w:r>
    </w:p>
    <w:p w14:paraId="01930D47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Локальную вычислительную цену: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>обратный проход ограничен только головой.</w:t>
      </w:r>
    </w:p>
    <w:p w14:paraId="017118BD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>FedPer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FedRep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дают разные протоколы обновления/разделения параметров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simultaneous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vs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decoupled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одновременный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vs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разделённый), которые можно адаптировать под MCU: например, «обновлять голову каждый шаг,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раз в N раундов».</w:t>
      </w:r>
    </w:p>
    <w:p w14:paraId="6ACECA20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21" w:name="_Toc225501403"/>
      <w:r w:rsidRPr="002E4AAC">
        <w:rPr>
          <w:rFonts w:ascii="Times New Roman" w:hAnsi="Times New Roman" w:cs="Times New Roman"/>
        </w:rPr>
        <w:t>6.2. Проксимальные/</w:t>
      </w:r>
      <w:proofErr w:type="spellStart"/>
      <w:r w:rsidRPr="002E4AAC">
        <w:rPr>
          <w:rFonts w:ascii="Times New Roman" w:hAnsi="Times New Roman" w:cs="Times New Roman"/>
        </w:rPr>
        <w:t>регуляризационные</w:t>
      </w:r>
      <w:proofErr w:type="spellEnd"/>
      <w:r w:rsidRPr="002E4AAC">
        <w:rPr>
          <w:rFonts w:ascii="Times New Roman" w:hAnsi="Times New Roman" w:cs="Times New Roman"/>
        </w:rPr>
        <w:t xml:space="preserve"> методы</w:t>
      </w:r>
      <w:bookmarkEnd w:id="21"/>
    </w:p>
    <w:p w14:paraId="1A2D0D32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FedProx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добавляет проксимальный член к локальной задаче, снижая влияние «агрессивных» локальных обновлений в гетерогенных сетях. Даже если обучается только голова, проксимальная регуляризация по φᵢ относительно глобальной φ (если решено агрегировать часть головы) — простой способ стабилизации.</w:t>
      </w:r>
    </w:p>
    <w:p w14:paraId="4D60011E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Ditto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— пример персонализированного FL-фреймворка, который явно вводит персонализацию через регуляризацию и анализирует свойства на классе линейных задач; как минимум, это хороший теоретический «якорь» для раздела статьи про персонализацию и устойчивость.</w:t>
      </w:r>
    </w:p>
    <w:p w14:paraId="7717C073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Для «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catastrophic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forgetting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» существует богатая литература (включая EWC как широко признанный метод «защитить важные веса»), и можно позиционировать заморозку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как крайний и очень дешёвый вариант «синаптической консолидации» для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-клиента.</w:t>
      </w:r>
    </w:p>
    <w:p w14:paraId="653EF2D6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22" w:name="_Toc225501404"/>
      <w:r w:rsidRPr="002E4AAC">
        <w:rPr>
          <w:rFonts w:ascii="Times New Roman" w:hAnsi="Times New Roman" w:cs="Times New Roman"/>
        </w:rPr>
        <w:t>6.3. Компрессия апдейтов и коммуникационно-эффективный FL</w:t>
      </w:r>
      <w:bookmarkEnd w:id="22"/>
    </w:p>
    <w:p w14:paraId="3AF6EDB5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Если передаются апдейты (даже малой головы) часто, появляется пространство для «научной» оптимизации коммуникации:</w:t>
      </w:r>
    </w:p>
    <w:p w14:paraId="2E0A1D29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QSGD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>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Quantized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SGD — квантованный стохастический градиентный спуск) — градиентная квантизация с гарантиями сходимости.</w:t>
      </w:r>
    </w:p>
    <w:p w14:paraId="550D70A8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signSGD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with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majority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vote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>— передача только знаков градиента (32× меньше коммуникации в базовой форме).</w:t>
      </w:r>
    </w:p>
    <w:p w14:paraId="7FA7B0CC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Error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Feedback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(EF-SGD)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>— компенсация ошибки компрессии для улучшения сходимости.</w:t>
      </w:r>
    </w:p>
    <w:p w14:paraId="5F368528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•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Sparse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Ternary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>Compression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 (STC) </w:t>
      </w:r>
      <w:r w:rsidRPr="002E4AAC">
        <w:rPr>
          <w:rFonts w:ascii="Times New Roman" w:hAnsi="Times New Roman" w:cs="Times New Roman"/>
          <w:color w:val="1E293B"/>
          <w:sz w:val="28"/>
          <w:szCs w:val="28"/>
        </w:rPr>
        <w:t>— компрессия, специально предложенная для FL-условий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non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-IID, низкая доля участия).</w:t>
      </w:r>
    </w:p>
    <w:p w14:paraId="499F43E5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lastRenderedPageBreak/>
        <w:t xml:space="preserve">В постановке задачи эти методы можно «подстроить» под микро-голову: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квантизировать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Δφ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ᵢ до int8/int16; отправлять только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top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>-k компонент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sparsification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 +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error-feedback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буфер; адаптировать частоту апдейтов к скорости движения пользователя (в покое — реже, в активном движении — чаще).</w:t>
      </w:r>
    </w:p>
    <w:p w14:paraId="7DFC8566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23" w:name="_Toc225501405"/>
      <w:r w:rsidRPr="002E4AAC">
        <w:rPr>
          <w:rFonts w:ascii="Times New Roman" w:hAnsi="Times New Roman" w:cs="Times New Roman"/>
        </w:rPr>
        <w:t xml:space="preserve">6.4. Селективное обучение и экстремальная экономия </w:t>
      </w:r>
      <w:proofErr w:type="spellStart"/>
      <w:r w:rsidRPr="002E4AAC">
        <w:rPr>
          <w:rFonts w:ascii="Times New Roman" w:hAnsi="Times New Roman" w:cs="Times New Roman"/>
        </w:rPr>
        <w:t>backward</w:t>
      </w:r>
      <w:bookmarkEnd w:id="23"/>
      <w:proofErr w:type="spellEnd"/>
    </w:p>
    <w:p w14:paraId="5B9698C2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Если захотеть выйти за рамки «учим только голову», научно перспективный компромисс — селективно обучать малую часть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энкодера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(каналы/слои/адаптеры), но так, чтобы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backward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оставался дешёвым:</w:t>
      </w:r>
    </w:p>
    <w:p w14:paraId="3B6F2A4F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TinyTrain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заявляет, что селективное обновление частей модели резко снижает стоимость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backward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 учитывает дефицит данных на устройстве.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TinyTL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показывает подход «заморозить веса, учить только лёгкие модули» и подчёркивает, что выигрыши идут через снижение памяти на активации.</w:t>
      </w:r>
    </w:p>
    <w:p w14:paraId="32B6FEC1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Это можно описывать как «ограниченную адаптацию представления»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constrained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representation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adaptation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 и сравнивать режимы: только голова; голова +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bias-only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модули; голова + адаптеры в 1–2 верхних блоках.</w:t>
      </w:r>
    </w:p>
    <w:p w14:paraId="3157F4BA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24" w:name="_Toc225501406"/>
      <w:r w:rsidRPr="002E4AAC">
        <w:rPr>
          <w:rFonts w:ascii="Times New Roman" w:hAnsi="Times New Roman" w:cs="Times New Roman"/>
        </w:rPr>
        <w:t xml:space="preserve">6.5. </w:t>
      </w:r>
      <w:proofErr w:type="spellStart"/>
      <w:r w:rsidRPr="002E4AAC">
        <w:rPr>
          <w:rFonts w:ascii="Times New Roman" w:hAnsi="Times New Roman" w:cs="Times New Roman"/>
        </w:rPr>
        <w:t>Split</w:t>
      </w:r>
      <w:proofErr w:type="spellEnd"/>
      <w:r w:rsidRPr="002E4AAC">
        <w:rPr>
          <w:rFonts w:ascii="Times New Roman" w:hAnsi="Times New Roman" w:cs="Times New Roman"/>
        </w:rPr>
        <w:t>-подходы как крайний вариант</w:t>
      </w:r>
      <w:bookmarkEnd w:id="24"/>
    </w:p>
    <w:p w14:paraId="16544968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Если появится более тяжёлый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(например, для более богатой пространственной кинематики), то существует направление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split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federated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learning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на микроконтроллерах: держать маленькую часть модели на устройстве, а остальное — на сервере, чтобы уложиться в память. В задаче это может быть не первым выбором (из-за мета-требования приватности/латентности), но как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related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work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(связанные работы) и вариант при росте сложности модели — полезно.</w:t>
      </w:r>
    </w:p>
    <w:p w14:paraId="3A90D959" w14:textId="77777777" w:rsidR="009829FE" w:rsidRPr="002E4AAC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5" w:name="_Toc225501407"/>
      <w:r w:rsidRPr="002E4AAC">
        <w:rPr>
          <w:rFonts w:ascii="Times New Roman" w:hAnsi="Times New Roman" w:cs="Times New Roman"/>
          <w:sz w:val="28"/>
          <w:szCs w:val="28"/>
        </w:rPr>
        <w:t>7. Каталог репозиториев, проектов и работ</w:t>
      </w:r>
      <w:bookmarkEnd w:id="25"/>
    </w:p>
    <w:p w14:paraId="61EEF882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26" w:name="_Toc225501408"/>
      <w:r w:rsidRPr="002E4AAC">
        <w:rPr>
          <w:rFonts w:ascii="Times New Roman" w:hAnsi="Times New Roman" w:cs="Times New Roman"/>
        </w:rPr>
        <w:t xml:space="preserve">7.1. </w:t>
      </w:r>
      <w:proofErr w:type="spellStart"/>
      <w:r w:rsidRPr="002E4AAC">
        <w:rPr>
          <w:rFonts w:ascii="Times New Roman" w:hAnsi="Times New Roman" w:cs="Times New Roman"/>
        </w:rPr>
        <w:t>Federated</w:t>
      </w:r>
      <w:proofErr w:type="spellEnd"/>
      <w:r w:rsidRPr="002E4AAC">
        <w:rPr>
          <w:rFonts w:ascii="Times New Roman" w:hAnsi="Times New Roman" w:cs="Times New Roman"/>
        </w:rPr>
        <w:t xml:space="preserve"> Learning / </w:t>
      </w:r>
      <w:proofErr w:type="spellStart"/>
      <w:r w:rsidRPr="002E4AAC">
        <w:rPr>
          <w:rFonts w:ascii="Times New Roman" w:hAnsi="Times New Roman" w:cs="Times New Roman"/>
        </w:rPr>
        <w:t>on-device</w:t>
      </w:r>
      <w:proofErr w:type="spellEnd"/>
      <w:r w:rsidRPr="002E4AAC">
        <w:rPr>
          <w:rFonts w:ascii="Times New Roman" w:hAnsi="Times New Roman" w:cs="Times New Roman"/>
        </w:rPr>
        <w:t xml:space="preserve"> </w:t>
      </w:r>
      <w:proofErr w:type="spellStart"/>
      <w:r w:rsidRPr="002E4AAC">
        <w:rPr>
          <w:rFonts w:ascii="Times New Roman" w:hAnsi="Times New Roman" w:cs="Times New Roman"/>
        </w:rPr>
        <w:t>training</w:t>
      </w:r>
      <w:proofErr w:type="spellEnd"/>
      <w:r w:rsidRPr="002E4AAC">
        <w:rPr>
          <w:rFonts w:ascii="Times New Roman" w:hAnsi="Times New Roman" w:cs="Times New Roman"/>
        </w:rPr>
        <w:t xml:space="preserve"> на микроконтроллерах</w:t>
      </w:r>
      <w:bookmarkEnd w:id="26"/>
    </w:p>
    <w:p w14:paraId="27C07084" w14:textId="77777777" w:rsidR="009829FE" w:rsidRPr="002E4AAC" w:rsidRDefault="00000000">
      <w:pPr>
        <w:shd w:val="clear" w:color="auto" w:fill="F8FAFC"/>
        <w:spacing w:before="150" w:after="100"/>
        <w:ind w:left="200" w:right="200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TinyFedTL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— первая реализация 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federated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transfer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learning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на ресурсно-ограниченном микроконтроллере</w:t>
      </w:r>
    </w:p>
    <w:p w14:paraId="1CA930E7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>Paper (</w:t>
      </w: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>arXiv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): </w:t>
      </w:r>
      <w:hyperlink r:id="rId18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https://arxiv.org/abs/2110.01107</w:t>
        </w:r>
      </w:hyperlink>
    </w:p>
    <w:p w14:paraId="21C5C332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lastRenderedPageBreak/>
        <w:t xml:space="preserve">Code (GitHub): </w:t>
      </w:r>
      <w:hyperlink r:id="rId19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https://github.com/kavyakvk/TinyFederatedLearning</w:t>
        </w:r>
      </w:hyperlink>
    </w:p>
    <w:p w14:paraId="3ADE0E43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On-Device Training of ML Models on Microcontrollers with Federated Learning (MDPI, 2022)</w:t>
      </w:r>
    </w:p>
    <w:p w14:paraId="73D5E38C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Статья MDPI: </w:t>
      </w:r>
      <w:hyperlink r:id="rId20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https://www.mdpi.com/2079-9292/11/4/573</w:t>
        </w:r>
      </w:hyperlink>
    </w:p>
    <w:p w14:paraId="6F876F70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Embedded federated learning over a LoRa mesh network (2023)</w:t>
      </w:r>
    </w:p>
    <w:p w14:paraId="39CB0603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ScienceDirect: </w:t>
      </w:r>
      <w:hyperlink r:id="rId21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https://www.sciencedirect.com/science/article/pii/S1574119223000779</w:t>
        </w:r>
      </w:hyperlink>
    </w:p>
    <w:p w14:paraId="3CB27157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Split Federated Learning on Micro-controllers (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arXiv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, 2022)</w:t>
      </w:r>
    </w:p>
    <w:p w14:paraId="24B2DEB0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>arXiv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: </w:t>
      </w:r>
      <w:hyperlink r:id="rId22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https://arxiv.org/pdf/2210.01961</w:t>
        </w:r>
      </w:hyperlink>
    </w:p>
    <w:p w14:paraId="7D15D5BC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TinyTrain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(ICML'24) — селективное обновление частей модели</w:t>
      </w:r>
    </w:p>
    <w:p w14:paraId="49B5784B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Code (GitHub): </w:t>
      </w:r>
      <w:hyperlink r:id="rId23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https://github.com/theyoungkwon/TinyTrain</w:t>
        </w:r>
      </w:hyperlink>
    </w:p>
    <w:p w14:paraId="51D4BDC5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On-Device Training Under 256KB Memory (NeurIPS'22)</w:t>
      </w:r>
    </w:p>
    <w:p w14:paraId="69811750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Code (GitHub): </w:t>
      </w:r>
      <w:hyperlink r:id="rId24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https://github.com/mit-han-lab/tiny-training</w:t>
        </w:r>
      </w:hyperlink>
    </w:p>
    <w:p w14:paraId="186855B8" w14:textId="77777777" w:rsidR="009829FE" w:rsidRPr="002E4AAC" w:rsidRDefault="00000000">
      <w:pPr>
        <w:pStyle w:val="2"/>
        <w:rPr>
          <w:rFonts w:ascii="Times New Roman" w:hAnsi="Times New Roman" w:cs="Times New Roman"/>
          <w:lang w:val="en-US"/>
        </w:rPr>
      </w:pPr>
      <w:bookmarkStart w:id="27" w:name="_Toc225501409"/>
      <w:r w:rsidRPr="002E4AAC">
        <w:rPr>
          <w:rFonts w:ascii="Times New Roman" w:hAnsi="Times New Roman" w:cs="Times New Roman"/>
          <w:lang w:val="en-US"/>
        </w:rPr>
        <w:t xml:space="preserve">7.2. </w:t>
      </w:r>
      <w:r w:rsidRPr="002E4AAC">
        <w:rPr>
          <w:rFonts w:ascii="Times New Roman" w:hAnsi="Times New Roman" w:cs="Times New Roman"/>
        </w:rPr>
        <w:t>Персонализация</w:t>
      </w:r>
      <w:r w:rsidRPr="002E4AAC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E4AAC">
        <w:rPr>
          <w:rFonts w:ascii="Times New Roman" w:hAnsi="Times New Roman" w:cs="Times New Roman"/>
          <w:lang w:val="en-US"/>
        </w:rPr>
        <w:t>FedPer</w:t>
      </w:r>
      <w:proofErr w:type="spellEnd"/>
      <w:r w:rsidRPr="002E4AAC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2E4AAC">
        <w:rPr>
          <w:rFonts w:ascii="Times New Roman" w:hAnsi="Times New Roman" w:cs="Times New Roman"/>
          <w:lang w:val="en-US"/>
        </w:rPr>
        <w:t>FedRep</w:t>
      </w:r>
      <w:proofErr w:type="spellEnd"/>
      <w:r w:rsidRPr="002E4AAC">
        <w:rPr>
          <w:rFonts w:ascii="Times New Roman" w:hAnsi="Times New Roman" w:cs="Times New Roman"/>
          <w:lang w:val="en-US"/>
        </w:rPr>
        <w:t xml:space="preserve"> / partial personalization</w:t>
      </w:r>
      <w:bookmarkEnd w:id="27"/>
    </w:p>
    <w:p w14:paraId="75AD3EC5" w14:textId="77777777" w:rsidR="009829FE" w:rsidRPr="002E4AAC" w:rsidRDefault="00000000">
      <w:pPr>
        <w:shd w:val="clear" w:color="auto" w:fill="F8FAFC"/>
        <w:spacing w:before="15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FedPer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 — base + personalization layers</w:t>
      </w:r>
    </w:p>
    <w:p w14:paraId="124DFDFC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>arXiv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: </w:t>
      </w:r>
      <w:hyperlink r:id="rId25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https://arxiv.org/abs/1912.00818</w:t>
        </w:r>
      </w:hyperlink>
    </w:p>
    <w:p w14:paraId="55156E1C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FedRep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 — shared representation + local heads</w:t>
      </w:r>
    </w:p>
    <w:p w14:paraId="322DFF8A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PMLR PDF: </w:t>
      </w:r>
      <w:hyperlink r:id="rId26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https://proceedings.mlr.press/v139/collins21a/collins21a.pdf</w:t>
        </w:r>
      </w:hyperlink>
    </w:p>
    <w:p w14:paraId="29B12308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Federated Learning with Partial Model Personalization</w:t>
      </w:r>
    </w:p>
    <w:p w14:paraId="0B99B1D7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PMLR PDF: </w:t>
      </w:r>
      <w:hyperlink r:id="rId27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https://proceedings.mlr.press/v162/pillutla22a/pillutla22a.pdf</w:t>
        </w:r>
      </w:hyperlink>
    </w:p>
    <w:p w14:paraId="224846F8" w14:textId="77777777" w:rsidR="009829FE" w:rsidRPr="002E4AAC" w:rsidRDefault="00000000">
      <w:pPr>
        <w:pStyle w:val="2"/>
        <w:rPr>
          <w:rFonts w:ascii="Times New Roman" w:hAnsi="Times New Roman" w:cs="Times New Roman"/>
          <w:lang w:val="en-US"/>
        </w:rPr>
      </w:pPr>
      <w:bookmarkStart w:id="28" w:name="_Toc225501410"/>
      <w:r w:rsidRPr="002E4AAC">
        <w:rPr>
          <w:rFonts w:ascii="Times New Roman" w:hAnsi="Times New Roman" w:cs="Times New Roman"/>
          <w:lang w:val="en-US"/>
        </w:rPr>
        <w:t>7.3. MCU-</w:t>
      </w:r>
      <w:proofErr w:type="spellStart"/>
      <w:r w:rsidRPr="002E4AAC">
        <w:rPr>
          <w:rFonts w:ascii="Times New Roman" w:hAnsi="Times New Roman" w:cs="Times New Roman"/>
        </w:rPr>
        <w:t>инференс</w:t>
      </w:r>
      <w:proofErr w:type="spellEnd"/>
      <w:r w:rsidRPr="002E4AAC">
        <w:rPr>
          <w:rFonts w:ascii="Times New Roman" w:hAnsi="Times New Roman" w:cs="Times New Roman"/>
          <w:lang w:val="en-US"/>
        </w:rPr>
        <w:t>/</w:t>
      </w:r>
      <w:r w:rsidRPr="002E4AAC">
        <w:rPr>
          <w:rFonts w:ascii="Times New Roman" w:hAnsi="Times New Roman" w:cs="Times New Roman"/>
        </w:rPr>
        <w:t>ускорение</w:t>
      </w:r>
      <w:r w:rsidRPr="002E4AAC">
        <w:rPr>
          <w:rFonts w:ascii="Times New Roman" w:hAnsi="Times New Roman" w:cs="Times New Roman"/>
          <w:lang w:val="en-US"/>
        </w:rPr>
        <w:t xml:space="preserve"> </w:t>
      </w:r>
      <w:r w:rsidRPr="002E4AAC">
        <w:rPr>
          <w:rFonts w:ascii="Times New Roman" w:hAnsi="Times New Roman" w:cs="Times New Roman"/>
        </w:rPr>
        <w:t>на</w:t>
      </w:r>
      <w:r w:rsidRPr="002E4AAC">
        <w:rPr>
          <w:rFonts w:ascii="Times New Roman" w:hAnsi="Times New Roman" w:cs="Times New Roman"/>
          <w:lang w:val="en-US"/>
        </w:rPr>
        <w:t xml:space="preserve"> ESP32</w:t>
      </w:r>
      <w:bookmarkEnd w:id="28"/>
    </w:p>
    <w:p w14:paraId="49D764F8" w14:textId="77777777" w:rsidR="009829FE" w:rsidRPr="002E4AAC" w:rsidRDefault="00000000">
      <w:pPr>
        <w:shd w:val="clear" w:color="auto" w:fill="F8FAFC"/>
        <w:spacing w:before="15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TensorFlow Lite for Microcontrollers (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TFLite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 Micro)</w:t>
      </w:r>
    </w:p>
    <w:p w14:paraId="674965DE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GitHub: </w:t>
      </w:r>
      <w:hyperlink r:id="rId28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https://github.com/tensorflow/tflite-micro</w:t>
        </w:r>
      </w:hyperlink>
    </w:p>
    <w:p w14:paraId="05D5E572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TFLite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 Micro for 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Espressif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 chipsets (ESP-IDF component)</w:t>
      </w:r>
    </w:p>
    <w:p w14:paraId="79CFFA30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GitHub: </w:t>
      </w:r>
      <w:hyperlink r:id="rId29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https://github.com/espressif/esp-tflite-micro</w:t>
        </w:r>
      </w:hyperlink>
    </w:p>
    <w:p w14:paraId="3ABDF0FC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ESP-NN — оптимизированные ядра для 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Espressif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(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incl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. </w:t>
      </w: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ESP32-S3 vector instructions)</w:t>
      </w:r>
    </w:p>
    <w:p w14:paraId="23D2BC9B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lastRenderedPageBreak/>
        <w:t xml:space="preserve">GitHub: </w:t>
      </w:r>
      <w:hyperlink r:id="rId30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https://github.com/espressif/esp-nn</w:t>
        </w:r>
      </w:hyperlink>
    </w:p>
    <w:p w14:paraId="669A3D9B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ESP-DSP — DSP </w:t>
      </w: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библиотека</w:t>
      </w: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 (FFT/filters/matrix ops)</w:t>
      </w:r>
    </w:p>
    <w:p w14:paraId="463A3F18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GitHub: </w:t>
      </w:r>
      <w:hyperlink r:id="rId31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https://github.com/espressif/esp-dsp</w:t>
        </w:r>
      </w:hyperlink>
    </w:p>
    <w:p w14:paraId="4393691D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ESP32 datasheet (SRAM size reference)</w:t>
      </w:r>
    </w:p>
    <w:p w14:paraId="09345EDF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>Espressif</w:t>
      </w:r>
      <w:proofErr w:type="spellEnd"/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 PDF: </w:t>
      </w:r>
      <w:hyperlink r:id="rId32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https://www.espressif.com/sites/default/files/documentation/esp32_datasheet_en.pdf</w:t>
        </w:r>
      </w:hyperlink>
    </w:p>
    <w:p w14:paraId="3928429D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ESP32-S3 datasheet (PIE / 128-bit vector ops reference)</w:t>
      </w:r>
    </w:p>
    <w:p w14:paraId="58906450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Adafruit PDF: </w:t>
      </w:r>
      <w:hyperlink r:id="rId33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https://cdn-shop.adafruit.com/product-files/5477/esp32-s3_datasheet_en.pdf</w:t>
        </w:r>
      </w:hyperlink>
    </w:p>
    <w:p w14:paraId="366544C1" w14:textId="77777777" w:rsidR="009829FE" w:rsidRPr="002E4AAC" w:rsidRDefault="00000000">
      <w:pPr>
        <w:pStyle w:val="2"/>
        <w:rPr>
          <w:rFonts w:ascii="Times New Roman" w:hAnsi="Times New Roman" w:cs="Times New Roman"/>
          <w:lang w:val="en-US"/>
        </w:rPr>
      </w:pPr>
      <w:bookmarkStart w:id="29" w:name="_Toc225501411"/>
      <w:r w:rsidRPr="002E4AAC">
        <w:rPr>
          <w:rFonts w:ascii="Times New Roman" w:hAnsi="Times New Roman" w:cs="Times New Roman"/>
          <w:lang w:val="en-US"/>
        </w:rPr>
        <w:t>7.4. Python-</w:t>
      </w:r>
      <w:r w:rsidRPr="002E4AAC">
        <w:rPr>
          <w:rFonts w:ascii="Times New Roman" w:hAnsi="Times New Roman" w:cs="Times New Roman"/>
        </w:rPr>
        <w:t>фреймворки</w:t>
      </w:r>
      <w:r w:rsidRPr="002E4AAC">
        <w:rPr>
          <w:rFonts w:ascii="Times New Roman" w:hAnsi="Times New Roman" w:cs="Times New Roman"/>
          <w:lang w:val="en-US"/>
        </w:rPr>
        <w:t xml:space="preserve"> </w:t>
      </w:r>
      <w:r w:rsidRPr="002E4AAC">
        <w:rPr>
          <w:rFonts w:ascii="Times New Roman" w:hAnsi="Times New Roman" w:cs="Times New Roman"/>
        </w:rPr>
        <w:t>для</w:t>
      </w:r>
      <w:r w:rsidRPr="002E4AAC">
        <w:rPr>
          <w:rFonts w:ascii="Times New Roman" w:hAnsi="Times New Roman" w:cs="Times New Roman"/>
          <w:lang w:val="en-US"/>
        </w:rPr>
        <w:t xml:space="preserve"> </w:t>
      </w:r>
      <w:r w:rsidRPr="002E4AAC">
        <w:rPr>
          <w:rFonts w:ascii="Times New Roman" w:hAnsi="Times New Roman" w:cs="Times New Roman"/>
        </w:rPr>
        <w:t>симуляции</w:t>
      </w:r>
      <w:r w:rsidRPr="002E4AAC">
        <w:rPr>
          <w:rFonts w:ascii="Times New Roman" w:hAnsi="Times New Roman" w:cs="Times New Roman"/>
          <w:lang w:val="en-US"/>
        </w:rPr>
        <w:t xml:space="preserve"> FL</w:t>
      </w:r>
      <w:bookmarkEnd w:id="29"/>
    </w:p>
    <w:p w14:paraId="660B64F8" w14:textId="77777777" w:rsidR="009829FE" w:rsidRPr="002E4AAC" w:rsidRDefault="00000000">
      <w:pPr>
        <w:shd w:val="clear" w:color="auto" w:fill="F8FAFC"/>
        <w:spacing w:before="15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Flower (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flwr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)</w:t>
      </w:r>
    </w:p>
    <w:p w14:paraId="5E2D7B86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GitHub: </w:t>
      </w:r>
      <w:hyperlink r:id="rId34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https://github.com/flwrlabs/flower</w:t>
        </w:r>
      </w:hyperlink>
    </w:p>
    <w:p w14:paraId="11E8A012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TensorFlow Federated</w:t>
      </w:r>
    </w:p>
    <w:p w14:paraId="24518498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GitHub: </w:t>
      </w:r>
      <w:hyperlink r:id="rId35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https://github.com/google-parfait/tensorflow-federated</w:t>
        </w:r>
      </w:hyperlink>
    </w:p>
    <w:p w14:paraId="66587B95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PySyft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 (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OpenMined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)</w:t>
      </w:r>
    </w:p>
    <w:p w14:paraId="6B89DE17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GitHub: </w:t>
      </w:r>
      <w:hyperlink r:id="rId36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https://github.com/openmined/pysyft</w:t>
        </w:r>
      </w:hyperlink>
    </w:p>
    <w:p w14:paraId="231A05D4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FedAvg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— базовый алгоритм федеративного усреднения</w:t>
      </w:r>
    </w:p>
    <w:p w14:paraId="385E5807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</w:rPr>
        <w:t xml:space="preserve">PMLR PDF: </w:t>
      </w:r>
      <w:hyperlink r:id="rId37" w:history="1">
        <w:r w:rsidRPr="002E4AAC">
          <w:rPr>
            <w:rStyle w:val="a5"/>
            <w:rFonts w:ascii="Times New Roman" w:hAnsi="Times New Roman" w:cs="Times New Roman"/>
            <w:sz w:val="28"/>
            <w:szCs w:val="28"/>
          </w:rPr>
          <w:t>https://proceedings.mlr.press/v54/mcmahan17a/mcmahan17a.pdf</w:t>
        </w:r>
      </w:hyperlink>
    </w:p>
    <w:p w14:paraId="1663DF5C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FedProx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— проксимальный член для гетерогенных сетей</w:t>
      </w:r>
    </w:p>
    <w:p w14:paraId="107C8598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Code (GitHub): </w:t>
      </w:r>
      <w:hyperlink r:id="rId38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https://github.com/litian96/FedProx</w:t>
        </w:r>
      </w:hyperlink>
    </w:p>
    <w:p w14:paraId="141DE267" w14:textId="77777777" w:rsidR="009829FE" w:rsidRPr="002E4AAC" w:rsidRDefault="00000000">
      <w:pPr>
        <w:pStyle w:val="2"/>
        <w:rPr>
          <w:rFonts w:ascii="Times New Roman" w:hAnsi="Times New Roman" w:cs="Times New Roman"/>
        </w:rPr>
      </w:pPr>
      <w:bookmarkStart w:id="30" w:name="_Toc225501412"/>
      <w:r w:rsidRPr="002E4AAC">
        <w:rPr>
          <w:rFonts w:ascii="Times New Roman" w:hAnsi="Times New Roman" w:cs="Times New Roman"/>
        </w:rPr>
        <w:t>7.5. IMU/EMG: прогноз суставных углов и короткий горизонт</w:t>
      </w:r>
      <w:bookmarkEnd w:id="30"/>
    </w:p>
    <w:p w14:paraId="59833626" w14:textId="77777777" w:rsidR="009829FE" w:rsidRPr="002E4AAC" w:rsidRDefault="00000000">
      <w:pPr>
        <w:shd w:val="clear" w:color="auto" w:fill="F8FAFC"/>
        <w:spacing w:before="150" w:after="100"/>
        <w:ind w:left="200" w:right="200"/>
        <w:rPr>
          <w:rFonts w:ascii="Times New Roman" w:hAnsi="Times New Roman" w:cs="Times New Roman"/>
          <w:sz w:val="28"/>
          <w:szCs w:val="28"/>
        </w:rPr>
      </w:pP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EMG+углы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 xml:space="preserve"> → прогноз на 50/100/150/200 мс (MDPI 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Sensors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</w:rPr>
        <w:t>, 2021)</w:t>
      </w:r>
    </w:p>
    <w:p w14:paraId="19C13A81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MDPI Sensors: </w:t>
      </w:r>
      <w:hyperlink r:id="rId39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https://www.mdpi.com/1424-8220/21/11/3622</w:t>
        </w:r>
      </w:hyperlink>
    </w:p>
    <w:p w14:paraId="24EE3384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EMG-based joint angle estimation (LSTM)</w:t>
      </w:r>
    </w:p>
    <w:p w14:paraId="613B21D2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lastRenderedPageBreak/>
        <w:t xml:space="preserve">GitHub: </w:t>
      </w:r>
      <w:hyperlink r:id="rId40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https://github.com/Amged-Elsheikh/EMG-based-Estimation-of-Lower-Limb-Joint-Angles-and-Moments-Using-Long-Short-Term-Memory-Network</w:t>
        </w:r>
      </w:hyperlink>
    </w:p>
    <w:p w14:paraId="348D7172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IMU → joint angles (Journal of Biomechanics, 2021)</w:t>
      </w:r>
    </w:p>
    <w:p w14:paraId="3145FB6E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GitHub: </w:t>
      </w:r>
      <w:hyperlink r:id="rId41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https://github.com/CMU-MBL/JointAnglePrediction_JOB</w:t>
        </w:r>
      </w:hyperlink>
    </w:p>
    <w:p w14:paraId="64CB7CB5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Joint Angle prediction from raw IMU data</w:t>
      </w:r>
    </w:p>
    <w:p w14:paraId="6D7C0C1C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GitHub: </w:t>
      </w:r>
      <w:hyperlink r:id="rId42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https://github.com/Vaibhavshahvr7/Joint-Angle-prediction</w:t>
        </w:r>
      </w:hyperlink>
    </w:p>
    <w:p w14:paraId="4AE97EA4" w14:textId="77777777" w:rsidR="009829FE" w:rsidRPr="002E4AAC" w:rsidRDefault="00000000">
      <w:pPr>
        <w:shd w:val="clear" w:color="auto" w:fill="F8FAFC"/>
        <w:spacing w:before="200" w:after="100"/>
        <w:ind w:left="200" w:right="20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Multimodal </w:t>
      </w:r>
      <w:proofErr w:type="spellStart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>IMU+sEMG</w:t>
      </w:r>
      <w:proofErr w:type="spellEnd"/>
      <w:r w:rsidRPr="002E4AAC">
        <w:rPr>
          <w:rFonts w:ascii="Times New Roman" w:eastAsia="SimHei" w:hAnsi="Times New Roman" w:cs="Times New Roman"/>
          <w:b/>
          <w:bCs/>
          <w:color w:val="1E293B"/>
          <w:sz w:val="28"/>
          <w:szCs w:val="28"/>
          <w:lang w:val="en-US"/>
        </w:rPr>
        <w:t xml:space="preserve"> dataset for upper body joint angles (Scientific Data, 2026)</w:t>
      </w:r>
    </w:p>
    <w:p w14:paraId="7AAC25C7" w14:textId="77777777" w:rsidR="009829FE" w:rsidRPr="002E4AAC" w:rsidRDefault="00000000">
      <w:pPr>
        <w:spacing w:after="80" w:line="312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2E4AAC">
        <w:rPr>
          <w:rFonts w:ascii="Times New Roman" w:hAnsi="Times New Roman" w:cs="Times New Roman"/>
          <w:b/>
          <w:bCs/>
          <w:color w:val="1E293B"/>
          <w:sz w:val="28"/>
          <w:szCs w:val="28"/>
          <w:lang w:val="en-US"/>
        </w:rPr>
        <w:t xml:space="preserve">Nature: </w:t>
      </w:r>
      <w:hyperlink r:id="rId43" w:history="1">
        <w:r w:rsidRPr="002E4AA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https://www.nature.com/articles/s41597-026-06687-5</w:t>
        </w:r>
      </w:hyperlink>
    </w:p>
    <w:p w14:paraId="39323915" w14:textId="77777777" w:rsidR="009829FE" w:rsidRPr="002E4AAC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1" w:name="_Toc225501413"/>
      <w:r w:rsidRPr="002E4AAC">
        <w:rPr>
          <w:rFonts w:ascii="Times New Roman" w:hAnsi="Times New Roman" w:cs="Times New Roman"/>
          <w:sz w:val="28"/>
          <w:szCs w:val="28"/>
        </w:rPr>
        <w:t>8. Заключение</w:t>
      </w:r>
      <w:bookmarkEnd w:id="31"/>
    </w:p>
    <w:p w14:paraId="56C4A2C9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Архитектура «замороженный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энкодер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+ обучаемая голова» представляет собой оптимальное решение для федеративного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TinyML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на микроконтроллерах в задаче прогнозирования движений на горизонт 50–100 мс. Данный подход решает одновременно несколько критических проблем: ограничение SRAM при обратном распространении ошибки, предотвращение катастрофического забывания, снижение коммуникационных затрат и обеспечение персонализации для конкретного пользователя.</w:t>
      </w:r>
    </w:p>
    <w:p w14:paraId="50A5CFC9" w14:textId="77777777" w:rsidR="009829FE" w:rsidRPr="002E4AAC" w:rsidRDefault="00000000">
      <w:pPr>
        <w:spacing w:after="120" w:line="312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2E4AAC">
        <w:rPr>
          <w:rFonts w:ascii="Times New Roman" w:hAnsi="Times New Roman" w:cs="Times New Roman"/>
          <w:color w:val="1E293B"/>
          <w:sz w:val="28"/>
          <w:szCs w:val="28"/>
        </w:rPr>
        <w:t>Использование сенсорной связки IMU+EMG физиологически обосновано для упреждающего прогноза в данном временном окне, а наличие обширной научной базы и открытых репозиториев делает предложенную архитектуру готовой к практическому внедрению. Выбор аппаратной платформы ESP32 с поддержкой SIMD/PIE инструкций и богатой экосистемой оптимизированных библиотек (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esp-nn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,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esp-dsp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,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esp-tflite-micro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) обеспечивает необходимые условия для реализации </w:t>
      </w:r>
      <w:proofErr w:type="spellStart"/>
      <w:r w:rsidRPr="002E4AAC">
        <w:rPr>
          <w:rFonts w:ascii="Times New Roman" w:hAnsi="Times New Roman" w:cs="Times New Roman"/>
          <w:color w:val="1E293B"/>
          <w:sz w:val="28"/>
          <w:szCs w:val="28"/>
        </w:rPr>
        <w:t>PoC</w:t>
      </w:r>
      <w:proofErr w:type="spellEnd"/>
      <w:r w:rsidRPr="002E4AAC">
        <w:rPr>
          <w:rFonts w:ascii="Times New Roman" w:hAnsi="Times New Roman" w:cs="Times New Roman"/>
          <w:color w:val="1E293B"/>
          <w:sz w:val="28"/>
          <w:szCs w:val="28"/>
        </w:rPr>
        <w:t xml:space="preserve"> и последующего масштабирования решения.</w:t>
      </w:r>
    </w:p>
    <w:sectPr w:rsidR="009829FE" w:rsidRPr="002E4AAC">
      <w:headerReference w:type="default" r:id="rId44"/>
      <w:footerReference w:type="default" r:id="rId45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97007" w14:textId="77777777" w:rsidR="00A77777" w:rsidRDefault="00A77777">
      <w:r>
        <w:separator/>
      </w:r>
    </w:p>
  </w:endnote>
  <w:endnote w:type="continuationSeparator" w:id="0">
    <w:p w14:paraId="299E6C23" w14:textId="77777777" w:rsidR="00A77777" w:rsidRDefault="00A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E3AAB" w14:textId="77777777" w:rsidR="009829FE" w:rsidRPr="002E4AAC" w:rsidRDefault="00000000">
    <w:pPr>
      <w:jc w:val="center"/>
      <w:rPr>
        <w:rFonts w:ascii="Times New Roman" w:hAnsi="Times New Roman" w:cs="Times New Roman"/>
      </w:rPr>
    </w:pPr>
    <w:r w:rsidRPr="002E4AAC">
      <w:rPr>
        <w:rFonts w:ascii="Times New Roman" w:hAnsi="Times New Roman" w:cs="Times New Roman"/>
        <w:sz w:val="18"/>
        <w:szCs w:val="18"/>
      </w:rPr>
      <w:t xml:space="preserve">Страница </w:t>
    </w:r>
    <w:r w:rsidRPr="002E4AAC">
      <w:rPr>
        <w:rFonts w:ascii="Times New Roman" w:hAnsi="Times New Roman" w:cs="Times New Roman"/>
      </w:rPr>
      <w:fldChar w:fldCharType="begin"/>
    </w:r>
    <w:r w:rsidRPr="002E4AAC">
      <w:rPr>
        <w:rFonts w:ascii="Times New Roman" w:hAnsi="Times New Roman" w:cs="Times New Roman"/>
      </w:rPr>
      <w:instrText>PAGE</w:instrText>
    </w:r>
    <w:r w:rsidRPr="002E4AAC">
      <w:rPr>
        <w:rFonts w:ascii="Times New Roman" w:hAnsi="Times New Roman" w:cs="Times New Roman"/>
      </w:rPr>
      <w:fldChar w:fldCharType="separate"/>
    </w:r>
    <w:r w:rsidR="002E4AAC" w:rsidRPr="002E4AAC">
      <w:rPr>
        <w:rFonts w:ascii="Times New Roman" w:hAnsi="Times New Roman" w:cs="Times New Roman"/>
        <w:noProof/>
      </w:rPr>
      <w:t>2</w:t>
    </w:r>
    <w:r w:rsidRPr="002E4AAC">
      <w:rPr>
        <w:rFonts w:ascii="Times New Roman" w:hAnsi="Times New Roman" w:cs="Times New Roman"/>
      </w:rPr>
      <w:fldChar w:fldCharType="end"/>
    </w:r>
    <w:r w:rsidRPr="002E4AAC">
      <w:rPr>
        <w:rFonts w:ascii="Times New Roman" w:hAnsi="Times New Roman" w:cs="Times New Roman"/>
        <w:sz w:val="18"/>
        <w:szCs w:val="18"/>
      </w:rPr>
      <w:t xml:space="preserve"> из </w:t>
    </w:r>
    <w:r w:rsidRPr="002E4AAC">
      <w:rPr>
        <w:rFonts w:ascii="Times New Roman" w:hAnsi="Times New Roman" w:cs="Times New Roman"/>
      </w:rPr>
      <w:fldChar w:fldCharType="begin"/>
    </w:r>
    <w:r w:rsidRPr="002E4AAC">
      <w:rPr>
        <w:rFonts w:ascii="Times New Roman" w:hAnsi="Times New Roman" w:cs="Times New Roman"/>
      </w:rPr>
      <w:instrText>NUMPAGES</w:instrText>
    </w:r>
    <w:r w:rsidRPr="002E4AAC">
      <w:rPr>
        <w:rFonts w:ascii="Times New Roman" w:hAnsi="Times New Roman" w:cs="Times New Roman"/>
      </w:rPr>
      <w:fldChar w:fldCharType="separate"/>
    </w:r>
    <w:r w:rsidR="002E4AAC" w:rsidRPr="002E4AAC">
      <w:rPr>
        <w:rFonts w:ascii="Times New Roman" w:hAnsi="Times New Roman" w:cs="Times New Roman"/>
        <w:noProof/>
      </w:rPr>
      <w:t>3</w:t>
    </w:r>
    <w:r w:rsidRPr="002E4AAC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B9D62" w14:textId="77777777" w:rsidR="00A77777" w:rsidRDefault="00A77777">
      <w:r>
        <w:separator/>
      </w:r>
    </w:p>
  </w:footnote>
  <w:footnote w:type="continuationSeparator" w:id="0">
    <w:p w14:paraId="69C1C060" w14:textId="77777777" w:rsidR="00A77777" w:rsidRDefault="00A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AC3B5" w14:textId="77F4EDE1" w:rsidR="009829FE" w:rsidRDefault="009829F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678F9"/>
    <w:multiLevelType w:val="hybridMultilevel"/>
    <w:tmpl w:val="60CE42FE"/>
    <w:lvl w:ilvl="0" w:tplc="5C966DD4">
      <w:start w:val="1"/>
      <w:numFmt w:val="bullet"/>
      <w:lvlText w:val="●"/>
      <w:lvlJc w:val="left"/>
      <w:pPr>
        <w:ind w:left="720" w:hanging="360"/>
      </w:pPr>
    </w:lvl>
    <w:lvl w:ilvl="1" w:tplc="FB023054">
      <w:start w:val="1"/>
      <w:numFmt w:val="bullet"/>
      <w:lvlText w:val="○"/>
      <w:lvlJc w:val="left"/>
      <w:pPr>
        <w:ind w:left="1440" w:hanging="360"/>
      </w:pPr>
    </w:lvl>
    <w:lvl w:ilvl="2" w:tplc="52643A5A">
      <w:start w:val="1"/>
      <w:numFmt w:val="bullet"/>
      <w:lvlText w:val="■"/>
      <w:lvlJc w:val="left"/>
      <w:pPr>
        <w:ind w:left="2160" w:hanging="360"/>
      </w:pPr>
    </w:lvl>
    <w:lvl w:ilvl="3" w:tplc="E13ECC3C">
      <w:start w:val="1"/>
      <w:numFmt w:val="bullet"/>
      <w:lvlText w:val="●"/>
      <w:lvlJc w:val="left"/>
      <w:pPr>
        <w:ind w:left="2880" w:hanging="360"/>
      </w:pPr>
    </w:lvl>
    <w:lvl w:ilvl="4" w:tplc="B41292E6">
      <w:start w:val="1"/>
      <w:numFmt w:val="bullet"/>
      <w:lvlText w:val="○"/>
      <w:lvlJc w:val="left"/>
      <w:pPr>
        <w:ind w:left="3600" w:hanging="360"/>
      </w:pPr>
    </w:lvl>
    <w:lvl w:ilvl="5" w:tplc="1CF2F91E">
      <w:start w:val="1"/>
      <w:numFmt w:val="bullet"/>
      <w:lvlText w:val="■"/>
      <w:lvlJc w:val="left"/>
      <w:pPr>
        <w:ind w:left="4320" w:hanging="360"/>
      </w:pPr>
    </w:lvl>
    <w:lvl w:ilvl="6" w:tplc="C0AC1796">
      <w:start w:val="1"/>
      <w:numFmt w:val="bullet"/>
      <w:lvlText w:val="●"/>
      <w:lvlJc w:val="left"/>
      <w:pPr>
        <w:ind w:left="5040" w:hanging="360"/>
      </w:pPr>
    </w:lvl>
    <w:lvl w:ilvl="7" w:tplc="33849DB4">
      <w:start w:val="1"/>
      <w:numFmt w:val="bullet"/>
      <w:lvlText w:val="●"/>
      <w:lvlJc w:val="left"/>
      <w:pPr>
        <w:ind w:left="5760" w:hanging="360"/>
      </w:pPr>
    </w:lvl>
    <w:lvl w:ilvl="8" w:tplc="797C2A70">
      <w:start w:val="1"/>
      <w:numFmt w:val="bullet"/>
      <w:lvlText w:val="●"/>
      <w:lvlJc w:val="left"/>
      <w:pPr>
        <w:ind w:left="6480" w:hanging="360"/>
      </w:pPr>
    </w:lvl>
  </w:abstractNum>
  <w:num w:numId="1" w16cid:durableId="984432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9FE"/>
    <w:rsid w:val="002E4AAC"/>
    <w:rsid w:val="009829FE"/>
    <w:rsid w:val="00A77777"/>
    <w:rsid w:val="00DA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FD5C6"/>
  <w15:docId w15:val="{8EE6C66E-705E-4BE8-ABC8-C00C9B6D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imSun" w:eastAsia="SimSun" w:hAnsi="SimSun" w:cs="SimSu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rFonts w:ascii="SimHei" w:eastAsia="SimHei" w:hAnsi="SimHei" w:cs="SimHei"/>
      <w:b/>
      <w:bCs/>
      <w:color w:val="020617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ascii="SimHei" w:eastAsia="SimHei" w:hAnsi="SimHei" w:cs="SimHei"/>
      <w:b/>
      <w:bCs/>
      <w:color w:val="020617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ascii="SimHei" w:eastAsia="SimHei" w:hAnsi="SimHei" w:cs="SimHei"/>
      <w:b/>
      <w:bCs/>
      <w:color w:val="64748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00" w:after="200"/>
      <w:jc w:val="center"/>
    </w:pPr>
    <w:rPr>
      <w:rFonts w:ascii="SimHei" w:eastAsia="SimHei" w:hAnsi="SimHei" w:cs="SimHei"/>
      <w:b/>
      <w:bCs/>
      <w:color w:val="020617"/>
      <w:sz w:val="44"/>
      <w:szCs w:val="44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E4AA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E4AAC"/>
    <w:pPr>
      <w:spacing w:after="100"/>
      <w:ind w:left="240"/>
    </w:pPr>
  </w:style>
  <w:style w:type="paragraph" w:styleId="ac">
    <w:name w:val="header"/>
    <w:basedOn w:val="a"/>
    <w:link w:val="ad"/>
    <w:uiPriority w:val="99"/>
    <w:unhideWhenUsed/>
    <w:rsid w:val="002E4AA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E4AAC"/>
  </w:style>
  <w:style w:type="paragraph" w:styleId="ae">
    <w:name w:val="footer"/>
    <w:basedOn w:val="a"/>
    <w:link w:val="af"/>
    <w:uiPriority w:val="99"/>
    <w:unhideWhenUsed/>
    <w:rsid w:val="002E4AA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E4AAC"/>
  </w:style>
  <w:style w:type="character" w:styleId="af0">
    <w:name w:val="FollowedHyperlink"/>
    <w:basedOn w:val="a0"/>
    <w:uiPriority w:val="99"/>
    <w:semiHidden/>
    <w:unhideWhenUsed/>
    <w:rsid w:val="002E4A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tensorflow/tflite-micro" TargetMode="External"/><Relationship Id="rId18" Type="http://schemas.openxmlformats.org/officeDocument/2006/relationships/hyperlink" Target="https://arxiv.org/abs/2110.01107" TargetMode="External"/><Relationship Id="rId26" Type="http://schemas.openxmlformats.org/officeDocument/2006/relationships/hyperlink" Target="https://proceedings.mlr.press/v139/collins21a/collins21a.pdf" TargetMode="External"/><Relationship Id="rId39" Type="http://schemas.openxmlformats.org/officeDocument/2006/relationships/hyperlink" Target="https://www.mdpi.com/1424-8220/21/11/3622" TargetMode="External"/><Relationship Id="rId21" Type="http://schemas.openxmlformats.org/officeDocument/2006/relationships/hyperlink" Target="https://www.sciencedirect.com/science/article/pii/S1574119223000779" TargetMode="External"/><Relationship Id="rId34" Type="http://schemas.openxmlformats.org/officeDocument/2006/relationships/hyperlink" Target="https://github.com/flwrlabs/flower" TargetMode="External"/><Relationship Id="rId42" Type="http://schemas.openxmlformats.org/officeDocument/2006/relationships/hyperlink" Target="https://github.com/Vaibhavshahvr7/Joint-Angle-prediction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github.com/espressif/esp-n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it-han-lab/tiny-training" TargetMode="External"/><Relationship Id="rId29" Type="http://schemas.openxmlformats.org/officeDocument/2006/relationships/hyperlink" Target="https://github.com/espressif/esp-tflite-micr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gle-parfait/tensorflow-federated" TargetMode="External"/><Relationship Id="rId24" Type="http://schemas.openxmlformats.org/officeDocument/2006/relationships/hyperlink" Target="https://github.com/mit-han-lab/tiny-training" TargetMode="External"/><Relationship Id="rId32" Type="http://schemas.openxmlformats.org/officeDocument/2006/relationships/hyperlink" Target="https://www.espressif.com/sites/default/files/documentation/esp32_datasheet_en.pdf" TargetMode="External"/><Relationship Id="rId37" Type="http://schemas.openxmlformats.org/officeDocument/2006/relationships/hyperlink" Target="https://proceedings.mlr.press/v54/mcmahan17a/mcmahan17a.pdf" TargetMode="External"/><Relationship Id="rId40" Type="http://schemas.openxmlformats.org/officeDocument/2006/relationships/hyperlink" Target="https://github.com/Amged-Elsheikh/EMG-based-Estimation-of-Lower-Limb-Joint-Angles-and-Moments-Using-Long-Short-Term-Memory-Network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espressif/esp-nn" TargetMode="External"/><Relationship Id="rId23" Type="http://schemas.openxmlformats.org/officeDocument/2006/relationships/hyperlink" Target="https://github.com/theyoungkwon/TinyTrain" TargetMode="External"/><Relationship Id="rId28" Type="http://schemas.openxmlformats.org/officeDocument/2006/relationships/hyperlink" Target="https://github.com/tensorflow/tflite-micro" TargetMode="External"/><Relationship Id="rId36" Type="http://schemas.openxmlformats.org/officeDocument/2006/relationships/hyperlink" Target="https://github.com/openmined/pysyft" TargetMode="External"/><Relationship Id="rId10" Type="http://schemas.openxmlformats.org/officeDocument/2006/relationships/hyperlink" Target="https://github.com/flwrlabs/flower" TargetMode="External"/><Relationship Id="rId19" Type="http://schemas.openxmlformats.org/officeDocument/2006/relationships/hyperlink" Target="https://github.com/kavyakvk/TinyFederatedLearning" TargetMode="External"/><Relationship Id="rId31" Type="http://schemas.openxmlformats.org/officeDocument/2006/relationships/hyperlink" Target="https://github.com/espressif/esp-dsp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ensorflow/tflite-micro" TargetMode="External"/><Relationship Id="rId14" Type="http://schemas.openxmlformats.org/officeDocument/2006/relationships/hyperlink" Target="https://github.com/espressif/esp-tflite-micro" TargetMode="External"/><Relationship Id="rId22" Type="http://schemas.openxmlformats.org/officeDocument/2006/relationships/hyperlink" Target="https://arxiv.org/pdf/2210.01961" TargetMode="External"/><Relationship Id="rId27" Type="http://schemas.openxmlformats.org/officeDocument/2006/relationships/hyperlink" Target="https://proceedings.mlr.press/v162/pillutla22a/pillutla22a.pdf" TargetMode="External"/><Relationship Id="rId30" Type="http://schemas.openxmlformats.org/officeDocument/2006/relationships/hyperlink" Target="https://github.com/espressif/esp-nn" TargetMode="External"/><Relationship Id="rId35" Type="http://schemas.openxmlformats.org/officeDocument/2006/relationships/hyperlink" Target="https://github.com/google-parfait/tensorflow-federated" TargetMode="External"/><Relationship Id="rId43" Type="http://schemas.openxmlformats.org/officeDocument/2006/relationships/hyperlink" Target="https://www.nature.com/articles/s41597-026-06687-5" TargetMode="External"/><Relationship Id="rId8" Type="http://schemas.openxmlformats.org/officeDocument/2006/relationships/hyperlink" Target="https://github.com/espressif/esp-tflite-micro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openmined/pysyft" TargetMode="External"/><Relationship Id="rId17" Type="http://schemas.openxmlformats.org/officeDocument/2006/relationships/hyperlink" Target="https://github.com/theyoungkwon/TinyTrain" TargetMode="External"/><Relationship Id="rId25" Type="http://schemas.openxmlformats.org/officeDocument/2006/relationships/hyperlink" Target="https://arxiv.org/abs/1912.00818" TargetMode="External"/><Relationship Id="rId33" Type="http://schemas.openxmlformats.org/officeDocument/2006/relationships/hyperlink" Target="https://cdn-shop.adafruit.com/product-files/5477/esp32-s3_datasheet_en.pdf" TargetMode="External"/><Relationship Id="rId38" Type="http://schemas.openxmlformats.org/officeDocument/2006/relationships/hyperlink" Target="https://github.com/litian96/FedProx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mdpi.com/2079-9292/11/4/573" TargetMode="External"/><Relationship Id="rId41" Type="http://schemas.openxmlformats.org/officeDocument/2006/relationships/hyperlink" Target="https://github.com/CMU-MBL/JointAnglePrediction_JO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4461</Words>
  <Characters>25430</Characters>
  <Application>Microsoft Office Word</Application>
  <DocSecurity>0</DocSecurity>
  <Lines>211</Lines>
  <Paragraphs>59</Paragraphs>
  <ScaleCrop>false</ScaleCrop>
  <Company/>
  <LinksUpToDate>false</LinksUpToDate>
  <CharactersWithSpaces>29832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Корнилов</cp:lastModifiedBy>
  <cp:revision>3</cp:revision>
  <dcterms:created xsi:type="dcterms:W3CDTF">2026-03-27T07:54:00Z</dcterms:created>
  <dcterms:modified xsi:type="dcterms:W3CDTF">2026-03-27T08:01:00Z</dcterms:modified>
</cp:coreProperties>
</file>