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EDE765">
      <w:pPr>
        <w:tabs>
          <w:tab w:val="center" w:pos="14459"/>
        </w:tabs>
        <w:spacing w:after="0"/>
        <w:jc w:val="center"/>
        <w:rPr>
          <w:rFonts w:ascii="Times New Roman" w:hAnsi="Times New Roman" w:eastAsia="Times New Roman" w:cs="Times New Roman"/>
          <w:b/>
          <w:color w:val="000000"/>
          <w:lang w:eastAsia="ru-RU"/>
        </w:rPr>
      </w:pPr>
      <w:bookmarkStart w:id="0" w:name="X3d6f75a24004814f5f008e484ae0eeff8411f4b"/>
    </w:p>
    <w:p w14:paraId="11D2C48B">
      <w:pPr>
        <w:pStyle w:val="74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 w:eastAsiaTheme="minorHAnsi"/>
          <w:b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4482465</wp:posOffset>
            </wp:positionH>
            <wp:positionV relativeFrom="paragraph">
              <wp:posOffset>3810</wp:posOffset>
            </wp:positionV>
            <wp:extent cx="1565275" cy="420370"/>
            <wp:effectExtent l="0" t="0" r="0" b="0"/>
            <wp:wrapTight wrapText="bothSides">
              <wp:wrapPolygon>
                <wp:start x="2629" y="0"/>
                <wp:lineTo x="0" y="2937"/>
                <wp:lineTo x="0" y="19577"/>
                <wp:lineTo x="2103" y="20556"/>
                <wp:lineTo x="4732" y="20556"/>
                <wp:lineTo x="16561" y="20556"/>
                <wp:lineTo x="21293" y="19577"/>
                <wp:lineTo x="21293" y="979"/>
                <wp:lineTo x="21030" y="0"/>
                <wp:lineTo x="2629" y="0"/>
              </wp:wrapPolygon>
            </wp:wrapTight>
            <wp:docPr id="1576124708" name="Рисунок 4" descr="Изображение выглядит как Графика, Шрифт, текст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24708" name="Рисунок 4" descr="Изображение выглядит как Графика, Шрифт, текст, графический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5275" cy="4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CABA79">
      <w:pPr>
        <w:pStyle w:val="74"/>
        <w:jc w:val="center"/>
        <w:rPr>
          <w:rFonts w:ascii="Times New Roman" w:hAnsi="Times New Roman" w:cs="Times New Roman"/>
          <w:color w:val="auto"/>
        </w:rPr>
      </w:pPr>
    </w:p>
    <w:p w14:paraId="456093B7">
      <w:pPr>
        <w:pStyle w:val="74"/>
        <w:jc w:val="center"/>
        <w:rPr>
          <w:rFonts w:ascii="Times New Roman" w:hAnsi="Times New Roman" w:cs="Times New Roman"/>
          <w:color w:val="auto"/>
        </w:rPr>
      </w:pPr>
    </w:p>
    <w:p w14:paraId="250FB291">
      <w:pPr>
        <w:pStyle w:val="74"/>
        <w:jc w:val="center"/>
        <w:rPr>
          <w:rFonts w:ascii="Times New Roman" w:hAnsi="Times New Roman" w:cs="Times New Roman"/>
          <w:color w:val="auto"/>
        </w:rPr>
      </w:pPr>
    </w:p>
    <w:p w14:paraId="66422B68">
      <w:pPr>
        <w:pStyle w:val="74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ФЕДЕРАЛЬНОЕ ГОСУДАРСТВЕННОЕ АВТОНОМНОЕ ОБРАЗОВАТЕЛЬНОЕ УЧРЕЖДЕНИЕ ВЫСШЕГО ОБРАЗОВАНИЯ</w:t>
      </w:r>
    </w:p>
    <w:p w14:paraId="1388209B">
      <w:pPr>
        <w:pStyle w:val="74"/>
        <w:jc w:val="center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ПЕРВЫЙ МОСКОВСКИЙ ГОСУДАРСТВЕННЫЙ МЕДИЦИНСКИЙ</w:t>
      </w:r>
    </w:p>
    <w:p w14:paraId="68579C65">
      <w:pPr>
        <w:pStyle w:val="75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УНИВЕРСИТЕТ ИМЕНИ И.М.СЕЧЕНОВА</w:t>
      </w:r>
    </w:p>
    <w:p w14:paraId="0417B07A">
      <w:pPr>
        <w:pStyle w:val="74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МИНИСТЕРСТВО ЗДРАВООХРАНЕНИЯ РОССИЙСКОЙ ФЕДЕРАЦИИ</w:t>
      </w:r>
    </w:p>
    <w:p w14:paraId="1BD9ED5F">
      <w:pPr>
        <w:pStyle w:val="74"/>
        <w:jc w:val="center"/>
        <w:rPr>
          <w:rFonts w:ascii="Times New Roman" w:hAnsi="Times New Roman" w:cs="Times New Roman"/>
          <w:b/>
          <w:color w:val="auto"/>
        </w:rPr>
      </w:pPr>
      <w:r>
        <w:rPr>
          <w:rFonts w:ascii="Times New Roman" w:hAnsi="Times New Roman" w:cs="Times New Roman"/>
          <w:b/>
          <w:color w:val="auto"/>
        </w:rPr>
        <w:t>(СЕЧЕНОВСКИЙ УНИВЕРСИТЕТ)</w:t>
      </w:r>
    </w:p>
    <w:p w14:paraId="12742012">
      <w:pPr>
        <w:tabs>
          <w:tab w:val="center" w:pos="14459"/>
        </w:tabs>
        <w:spacing w:after="0"/>
        <w:jc w:val="center"/>
        <w:rPr>
          <w:rFonts w:ascii="Times New Roman" w:hAnsi="Times New Roman" w:eastAsia="Times New Roman" w:cs="Times New Roman"/>
          <w:bCs/>
          <w:lang w:val="ru-RU" w:eastAsia="ru-RU"/>
        </w:rPr>
      </w:pPr>
    </w:p>
    <w:p w14:paraId="0BFEFBC1">
      <w:pPr>
        <w:jc w:val="center"/>
        <w:rPr>
          <w:rFonts w:ascii="Times New Roman" w:hAnsi="Times New Roman" w:cs="Times New Roman"/>
          <w:b/>
          <w:bCs/>
          <w:color w:val="000000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lang w:val="ru-RU"/>
        </w:rPr>
        <w:t>ПРАКТИЧЕСКАЯ РАБОТА</w:t>
      </w:r>
    </w:p>
    <w:p w14:paraId="30508DE7">
      <w:pPr>
        <w:spacing w:after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Разработка системы поддержки принятия врачебных решений для оценки рисков сердечно-сосудистых заболеваний с применением алгоритмов машинного обучения</w:t>
      </w:r>
    </w:p>
    <w:p w14:paraId="3EE49982">
      <w:pPr>
        <w:spacing w:after="0"/>
        <w:jc w:val="center"/>
        <w:rPr>
          <w:rFonts w:hint="default" w:ascii="Times New Roman" w:hAnsi="Times New Roman" w:eastAsia="SimSun" w:cs="Times New Roman"/>
          <w:sz w:val="28"/>
          <w:szCs w:val="28"/>
        </w:rPr>
      </w:pPr>
    </w:p>
    <w:p w14:paraId="2163BB7B">
      <w:pPr>
        <w:spacing w:after="0"/>
        <w:jc w:val="center"/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1D60926A">
      <w:pPr>
        <w:tabs>
          <w:tab w:val="center" w:pos="14459"/>
        </w:tabs>
        <w:spacing w:after="0"/>
        <w:rPr>
          <w:rFonts w:ascii="Times New Roman" w:hAnsi="Times New Roman" w:eastAsia="Times New Roman" w:cs="Times New Roman"/>
          <w:bCs/>
          <w:lang w:val="ru-RU" w:eastAsia="ru-RU"/>
        </w:rPr>
      </w:pPr>
      <w:r>
        <w:rPr>
          <w:rFonts w:ascii="Times New Roman" w:hAnsi="Times New Roman" w:eastAsia="Times New Roman" w:cs="Times New Roman"/>
          <w:bCs/>
          <w:lang w:val="ru-RU" w:eastAsia="ru-RU"/>
        </w:rPr>
        <w:t xml:space="preserve">НАПРАВЛЕНИЕ ПОДГОТОВКИ/СПЕЦИАЛЬНОСТЬ </w:t>
      </w:r>
    </w:p>
    <w:p w14:paraId="1CDDA887">
      <w:pPr>
        <w:tabs>
          <w:tab w:val="center" w:pos="14459"/>
        </w:tabs>
        <w:spacing w:after="0"/>
        <w:rPr>
          <w:rFonts w:ascii="Times New Roman" w:hAnsi="Times New Roman" w:eastAsia="Times New Roman" w:cs="Times New Roman"/>
          <w:bCs/>
          <w:lang w:val="ru-RU" w:eastAsia="ru-RU"/>
        </w:rPr>
      </w:pPr>
    </w:p>
    <w:p w14:paraId="7E970979">
      <w:pPr>
        <w:tabs>
          <w:tab w:val="center" w:pos="14459"/>
        </w:tabs>
        <w:spacing w:after="0"/>
        <w:jc w:val="center"/>
        <w:rPr>
          <w:rFonts w:ascii="Times New Roman" w:hAnsi="Times New Roman" w:eastAsia="Times New Roman" w:cs="Times New Roman"/>
          <w:u w:val="single"/>
          <w:lang w:val="ru-RU" w:eastAsia="ru-RU"/>
        </w:rPr>
      </w:pPr>
      <w:r>
        <w:rPr>
          <w:rFonts w:ascii="Times New Roman" w:hAnsi="Times New Roman" w:eastAsia="Times New Roman" w:cs="Times New Roman"/>
          <w:u w:val="single"/>
          <w:lang w:val="ru-RU" w:eastAsia="ru-RU"/>
        </w:rPr>
        <w:t>09.03.02 Информационные системы и технологии</w:t>
      </w:r>
    </w:p>
    <w:p w14:paraId="03535D46">
      <w:pPr>
        <w:tabs>
          <w:tab w:val="center" w:pos="14459"/>
        </w:tabs>
        <w:spacing w:after="0"/>
        <w:jc w:val="center"/>
        <w:rPr>
          <w:rFonts w:ascii="Times New Roman" w:hAnsi="Times New Roman" w:eastAsia="Times New Roman" w:cs="Times New Roman"/>
          <w:bCs/>
          <w:i/>
          <w:lang w:val="ru-RU" w:eastAsia="ru-RU"/>
        </w:rPr>
      </w:pPr>
      <w:r>
        <w:rPr>
          <w:rFonts w:ascii="Times New Roman" w:hAnsi="Times New Roman" w:eastAsia="Times New Roman" w:cs="Times New Roman"/>
          <w:bCs/>
          <w:i/>
          <w:lang w:val="ru-RU" w:eastAsia="ru-RU"/>
        </w:rPr>
        <w:t>(код и наименование направления подготовки/специальности)</w:t>
      </w:r>
    </w:p>
    <w:p w14:paraId="302DF2B7">
      <w:pPr>
        <w:spacing w:after="0"/>
        <w:rPr>
          <w:rFonts w:ascii="Times New Roman" w:hAnsi="Times New Roman" w:eastAsia="Times New Roman" w:cs="Times New Roman"/>
          <w:bCs/>
          <w:lang w:val="ru-RU" w:eastAsia="ru-RU"/>
        </w:rPr>
      </w:pPr>
    </w:p>
    <w:p w14:paraId="6DC5175E">
      <w:pPr>
        <w:shd w:val="clear" w:color="auto" w:fill="FFFFFF"/>
        <w:rPr>
          <w:rFonts w:ascii="Times New Roman" w:hAnsi="Times New Roman" w:cs="Times New Roman"/>
          <w:color w:val="000000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lang w:val="ru-RU"/>
        </w:rPr>
        <w:t>«Допущен к защите»</w:t>
      </w:r>
      <w:r>
        <w:rPr>
          <w:rFonts w:ascii="Times New Roman" w:hAnsi="Times New Roman" w:cs="Times New Roman"/>
          <w:color w:val="000000"/>
          <w:lang w:val="ru-RU"/>
        </w:rPr>
        <w:tab/>
      </w:r>
      <w:r>
        <w:rPr>
          <w:rFonts w:ascii="Times New Roman" w:hAnsi="Times New Roman" w:cs="Times New Roman"/>
          <w:color w:val="000000"/>
          <w:lang w:val="ru-RU"/>
        </w:rPr>
        <w:tab/>
      </w:r>
      <w:r>
        <w:rPr>
          <w:rFonts w:ascii="Times New Roman" w:hAnsi="Times New Roman" w:cs="Times New Roman"/>
          <w:color w:val="000000"/>
          <w:lang w:val="ru-RU"/>
        </w:rPr>
        <w:tab/>
      </w:r>
      <w:r>
        <w:rPr>
          <w:rFonts w:ascii="Times New Roman" w:hAnsi="Times New Roman" w:cs="Times New Roman"/>
          <w:color w:val="000000"/>
          <w:lang w:val="ru-RU"/>
        </w:rPr>
        <w:t xml:space="preserve"> </w:t>
      </w:r>
    </w:p>
    <w:p w14:paraId="3D1E6D88">
      <w:pPr>
        <w:shd w:val="clear" w:color="auto" w:fill="FFFFFF"/>
        <w:rPr>
          <w:rFonts w:ascii="Times New Roman" w:hAnsi="Times New Roman" w:cs="Times New Roman"/>
          <w:color w:val="000000"/>
          <w:u w:val="single"/>
          <w:lang w:val="ru-RU"/>
        </w:rPr>
      </w:pPr>
      <w:r>
        <w:rPr>
          <w:rFonts w:ascii="Times New Roman" w:hAnsi="Times New Roman" w:cs="Times New Roman"/>
          <w:color w:val="000000"/>
          <w:lang w:val="ru-RU"/>
        </w:rPr>
        <w:t>Исполнитель:</w:t>
      </w:r>
      <w:r>
        <w:rPr>
          <w:rFonts w:ascii="Times New Roman" w:hAnsi="Times New Roman" w:cs="Times New Roman"/>
          <w:color w:val="000000"/>
          <w:lang w:val="ru-RU"/>
        </w:rPr>
        <w:tab/>
      </w:r>
      <w:r>
        <w:rPr>
          <w:rFonts w:ascii="Times New Roman" w:hAnsi="Times New Roman" w:cs="Times New Roman"/>
          <w:color w:val="000000"/>
          <w:lang w:val="ru-RU"/>
        </w:rPr>
        <w:tab/>
      </w:r>
      <w:r>
        <w:rPr>
          <w:rFonts w:ascii="Times New Roman" w:hAnsi="Times New Roman" w:cs="Times New Roman"/>
          <w:color w:val="000000"/>
          <w:lang w:val="ru-RU"/>
        </w:rPr>
        <w:tab/>
      </w:r>
      <w:r>
        <w:rPr>
          <w:rFonts w:ascii="Times New Roman" w:hAnsi="Times New Roman" w:cs="Times New Roman"/>
          <w:color w:val="000000"/>
          <w:lang w:val="ru-RU"/>
        </w:rPr>
        <w:tab/>
      </w:r>
      <w:r>
        <w:rPr>
          <w:rFonts w:ascii="Times New Roman" w:hAnsi="Times New Roman" w:cs="Times New Roman"/>
          <w:color w:val="000000"/>
          <w:lang w:val="ru-RU"/>
        </w:rPr>
        <w:t xml:space="preserve"> </w:t>
      </w:r>
    </w:p>
    <w:p w14:paraId="535CC1F6">
      <w:pPr>
        <w:shd w:val="clear" w:color="auto" w:fill="FFFFFF"/>
        <w:rPr>
          <w:rFonts w:ascii="Times New Roman" w:hAnsi="Times New Roman" w:cs="Times New Roman"/>
          <w:color w:val="000000"/>
          <w:u w:val="single"/>
          <w:lang w:val="ru-RU"/>
        </w:rPr>
      </w:pPr>
      <w:r>
        <w:rPr>
          <w:rFonts w:ascii="Times New Roman" w:hAnsi="Times New Roman" w:eastAsia="Times New Roman" w:cs="Times New Roman"/>
          <w:bCs/>
          <w:iCs/>
          <w:u w:val="single"/>
          <w:lang w:val="ru-RU"/>
        </w:rPr>
        <w:t>Лыткин Иван Александрович</w:t>
      </w:r>
    </w:p>
    <w:p w14:paraId="2889E61E">
      <w:pPr>
        <w:shd w:val="clear" w:color="auto" w:fill="FFFFFF"/>
        <w:ind w:firstLine="708"/>
        <w:rPr>
          <w:rFonts w:ascii="Times New Roman" w:hAnsi="Times New Roman" w:cs="Times New Roman"/>
          <w:color w:val="000000"/>
          <w:lang w:val="ru-RU"/>
        </w:rPr>
      </w:pPr>
      <w:r>
        <w:rPr>
          <w:rFonts w:ascii="Times New Roman" w:hAnsi="Times New Roman" w:cs="Times New Roman"/>
          <w:color w:val="000000"/>
          <w:lang w:val="ru-RU"/>
        </w:rPr>
        <w:t>Ф.И.О, подпись</w:t>
      </w:r>
    </w:p>
    <w:p w14:paraId="4D4DC804">
      <w:pPr>
        <w:shd w:val="clear" w:color="auto" w:fill="FFFFFF"/>
        <w:rPr>
          <w:rFonts w:ascii="Times New Roman" w:hAnsi="Times New Roman" w:cs="Times New Roman"/>
          <w:color w:val="000000"/>
          <w:lang w:val="ru-RU"/>
        </w:rPr>
      </w:pPr>
      <w:r>
        <w:rPr>
          <w:rFonts w:ascii="Times New Roman" w:hAnsi="Times New Roman" w:cs="Times New Roman"/>
          <w:color w:val="000000"/>
          <w:lang w:val="ru-RU"/>
        </w:rPr>
        <w:t xml:space="preserve"> (гр.636-01, очная форма подготовки)</w:t>
      </w:r>
      <w:r>
        <w:rPr>
          <w:rFonts w:ascii="Times New Roman" w:hAnsi="Times New Roman" w:cs="Times New Roman"/>
          <w:color w:val="000000"/>
          <w:lang w:val="ru-RU"/>
        </w:rPr>
        <w:tab/>
      </w:r>
      <w:r>
        <w:rPr>
          <w:rFonts w:ascii="Times New Roman" w:hAnsi="Times New Roman" w:cs="Times New Roman"/>
          <w:color w:val="000000"/>
          <w:lang w:val="ru-RU"/>
        </w:rPr>
        <w:tab/>
      </w:r>
      <w:r>
        <w:rPr>
          <w:rFonts w:ascii="Times New Roman" w:hAnsi="Times New Roman" w:cs="Times New Roman"/>
          <w:color w:val="000000"/>
          <w:lang w:val="ru-RU"/>
        </w:rPr>
        <w:tab/>
      </w:r>
      <w:r>
        <w:rPr>
          <w:rFonts w:ascii="Times New Roman" w:hAnsi="Times New Roman" w:cs="Times New Roman"/>
          <w:color w:val="000000"/>
          <w:lang w:val="ru-RU"/>
        </w:rPr>
        <w:tab/>
      </w:r>
      <w:r>
        <w:rPr>
          <w:rFonts w:ascii="Times New Roman" w:hAnsi="Times New Roman" w:cs="Times New Roman"/>
          <w:color w:val="000000"/>
          <w:lang w:val="ru-RU"/>
        </w:rPr>
        <w:tab/>
      </w:r>
    </w:p>
    <w:p w14:paraId="3BFF275B">
      <w:pPr>
        <w:shd w:val="clear" w:color="auto" w:fill="FFFFFF"/>
        <w:rPr>
          <w:rFonts w:ascii="Times New Roman" w:hAnsi="Times New Roman" w:cs="Times New Roman"/>
          <w:color w:val="000000"/>
          <w:lang w:val="ru-RU"/>
        </w:rPr>
      </w:pPr>
    </w:p>
    <w:p w14:paraId="4695A919">
      <w:pPr>
        <w:shd w:val="clear" w:color="auto" w:fill="FFFFFF"/>
        <w:rPr>
          <w:rFonts w:ascii="Times New Roman" w:hAnsi="Times New Roman" w:cs="Times New Roman"/>
          <w:b/>
          <w:bCs/>
          <w:color w:val="000000"/>
          <w:u w:val="single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lang w:val="ru-RU"/>
        </w:rPr>
        <w:t>Преподаватель:</w:t>
      </w:r>
    </w:p>
    <w:p w14:paraId="7684F228">
      <w:pPr>
        <w:shd w:val="clear" w:color="auto" w:fill="FFFFFF"/>
        <w:rPr>
          <w:rFonts w:ascii="Times New Roman" w:hAnsi="Times New Roman" w:cs="Times New Roman"/>
          <w:color w:val="000000"/>
          <w:u w:val="single"/>
          <w:lang w:val="ru-RU"/>
        </w:rPr>
      </w:pPr>
      <w:r>
        <w:rPr>
          <w:color w:val="000000"/>
          <w:sz w:val="24"/>
          <w:szCs w:val="24"/>
          <w:u w:val="single"/>
        </w:rPr>
        <w:t>Андриков Денис Анатольевич</w:t>
      </w:r>
      <w:r>
        <w:rPr>
          <w:rFonts w:ascii="Times New Roman" w:hAnsi="Times New Roman" w:cs="Times New Roman"/>
          <w:color w:val="000000"/>
          <w:u w:val="single"/>
          <w:lang w:val="ru-RU"/>
        </w:rPr>
        <w:tab/>
      </w:r>
      <w:r>
        <w:rPr>
          <w:rFonts w:ascii="Times New Roman" w:hAnsi="Times New Roman" w:cs="Times New Roman"/>
          <w:color w:val="000000"/>
          <w:u w:val="single"/>
          <w:lang w:val="ru-RU"/>
        </w:rPr>
        <w:tab/>
      </w:r>
      <w:r>
        <w:rPr>
          <w:rFonts w:ascii="Times New Roman" w:hAnsi="Times New Roman" w:cs="Times New Roman"/>
          <w:color w:val="000000"/>
          <w:u w:val="single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u w:val="single"/>
          <w:lang w:val="ru-RU"/>
        </w:rPr>
        <w:tab/>
      </w:r>
    </w:p>
    <w:p w14:paraId="654ACCB5">
      <w:pPr>
        <w:shd w:val="clear" w:color="auto" w:fill="FFFFFF"/>
        <w:ind w:left="1416" w:hanging="1416"/>
        <w:rPr>
          <w:rFonts w:ascii="Times New Roman" w:hAnsi="Times New Roman" w:cs="Times New Roman"/>
          <w:color w:val="000000"/>
          <w:lang w:val="ru-RU"/>
        </w:rPr>
      </w:pPr>
      <w:r>
        <w:rPr>
          <w:color w:val="000000"/>
          <w:sz w:val="24"/>
          <w:szCs w:val="24"/>
          <w:u w:val="single"/>
        </w:rPr>
        <w:t>Старший преподаватель</w:t>
      </w:r>
      <w:r>
        <w:rPr>
          <w:rFonts w:ascii="Times New Roman" w:hAnsi="Times New Roman" w:cs="Times New Roman"/>
          <w:color w:val="000000"/>
          <w:u w:val="single"/>
          <w:lang w:val="ru-RU"/>
        </w:rPr>
        <w:tab/>
      </w:r>
      <w:r>
        <w:rPr>
          <w:rFonts w:ascii="Times New Roman" w:hAnsi="Times New Roman" w:cs="Times New Roman"/>
          <w:color w:val="000000"/>
          <w:u w:val="single"/>
          <w:lang w:val="ru-RU"/>
        </w:rPr>
        <w:t xml:space="preserve">                             </w:t>
      </w:r>
      <w:r>
        <w:rPr>
          <w:rFonts w:ascii="Times New Roman" w:hAnsi="Times New Roman" w:cs="Times New Roman"/>
          <w:color w:val="000000"/>
          <w:u w:val="single"/>
          <w:lang w:val="ru-RU"/>
        </w:rPr>
        <w:tab/>
      </w:r>
      <w:r>
        <w:rPr>
          <w:rFonts w:ascii="Times New Roman" w:hAnsi="Times New Roman" w:cs="Times New Roman"/>
          <w:color w:val="000000"/>
          <w:u w:val="single"/>
          <w:lang w:val="ru-RU"/>
        </w:rPr>
        <w:tab/>
      </w:r>
      <w:r>
        <w:rPr>
          <w:rFonts w:ascii="Times New Roman" w:hAnsi="Times New Roman" w:cs="Times New Roman"/>
          <w:color w:val="000000"/>
          <w:u w:val="single"/>
          <w:lang w:val="ru-RU"/>
        </w:rPr>
        <w:t xml:space="preserve">      </w:t>
      </w:r>
      <w:r>
        <w:rPr>
          <w:rFonts w:ascii="Times New Roman" w:hAnsi="Times New Roman" w:cs="Times New Roman"/>
          <w:color w:val="000000"/>
          <w:u w:val="single"/>
          <w:lang w:val="ru-RU"/>
        </w:rPr>
        <w:tab/>
      </w:r>
    </w:p>
    <w:p w14:paraId="019C366A">
      <w:pPr>
        <w:shd w:val="clear" w:color="auto" w:fill="FFFFFF"/>
        <w:rPr>
          <w:rFonts w:ascii="Times New Roman" w:hAnsi="Times New Roman" w:cs="Times New Roman"/>
          <w:color w:val="000000"/>
          <w:lang w:val="ru-RU"/>
        </w:rPr>
      </w:pPr>
      <w:r>
        <w:rPr>
          <w:rFonts w:ascii="Times New Roman" w:hAnsi="Times New Roman" w:cs="Times New Roman"/>
          <w:color w:val="000000"/>
          <w:lang w:val="ru-RU"/>
        </w:rPr>
        <w:t>Ф.И.О., уч. степень, уч. звание, подпись</w:t>
      </w:r>
    </w:p>
    <w:p w14:paraId="60E0413F">
      <w:pPr>
        <w:shd w:val="clear" w:color="auto" w:fill="FFFFFF"/>
        <w:ind w:left="1416" w:hanging="1416"/>
        <w:rPr>
          <w:rFonts w:ascii="Times New Roman" w:hAnsi="Times New Roman" w:cs="Times New Roman"/>
          <w:b/>
          <w:bCs/>
          <w:color w:val="000000"/>
          <w:lang w:val="ru-RU"/>
        </w:rPr>
      </w:pPr>
      <w:r>
        <w:rPr>
          <w:rFonts w:ascii="Times New Roman" w:hAnsi="Times New Roman" w:cs="Times New Roman"/>
          <w:b/>
          <w:bCs/>
          <w:color w:val="000000"/>
          <w:lang w:val="ru-RU"/>
        </w:rPr>
        <w:t>«Прошел защиту»</w:t>
      </w:r>
    </w:p>
    <w:p w14:paraId="1633E555">
      <w:pPr>
        <w:shd w:val="clear" w:color="auto" w:fill="FFFFFF"/>
        <w:ind w:left="1416" w:hanging="1416"/>
        <w:rPr>
          <w:rFonts w:ascii="Times New Roman" w:hAnsi="Times New Roman" w:cs="Times New Roman"/>
          <w:color w:val="000000"/>
          <w:lang w:val="ru-RU"/>
        </w:rPr>
      </w:pPr>
      <w:r>
        <w:rPr>
          <w:rFonts w:ascii="Times New Roman" w:hAnsi="Times New Roman" w:cs="Times New Roman"/>
          <w:color w:val="000000"/>
          <w:lang w:val="ru-RU"/>
        </w:rPr>
        <w:t>Оценка</w:t>
      </w:r>
      <w:r>
        <w:rPr>
          <w:rFonts w:ascii="Times New Roman" w:hAnsi="Times New Roman" w:cs="Times New Roman"/>
          <w:color w:val="000000"/>
          <w:u w:val="single"/>
          <w:lang w:val="ru-RU"/>
        </w:rPr>
        <w:tab/>
      </w:r>
      <w:r>
        <w:rPr>
          <w:rFonts w:ascii="Times New Roman" w:hAnsi="Times New Roman" w:cs="Times New Roman"/>
          <w:color w:val="000000"/>
          <w:u w:val="single"/>
          <w:lang w:val="ru-RU"/>
        </w:rPr>
        <w:tab/>
      </w:r>
      <w:r>
        <w:rPr>
          <w:rFonts w:ascii="Times New Roman" w:hAnsi="Times New Roman" w:cs="Times New Roman"/>
          <w:color w:val="000000"/>
          <w:u w:val="single"/>
          <w:lang w:val="ru-RU"/>
        </w:rPr>
        <w:tab/>
      </w:r>
      <w:r>
        <w:rPr>
          <w:rFonts w:ascii="Times New Roman" w:hAnsi="Times New Roman" w:cs="Times New Roman"/>
          <w:color w:val="000000"/>
          <w:u w:val="single"/>
          <w:lang w:val="ru-RU"/>
        </w:rPr>
        <w:tab/>
      </w:r>
      <w:r>
        <w:rPr>
          <w:rFonts w:ascii="Times New Roman" w:hAnsi="Times New Roman" w:cs="Times New Roman"/>
          <w:color w:val="000000"/>
          <w:u w:val="single"/>
          <w:lang w:val="ru-RU"/>
        </w:rPr>
        <w:tab/>
      </w:r>
      <w:r>
        <w:rPr>
          <w:rFonts w:ascii="Times New Roman" w:hAnsi="Times New Roman" w:cs="Times New Roman"/>
          <w:color w:val="000000"/>
          <w:u w:val="single"/>
          <w:lang w:val="ru-RU"/>
        </w:rPr>
        <w:tab/>
      </w:r>
    </w:p>
    <w:p w14:paraId="2FB89319">
      <w:pPr>
        <w:spacing w:before="100" w:beforeAutospacing="1" w:after="100" w:afterAutospacing="1"/>
        <w:jc w:val="center"/>
        <w:rPr>
          <w:rFonts w:hint="default"/>
        </w:rPr>
      </w:pPr>
      <w:r>
        <w:rPr>
          <w:rFonts w:ascii="Times New Roman" w:hAnsi="Times New Roman" w:cs="Times New Roman"/>
          <w:b/>
          <w:bCs/>
          <w:color w:val="000000"/>
          <w:lang w:val="ru-RU"/>
        </w:rPr>
        <w:t>Москва, 202</w:t>
      </w:r>
      <w:r>
        <w:rPr>
          <w:rFonts w:hint="default" w:ascii="Times New Roman" w:hAnsi="Times New Roman" w:cs="Times New Roman"/>
          <w:b/>
          <w:bCs/>
          <w:color w:val="000000"/>
          <w:lang w:val="ru-RU"/>
        </w:rPr>
        <w:t>6</w:t>
      </w:r>
      <w:r>
        <w:rPr>
          <w:rFonts w:ascii="Times New Roman" w:hAnsi="Times New Roman" w:cs="Times New Roman"/>
          <w:lang w:val="ru-RU"/>
        </w:rPr>
        <w:br w:type="page"/>
      </w:r>
      <w:bookmarkEnd w:id="0"/>
    </w:p>
    <w:p w14:paraId="6A2DD156">
      <w:pPr>
        <w:pStyle w:val="25"/>
        <w:rPr>
          <w:rFonts w:hint="default"/>
        </w:rPr>
      </w:pPr>
      <w:r>
        <w:rPr>
          <w:rFonts w:hint="default"/>
        </w:rPr>
        <w:t>ВВЕДЕНИЕ</w:t>
      </w:r>
    </w:p>
    <w:p w14:paraId="05EAD3F8">
      <w:pPr>
        <w:pStyle w:val="25"/>
        <w:rPr>
          <w:rFonts w:hint="default"/>
        </w:rPr>
      </w:pPr>
    </w:p>
    <w:p w14:paraId="7E5677DC">
      <w:pPr>
        <w:pStyle w:val="25"/>
        <w:rPr>
          <w:rFonts w:hint="default"/>
        </w:rPr>
      </w:pPr>
      <w:r>
        <w:rPr>
          <w:rFonts w:hint="default"/>
        </w:rPr>
        <w:t>ГЛАВА 1. ТЕОРЕТИЧЕСКИЕ ОСНОВЫ ПРОГНОЗИРОВАНИЯ В КАРДИОЛОГИИ</w:t>
      </w:r>
    </w:p>
    <w:p w14:paraId="75664D86">
      <w:pPr>
        <w:pStyle w:val="25"/>
        <w:rPr>
          <w:rFonts w:hint="default"/>
        </w:rPr>
      </w:pPr>
      <w:r>
        <w:rPr>
          <w:rFonts w:hint="default"/>
        </w:rPr>
        <w:t>1.1. Обзор существующих методов оценки рисков</w:t>
      </w:r>
    </w:p>
    <w:p w14:paraId="4963BF57">
      <w:pPr>
        <w:pStyle w:val="25"/>
        <w:rPr>
          <w:rFonts w:hint="default"/>
        </w:rPr>
      </w:pPr>
      <w:r>
        <w:rPr>
          <w:rFonts w:hint="default"/>
        </w:rPr>
        <w:t>1.2. Роль систем поддержки принятия врачебных решений в современном здравоохранении</w:t>
      </w:r>
    </w:p>
    <w:p w14:paraId="369CA446">
      <w:pPr>
        <w:pStyle w:val="25"/>
        <w:rPr>
          <w:rFonts w:hint="default"/>
        </w:rPr>
      </w:pPr>
      <w:r>
        <w:rPr>
          <w:rFonts w:hint="default"/>
        </w:rPr>
        <w:t>1.3. Проблема «черного ящика» и необходимость интерпретируемых моделей</w:t>
      </w:r>
    </w:p>
    <w:p w14:paraId="1381A22A">
      <w:pPr>
        <w:pStyle w:val="3"/>
        <w:rPr>
          <w:rFonts w:hint="default"/>
        </w:rPr>
      </w:pPr>
    </w:p>
    <w:p w14:paraId="23814697">
      <w:pPr>
        <w:pStyle w:val="25"/>
        <w:rPr>
          <w:rFonts w:hint="default"/>
        </w:rPr>
      </w:pPr>
      <w:r>
        <w:rPr>
          <w:rFonts w:hint="default"/>
        </w:rPr>
        <w:t>ГЛАВА 2. МЕТОДОЛОГИЯ РАЗРАБОТКИ МОДЕЛИ НА ОСНОВЕ CATBOOST</w:t>
      </w:r>
    </w:p>
    <w:p w14:paraId="15E9FAB0">
      <w:pPr>
        <w:pStyle w:val="25"/>
        <w:rPr>
          <w:rFonts w:hint="default"/>
        </w:rPr>
      </w:pPr>
      <w:r>
        <w:rPr>
          <w:rFonts w:hint="default"/>
        </w:rPr>
        <w:t>2.1. Описание алгоритма градиентного бустинга CatBoost и его преимущества</w:t>
      </w:r>
    </w:p>
    <w:p w14:paraId="30C5B5CF">
      <w:pPr>
        <w:pStyle w:val="25"/>
        <w:rPr>
          <w:rFonts w:hint="default"/>
        </w:rPr>
      </w:pPr>
      <w:r>
        <w:rPr>
          <w:rFonts w:hint="default"/>
        </w:rPr>
        <w:t>2.2. Подготовка и предобработка данных пациентов</w:t>
      </w:r>
    </w:p>
    <w:p w14:paraId="2F39C521">
      <w:pPr>
        <w:pStyle w:val="25"/>
        <w:rPr>
          <w:rFonts w:hint="default"/>
        </w:rPr>
      </w:pPr>
      <w:r>
        <w:rPr>
          <w:rFonts w:hint="default"/>
        </w:rPr>
        <w:t xml:space="preserve">2.3. Создание новых признаков </w:t>
      </w:r>
    </w:p>
    <w:p w14:paraId="5965D521">
      <w:pPr>
        <w:pStyle w:val="25"/>
        <w:rPr>
          <w:rFonts w:hint="default"/>
        </w:rPr>
      </w:pPr>
      <w:r>
        <w:rPr>
          <w:rFonts w:hint="default"/>
        </w:rPr>
        <w:t>2.4. Метрики оценки качества классификации</w:t>
      </w:r>
    </w:p>
    <w:p w14:paraId="1755B696">
      <w:pPr>
        <w:pStyle w:val="3"/>
        <w:rPr>
          <w:rFonts w:hint="default"/>
        </w:rPr>
      </w:pPr>
    </w:p>
    <w:p w14:paraId="0265F87C">
      <w:pPr>
        <w:pStyle w:val="25"/>
        <w:rPr>
          <w:rFonts w:hint="default"/>
        </w:rPr>
      </w:pPr>
      <w:r>
        <w:rPr>
          <w:rFonts w:hint="default"/>
        </w:rPr>
        <w:t>ГЛАВА 3. ПРОГРАММНАЯ РЕАЛИЗАЦИЯ И ТЕСТИРОВАНИЕ</w:t>
      </w:r>
    </w:p>
    <w:p w14:paraId="3F1EEBBA">
      <w:pPr>
        <w:pStyle w:val="25"/>
        <w:rPr>
          <w:rFonts w:hint="default"/>
        </w:rPr>
      </w:pPr>
      <w:r>
        <w:rPr>
          <w:rFonts w:hint="default"/>
        </w:rPr>
        <w:t>3.1. Описание используемого стека технологий</w:t>
      </w:r>
    </w:p>
    <w:p w14:paraId="40A873A5">
      <w:pPr>
        <w:pStyle w:val="25"/>
        <w:rPr>
          <w:rFonts w:hint="default"/>
        </w:rPr>
      </w:pPr>
      <w:r>
        <w:rPr>
          <w:rFonts w:hint="default"/>
        </w:rPr>
        <w:t>3.2. Алгоритм предварительной обработки данных</w:t>
      </w:r>
    </w:p>
    <w:p w14:paraId="48D8C41D">
      <w:pPr>
        <w:pStyle w:val="25"/>
        <w:rPr>
          <w:rFonts w:hint="default"/>
        </w:rPr>
      </w:pPr>
      <w:r>
        <w:rPr>
          <w:rFonts w:hint="default"/>
        </w:rPr>
        <w:t>3.3. Обучение модели и подбор гиперпараметров</w:t>
      </w:r>
    </w:p>
    <w:p w14:paraId="3BA7EFD3">
      <w:pPr>
        <w:pStyle w:val="25"/>
        <w:rPr>
          <w:rFonts w:hint="default"/>
        </w:rPr>
      </w:pPr>
      <w:r>
        <w:rPr>
          <w:rFonts w:hint="default"/>
        </w:rPr>
        <w:t>3.4. Оценка качества модели и анализ результатов</w:t>
      </w:r>
    </w:p>
    <w:p w14:paraId="025209D9">
      <w:pPr>
        <w:pStyle w:val="25"/>
        <w:rPr>
          <w:rFonts w:hint="default"/>
        </w:rPr>
      </w:pPr>
      <w:r>
        <w:rPr>
          <w:rFonts w:hint="default"/>
        </w:rPr>
        <w:t>3.5. Интерпретация предсказаний с помощью SHAP</w:t>
      </w:r>
    </w:p>
    <w:p w14:paraId="44F0E5BA">
      <w:pPr>
        <w:pStyle w:val="3"/>
        <w:rPr>
          <w:rFonts w:hint="default"/>
        </w:rPr>
      </w:pPr>
    </w:p>
    <w:p w14:paraId="25FBDF62">
      <w:pPr>
        <w:pStyle w:val="25"/>
        <w:rPr>
          <w:rFonts w:hint="default"/>
        </w:rPr>
      </w:pPr>
      <w:r>
        <w:rPr>
          <w:rFonts w:hint="default"/>
        </w:rPr>
        <w:t>ГЛАВА 4. РЕКОМЕНДАЦИИ ПО ВНЕДРЕНИЮ В КЛИНИЧЕСКУЮ ПРАКТИКУ</w:t>
      </w:r>
    </w:p>
    <w:p w14:paraId="44359F3A">
      <w:pPr>
        <w:pStyle w:val="3"/>
        <w:rPr>
          <w:rFonts w:hint="default"/>
        </w:rPr>
      </w:pPr>
    </w:p>
    <w:p w14:paraId="76D46EF6">
      <w:pPr>
        <w:pStyle w:val="25"/>
        <w:rPr>
          <w:rFonts w:hint="default"/>
        </w:rPr>
      </w:pPr>
      <w:r>
        <w:rPr>
          <w:rFonts w:hint="default"/>
        </w:rPr>
        <w:t>ЗАКЛЮЧЕНИЕ</w:t>
      </w:r>
    </w:p>
    <w:p w14:paraId="3EE397BD">
      <w:pPr>
        <w:pStyle w:val="3"/>
        <w:rPr>
          <w:rFonts w:hint="default"/>
        </w:rPr>
      </w:pPr>
    </w:p>
    <w:p w14:paraId="6432C4AF">
      <w:pPr>
        <w:pStyle w:val="25"/>
        <w:rPr>
          <w:rFonts w:hint="default"/>
        </w:rPr>
      </w:pPr>
      <w:r>
        <w:rPr>
          <w:rFonts w:hint="default"/>
        </w:rPr>
        <w:t>СПИСОК ИСПОЛЬЗОВАННЫХ ИСТОЧНИКОВ</w:t>
      </w:r>
    </w:p>
    <w:p w14:paraId="30C39377">
      <w:pPr>
        <w:pStyle w:val="25"/>
        <w:rPr>
          <w:rFonts w:hint="default"/>
        </w:rPr>
      </w:pPr>
    </w:p>
    <w:p w14:paraId="742AE1FC">
      <w:pPr>
        <w:pStyle w:val="25"/>
        <w:rPr>
          <w:rFonts w:hint="default"/>
        </w:rPr>
      </w:pPr>
    </w:p>
    <w:p w14:paraId="376787F5">
      <w:pPr>
        <w:pStyle w:val="3"/>
        <w:rPr>
          <w:rFonts w:hint="default"/>
        </w:rPr>
      </w:pPr>
    </w:p>
    <w:p w14:paraId="7E541FC1">
      <w:pPr>
        <w:pStyle w:val="25"/>
        <w:rPr>
          <w:rFonts w:hint="default"/>
        </w:rPr>
      </w:pPr>
    </w:p>
    <w:p w14:paraId="74BD6931">
      <w:pPr>
        <w:pStyle w:val="25"/>
        <w:jc w:val="center"/>
        <w:rPr>
          <w:rFonts w:hint="default"/>
          <w:b/>
          <w:bCs/>
          <w:lang w:val="en-US"/>
        </w:rPr>
      </w:pPr>
      <w:r>
        <w:rPr>
          <w:rFonts w:hint="default"/>
          <w:b/>
          <w:bCs/>
        </w:rPr>
        <w:t>ВВЕДЕНИЕ</w:t>
      </w:r>
    </w:p>
    <w:p w14:paraId="2ED23B3B">
      <w:pPr>
        <w:pStyle w:val="25"/>
        <w:rPr>
          <w:rFonts w:hint="default"/>
        </w:rPr>
      </w:pPr>
    </w:p>
    <w:p w14:paraId="7883A5ED">
      <w:pPr>
        <w:pStyle w:val="25"/>
        <w:rPr>
          <w:rFonts w:hint="default"/>
        </w:rPr>
      </w:pPr>
      <w:r>
        <w:rPr>
          <w:rFonts w:hint="default"/>
        </w:rPr>
        <w:t>Актуальность темы обусловлена высокой долей смертности от сердечно-сосудистых заболеваний в Российской Федерации. Традиционные статистические методы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зачастую не учитывают нелинейные зависимости между факторами риска и не могут адаптироваться к особенностям конкретной выборки пациентов. Применение методов машинного обучения, в частности градиентного бустинга, позволяет повысить точность ранней диагностики, что соответствует задачам цифровой трансформации здравоохранения.</w:t>
      </w:r>
    </w:p>
    <w:p w14:paraId="39CB8665">
      <w:pPr>
        <w:pStyle w:val="25"/>
        <w:rPr>
          <w:rFonts w:hint="default"/>
        </w:rPr>
      </w:pPr>
    </w:p>
    <w:p w14:paraId="25EE1E33">
      <w:pPr>
        <w:pStyle w:val="25"/>
        <w:rPr>
          <w:rFonts w:hint="default"/>
        </w:rPr>
      </w:pPr>
      <w:r>
        <w:rPr>
          <w:rFonts w:hint="default"/>
          <w:b/>
          <w:bCs/>
        </w:rPr>
        <w:t>Цель работы</w:t>
      </w:r>
      <w:r>
        <w:rPr>
          <w:rFonts w:hint="default"/>
        </w:rPr>
        <w:t xml:space="preserve"> – разработка и программная реализация модели прогнозирования риска сердечно-сосудистых осложнений на основе алгоритма CatBoost с обеспечением интерпретируемости результатов для врача.</w:t>
      </w:r>
    </w:p>
    <w:p w14:paraId="47D752F8">
      <w:pPr>
        <w:pStyle w:val="25"/>
        <w:rPr>
          <w:rFonts w:hint="default"/>
        </w:rPr>
      </w:pPr>
    </w:p>
    <w:p w14:paraId="2C4214BB">
      <w:pPr>
        <w:pStyle w:val="25"/>
        <w:rPr>
          <w:rFonts w:hint="default"/>
        </w:rPr>
      </w:pPr>
      <w:r>
        <w:rPr>
          <w:rFonts w:hint="default"/>
          <w:b/>
          <w:bCs/>
        </w:rPr>
        <w:t>Задачи исследования:</w:t>
      </w:r>
    </w:p>
    <w:p w14:paraId="49A95179">
      <w:pPr>
        <w:pStyle w:val="25"/>
        <w:rPr>
          <w:rFonts w:hint="default"/>
        </w:rPr>
      </w:pPr>
      <w:r>
        <w:rPr>
          <w:rFonts w:hint="default"/>
        </w:rPr>
        <w:t>1. Провести анализ существующих методов оценки сердечно-сосудистого риска и систем поддержки принятия врачебных решений.</w:t>
      </w:r>
    </w:p>
    <w:p w14:paraId="2EEC03E4">
      <w:pPr>
        <w:pStyle w:val="25"/>
        <w:rPr>
          <w:rFonts w:hint="default"/>
        </w:rPr>
      </w:pPr>
      <w:r>
        <w:rPr>
          <w:rFonts w:hint="default"/>
        </w:rPr>
        <w:t>2. Обосновать выбор алгоритма CatBoost для решения задачи бинарной классификации.</w:t>
      </w:r>
    </w:p>
    <w:p w14:paraId="710401F8">
      <w:pPr>
        <w:pStyle w:val="25"/>
        <w:rPr>
          <w:rFonts w:hint="default"/>
        </w:rPr>
      </w:pPr>
      <w:r>
        <w:rPr>
          <w:rFonts w:hint="default"/>
        </w:rPr>
        <w:t>3. Выполнить предобработку реальных клинических данных и создать новые прогностические признаки.</w:t>
      </w:r>
    </w:p>
    <w:p w14:paraId="7E0E397B">
      <w:pPr>
        <w:pStyle w:val="25"/>
        <w:rPr>
          <w:rFonts w:hint="default"/>
        </w:rPr>
      </w:pPr>
      <w:r>
        <w:rPr>
          <w:rFonts w:hint="default"/>
        </w:rPr>
        <w:t>4. Обучить модель, подобрать гиперпараметры и оценить её качество с помощью метрик.</w:t>
      </w:r>
    </w:p>
    <w:p w14:paraId="65120BEB">
      <w:pPr>
        <w:pStyle w:val="25"/>
        <w:rPr>
          <w:rFonts w:hint="default"/>
        </w:rPr>
      </w:pPr>
      <w:r>
        <w:rPr>
          <w:rFonts w:hint="default"/>
        </w:rPr>
        <w:t>5. Реализовать интерпретацию предсказаний модели с использованием SHAP-анализа.</w:t>
      </w:r>
    </w:p>
    <w:p w14:paraId="21E249FC">
      <w:pPr>
        <w:pStyle w:val="25"/>
        <w:rPr>
          <w:rFonts w:hint="default"/>
        </w:rPr>
      </w:pPr>
      <w:r>
        <w:rPr>
          <w:rFonts w:hint="default"/>
        </w:rPr>
        <w:t>6. Разработать рекомендации по интеграции модели в работу амбулаторного звена.</w:t>
      </w:r>
    </w:p>
    <w:p w14:paraId="3858EE0B">
      <w:pPr>
        <w:pStyle w:val="25"/>
        <w:rPr>
          <w:rFonts w:hint="default"/>
        </w:rPr>
      </w:pPr>
    </w:p>
    <w:p w14:paraId="0E3AD2FE">
      <w:pPr>
        <w:pStyle w:val="25"/>
        <w:rPr>
          <w:rFonts w:hint="default"/>
        </w:rPr>
      </w:pPr>
    </w:p>
    <w:p w14:paraId="7F14585A">
      <w:pPr>
        <w:pStyle w:val="25"/>
        <w:rPr>
          <w:rFonts w:hint="default"/>
        </w:rPr>
      </w:pPr>
    </w:p>
    <w:p w14:paraId="17EB5FB5">
      <w:pPr>
        <w:pStyle w:val="25"/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ГЛАВА 1. ТЕОРЕТИЧЕСКИЕ ОСНОВЫ ПРОГНОЗИРОВАНИЯ В КАРДИОЛОГИИ</w:t>
      </w:r>
    </w:p>
    <w:p w14:paraId="62415864">
      <w:pPr>
        <w:pStyle w:val="25"/>
        <w:rPr>
          <w:rFonts w:hint="default"/>
        </w:rPr>
      </w:pPr>
    </w:p>
    <w:p w14:paraId="7C1CF52B">
      <w:pPr>
        <w:pStyle w:val="25"/>
        <w:rPr>
          <w:rFonts w:hint="default"/>
          <w:lang w:val="en-US"/>
        </w:rPr>
      </w:pPr>
      <w:r>
        <w:rPr>
          <w:rFonts w:hint="default"/>
          <w:b/>
          <w:bCs/>
        </w:rPr>
        <w:t>1.1.</w:t>
      </w:r>
      <w:r>
        <w:rPr>
          <w:rFonts w:hint="default"/>
        </w:rPr>
        <w:t xml:space="preserve"> Обзор существующих методов оценки рисков</w:t>
      </w:r>
      <w:r>
        <w:rPr>
          <w:rFonts w:hint="default"/>
          <w:lang w:val="en-US"/>
        </w:rPr>
        <w:t>.</w:t>
      </w:r>
    </w:p>
    <w:p w14:paraId="439B5012">
      <w:pPr>
        <w:pStyle w:val="25"/>
        <w:rPr>
          <w:rFonts w:hint="default"/>
        </w:rPr>
      </w:pPr>
      <w:r>
        <w:rPr>
          <w:rFonts w:hint="default"/>
        </w:rPr>
        <w:t>В данном разделе анализируются ограничения традиционных систем. Шкала SCORE и Фрамингемская шкала широко используются в клинической практике, однако они основаны на линейных регрессионных моделях и не учитывают сложные взаимодействия между факторами. Это приводит к снижению прогностической точности у пациентов с коморбидной патологией.</w:t>
      </w:r>
    </w:p>
    <w:p w14:paraId="46D74F7A">
      <w:pPr>
        <w:pStyle w:val="25"/>
        <w:rPr>
          <w:rFonts w:hint="default"/>
        </w:rPr>
      </w:pPr>
    </w:p>
    <w:p w14:paraId="5AF08818">
      <w:pPr>
        <w:pStyle w:val="25"/>
        <w:rPr>
          <w:rFonts w:hint="default"/>
          <w:lang w:val="en-US"/>
        </w:rPr>
      </w:pPr>
      <w:r>
        <w:rPr>
          <w:rFonts w:hint="default"/>
          <w:b/>
          <w:bCs/>
        </w:rPr>
        <w:t>1.2.</w:t>
      </w:r>
      <w:r>
        <w:rPr>
          <w:rFonts w:hint="default"/>
        </w:rPr>
        <w:t xml:space="preserve"> Роль систем поддержки принятия врачебных решений в современном здравоохранении</w:t>
      </w:r>
      <w:r>
        <w:rPr>
          <w:rFonts w:hint="default"/>
          <w:lang w:val="en-US"/>
        </w:rPr>
        <w:t>.</w:t>
      </w:r>
    </w:p>
    <w:p w14:paraId="53306320">
      <w:pPr>
        <w:pStyle w:val="25"/>
        <w:rPr>
          <w:rFonts w:hint="default"/>
        </w:rPr>
      </w:pPr>
      <w:r>
        <w:rPr>
          <w:rFonts w:hint="default"/>
        </w:rPr>
        <w:t>СППВР позволяют автоматизировать рутинные задачи скрининга, стандартизировать подходы к оценке рисков и снизить нагрузку на врача. Современные СППВР всё чаще включают модели машинного обучения, способные адаптироваться под новые данные.</w:t>
      </w:r>
    </w:p>
    <w:p w14:paraId="52E15153">
      <w:pPr>
        <w:pStyle w:val="25"/>
        <w:rPr>
          <w:rFonts w:hint="default"/>
        </w:rPr>
      </w:pPr>
    </w:p>
    <w:p w14:paraId="15146BA5">
      <w:pPr>
        <w:pStyle w:val="25"/>
        <w:rPr>
          <w:rFonts w:hint="default"/>
          <w:lang w:val="en-US"/>
        </w:rPr>
      </w:pPr>
      <w:r>
        <w:rPr>
          <w:rFonts w:hint="default"/>
          <w:b/>
          <w:bCs/>
        </w:rPr>
        <w:t>1.3.</w:t>
      </w:r>
      <w:r>
        <w:rPr>
          <w:rFonts w:hint="default"/>
        </w:rPr>
        <w:t xml:space="preserve"> Проблема «черного ящика» и необходимость интерпретируемых моделей</w:t>
      </w:r>
      <w:r>
        <w:rPr>
          <w:rFonts w:hint="default"/>
          <w:lang w:val="en-US"/>
        </w:rPr>
        <w:t>.</w:t>
      </w:r>
    </w:p>
    <w:p w14:paraId="5DB4C1E0">
      <w:pPr>
        <w:pStyle w:val="25"/>
        <w:rPr>
          <w:rFonts w:hint="default"/>
        </w:rPr>
      </w:pPr>
      <w:r>
        <w:rPr>
          <w:rFonts w:hint="default"/>
        </w:rPr>
        <w:t>Одним из главных барьеров внедрения ИИ в медицину является недостаточная объяснимость решений. Врачу необходимо понимать, почему система отнесла пациента к группе высокого риска. В данной работе эта проблема решается с помощью SHAP-анализа, который позволяет выявить вклад каждого признака в индивидуальное предсказание.</w:t>
      </w:r>
    </w:p>
    <w:p w14:paraId="70158432">
      <w:pPr>
        <w:pStyle w:val="3"/>
        <w:rPr>
          <w:rFonts w:hint="default"/>
        </w:rPr>
      </w:pPr>
    </w:p>
    <w:p w14:paraId="4F72040D">
      <w:pPr>
        <w:pStyle w:val="25"/>
        <w:rPr>
          <w:rFonts w:hint="default"/>
        </w:rPr>
      </w:pPr>
    </w:p>
    <w:p w14:paraId="053937CD">
      <w:pPr>
        <w:pStyle w:val="25"/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ГЛАВА 2. МЕТОДОЛОГИЯ РАЗРАБОТКИ МОДЕЛИ НА ОСНОВЕ CATBOOST</w:t>
      </w:r>
    </w:p>
    <w:p w14:paraId="0CBCD61C">
      <w:pPr>
        <w:pStyle w:val="25"/>
        <w:rPr>
          <w:rFonts w:hint="default"/>
        </w:rPr>
      </w:pPr>
    </w:p>
    <w:p w14:paraId="53775759">
      <w:pPr>
        <w:pStyle w:val="25"/>
        <w:rPr>
          <w:rFonts w:hint="default"/>
          <w:lang w:val="en-US"/>
        </w:rPr>
      </w:pPr>
      <w:r>
        <w:rPr>
          <w:rFonts w:hint="default"/>
          <w:b/>
          <w:bCs/>
        </w:rPr>
        <w:t xml:space="preserve">2.1. </w:t>
      </w:r>
      <w:r>
        <w:rPr>
          <w:rFonts w:hint="default"/>
        </w:rPr>
        <w:t>Описание алгоритма градиентного бустинга CatBoost и его преимущества</w:t>
      </w:r>
      <w:r>
        <w:rPr>
          <w:rFonts w:hint="default"/>
          <w:lang w:val="en-US"/>
        </w:rPr>
        <w:t>.</w:t>
      </w:r>
    </w:p>
    <w:p w14:paraId="1F4392FA">
      <w:pPr>
        <w:pStyle w:val="25"/>
        <w:rPr>
          <w:rFonts w:hint="default"/>
        </w:rPr>
      </w:pPr>
      <w:r>
        <w:rPr>
          <w:rFonts w:hint="default"/>
        </w:rPr>
        <w:t>Для разработки выбран алгоритм CatBoost от компании Яндекс. Он эффективно работает с категориальными признаками без предварительного кодирования, автоматически обрабатывает пропуски и менее подвержен переобучению благодаря симметричным деревьям решений.</w:t>
      </w:r>
    </w:p>
    <w:p w14:paraId="57F746F7">
      <w:pPr>
        <w:pStyle w:val="25"/>
        <w:rPr>
          <w:rFonts w:hint="default"/>
        </w:rPr>
      </w:pPr>
    </w:p>
    <w:p w14:paraId="597AFDF2">
      <w:pPr>
        <w:pStyle w:val="25"/>
        <w:rPr>
          <w:rFonts w:hint="default"/>
          <w:lang w:val="en-US"/>
        </w:rPr>
      </w:pPr>
      <w:r>
        <w:rPr>
          <w:rFonts w:hint="default"/>
          <w:b/>
          <w:bCs/>
        </w:rPr>
        <w:t xml:space="preserve">2.2. </w:t>
      </w:r>
      <w:r>
        <w:rPr>
          <w:rFonts w:hint="default"/>
        </w:rPr>
        <w:t>Подготовка и предобработка данных пациентов</w:t>
      </w:r>
      <w:r>
        <w:rPr>
          <w:rFonts w:hint="default"/>
          <w:lang w:val="en-US"/>
        </w:rPr>
        <w:t>.</w:t>
      </w:r>
    </w:p>
    <w:p w14:paraId="2AEF7872">
      <w:pPr>
        <w:pStyle w:val="25"/>
        <w:rPr>
          <w:rFonts w:hint="default"/>
        </w:rPr>
      </w:pPr>
      <w:r>
        <w:rPr>
          <w:rFonts w:hint="default"/>
        </w:rPr>
        <w:t>Исходные данные включали анонимизированные истории болезней пациентов из амбулаторного звена. В ходе подготовки выполняется нормализация численных данных и обработка пропусков методом медианного заполнения.</w:t>
      </w:r>
    </w:p>
    <w:p w14:paraId="48CB5DBF">
      <w:pPr>
        <w:pStyle w:val="25"/>
        <w:rPr>
          <w:rFonts w:hint="default"/>
        </w:rPr>
      </w:pPr>
    </w:p>
    <w:p w14:paraId="2E575AA4">
      <w:pPr>
        <w:pStyle w:val="25"/>
        <w:rPr>
          <w:rFonts w:hint="default"/>
          <w:lang w:val="en-US"/>
        </w:rPr>
      </w:pPr>
      <w:r>
        <w:rPr>
          <w:rFonts w:hint="default"/>
          <w:b/>
          <w:bCs/>
        </w:rPr>
        <w:t>2.3.</w:t>
      </w:r>
      <w:r>
        <w:rPr>
          <w:rFonts w:hint="default"/>
        </w:rPr>
        <w:t xml:space="preserve"> Создание новых признаков</w:t>
      </w:r>
      <w:r>
        <w:rPr>
          <w:rFonts w:hint="default"/>
          <w:lang w:val="en-US"/>
        </w:rPr>
        <w:t>.</w:t>
      </w:r>
    </w:p>
    <w:p w14:paraId="2545A2A8">
      <w:pPr>
        <w:pStyle w:val="25"/>
        <w:rPr>
          <w:rFonts w:hint="default"/>
        </w:rPr>
      </w:pPr>
      <w:r>
        <w:rPr>
          <w:rFonts w:hint="default"/>
        </w:rPr>
        <w:t>Для повышения качества модели дополнительно рассчитаны индекс массы тела, пульсовое давление, соотношение общего холестерина к ЛПВП. Добавление этих признаков позволило модели улавливать скрытые паттерны.</w:t>
      </w:r>
    </w:p>
    <w:p w14:paraId="01B3020A">
      <w:pPr>
        <w:pStyle w:val="25"/>
        <w:rPr>
          <w:rFonts w:hint="default"/>
        </w:rPr>
      </w:pPr>
    </w:p>
    <w:p w14:paraId="0A67B625">
      <w:pPr>
        <w:pStyle w:val="3"/>
        <w:rPr>
          <w:rFonts w:hint="default"/>
        </w:rPr>
      </w:pPr>
    </w:p>
    <w:p w14:paraId="3B0C5259">
      <w:pPr>
        <w:pStyle w:val="3"/>
        <w:rPr>
          <w:rFonts w:hint="default"/>
        </w:rPr>
      </w:pPr>
    </w:p>
    <w:p w14:paraId="7F38339B">
      <w:pPr>
        <w:pStyle w:val="25"/>
        <w:rPr>
          <w:rFonts w:hint="default"/>
          <w:lang w:val="en-US"/>
        </w:rPr>
      </w:pPr>
      <w:r>
        <w:rPr>
          <w:rFonts w:hint="default"/>
          <w:b/>
          <w:bCs/>
        </w:rPr>
        <w:t xml:space="preserve">2.4. </w:t>
      </w:r>
      <w:r>
        <w:rPr>
          <w:rFonts w:hint="default"/>
        </w:rPr>
        <w:t>Метрики оценки качества классификации</w:t>
      </w:r>
      <w:r>
        <w:rPr>
          <w:rFonts w:hint="default"/>
          <w:lang w:val="en-US"/>
        </w:rPr>
        <w:t>.</w:t>
      </w:r>
    </w:p>
    <w:p w14:paraId="280C5B35">
      <w:pPr>
        <w:pStyle w:val="25"/>
        <w:rPr>
          <w:rFonts w:hint="default"/>
        </w:rPr>
      </w:pPr>
      <w:r>
        <w:rPr>
          <w:rFonts w:hint="default"/>
        </w:rPr>
        <w:t>Для оценки использованы следующие метрики: Accuracy , Precision, Recall, F1-Score, AUC-ROC. Особое внимание уделяется полноте Recall, поскольку пропуск пациента с высоким риском критичен в медицинской диагностике.</w:t>
      </w:r>
    </w:p>
    <w:p w14:paraId="721EE654">
      <w:pPr>
        <w:pStyle w:val="25"/>
        <w:rPr>
          <w:rFonts w:hint="default"/>
        </w:rPr>
      </w:pPr>
    </w:p>
    <w:p w14:paraId="37F9FA3A">
      <w:pPr>
        <w:pStyle w:val="25"/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ГЛАВА 3. ПРОГРАММНАЯ РЕАЛИЗАЦИЯ И ТЕСТИРОВАНИЕ</w:t>
      </w:r>
    </w:p>
    <w:p w14:paraId="0E60016E">
      <w:pPr>
        <w:pStyle w:val="3"/>
        <w:rPr>
          <w:rFonts w:hint="default"/>
        </w:rPr>
      </w:pPr>
    </w:p>
    <w:p w14:paraId="586DE154">
      <w:pPr>
        <w:pStyle w:val="25"/>
        <w:rPr>
          <w:rFonts w:hint="default"/>
          <w:lang w:val="en-US"/>
        </w:rPr>
      </w:pPr>
      <w:r>
        <w:rPr>
          <w:rFonts w:hint="default"/>
          <w:b/>
          <w:bCs/>
        </w:rPr>
        <w:t>3.1.</w:t>
      </w:r>
      <w:r>
        <w:rPr>
          <w:rFonts w:hint="default"/>
        </w:rPr>
        <w:t xml:space="preserve"> Описание используемого стека технологий</w:t>
      </w:r>
      <w:r>
        <w:rPr>
          <w:rFonts w:hint="default"/>
          <w:lang w:val="en-US"/>
        </w:rPr>
        <w:t>.</w:t>
      </w:r>
    </w:p>
    <w:p w14:paraId="65B9927A">
      <w:pPr>
        <w:pStyle w:val="25"/>
        <w:rPr>
          <w:rFonts w:hint="default"/>
        </w:rPr>
      </w:pPr>
      <w:r>
        <w:rPr>
          <w:rFonts w:hint="default"/>
        </w:rPr>
        <w:t xml:space="preserve">Для разработки системы использован язык Python. Основной алгоритм реализован с помощью библиотеки catboost. Для манипуляции данными применялась библиотека pandas, для визуализации </w:t>
      </w:r>
      <w:r>
        <w:rPr>
          <w:rFonts w:hint="default"/>
          <w:lang w:val="en-US"/>
        </w:rPr>
        <w:t xml:space="preserve">- </w:t>
      </w:r>
      <w:r>
        <w:rPr>
          <w:rFonts w:hint="default"/>
        </w:rPr>
        <w:t xml:space="preserve">matplotlib, seaborn и </w:t>
      </w:r>
      <w:r>
        <w:rPr>
          <w:rFonts w:hint="default"/>
          <w:lang w:val="en-US"/>
        </w:rPr>
        <w:t>s</w:t>
      </w:r>
      <w:r>
        <w:rPr>
          <w:rFonts w:hint="default"/>
        </w:rPr>
        <w:t>hap.</w:t>
      </w:r>
    </w:p>
    <w:p w14:paraId="55B0FB2C">
      <w:pPr>
        <w:pStyle w:val="3"/>
        <w:rPr>
          <w:rFonts w:hint="default"/>
        </w:rPr>
      </w:pPr>
    </w:p>
    <w:p w14:paraId="0A40B4F7">
      <w:pPr>
        <w:pStyle w:val="25"/>
        <w:rPr>
          <w:rFonts w:hint="default"/>
          <w:lang w:val="en-US"/>
        </w:rPr>
      </w:pPr>
      <w:r>
        <w:rPr>
          <w:rFonts w:hint="default"/>
          <w:b/>
          <w:bCs/>
        </w:rPr>
        <w:t>3.2.</w:t>
      </w:r>
      <w:r>
        <w:rPr>
          <w:rFonts w:hint="default"/>
        </w:rPr>
        <w:t xml:space="preserve"> Алгоритм предварительной обработки данных</w:t>
      </w:r>
      <w:r>
        <w:rPr>
          <w:rFonts w:hint="default"/>
          <w:lang w:val="en-US"/>
        </w:rPr>
        <w:t>.</w:t>
      </w:r>
    </w:p>
    <w:p w14:paraId="09B9D611">
      <w:pPr>
        <w:pStyle w:val="25"/>
        <w:rPr>
          <w:rFonts w:hint="default"/>
        </w:rPr>
      </w:pPr>
      <w:r>
        <w:rPr>
          <w:rFonts w:hint="default"/>
        </w:rPr>
        <w:t>На этапе подготовки данных выполнен следующий перечень работ:</w:t>
      </w:r>
    </w:p>
    <w:p w14:paraId="737B2612">
      <w:pPr>
        <w:pStyle w:val="25"/>
        <w:rPr>
          <w:rFonts w:hint="default"/>
        </w:rPr>
      </w:pPr>
      <w:r>
        <w:rPr>
          <w:rFonts w:hint="default"/>
        </w:rPr>
        <w:t xml:space="preserve">1. Очистка датасета от аномальных значений: исключены значения систолического АД ниже 70 мм рт. ст. и выше 250 мм рт. ст., а также некорректные уровни холестерина менее </w:t>
      </w:r>
      <w:r>
        <w:rPr>
          <w:rFonts w:hint="default"/>
          <w:lang w:val="en-US"/>
        </w:rPr>
        <w:t>(</w:t>
      </w:r>
      <w:r>
        <w:rPr>
          <w:rFonts w:hint="default"/>
        </w:rPr>
        <w:t>1 ммоль/л или более 15 ммоль/л</w:t>
      </w:r>
      <w:r>
        <w:rPr>
          <w:rFonts w:hint="default"/>
          <w:lang w:val="en-US"/>
        </w:rPr>
        <w:t>)</w:t>
      </w:r>
      <w:r>
        <w:rPr>
          <w:rFonts w:hint="default"/>
        </w:rPr>
        <w:t>.</w:t>
      </w:r>
    </w:p>
    <w:p w14:paraId="160A09C3">
      <w:pPr>
        <w:pStyle w:val="25"/>
        <w:rPr>
          <w:rFonts w:hint="default"/>
        </w:rPr>
      </w:pPr>
      <w:r>
        <w:rPr>
          <w:rFonts w:hint="default"/>
        </w:rPr>
        <w:t xml:space="preserve">2. Медианное заполнение пропусков в числовых признаках и модальное </w:t>
      </w:r>
      <w:r>
        <w:rPr>
          <w:rFonts w:hint="default"/>
          <w:lang w:val="ru-RU"/>
        </w:rPr>
        <w:t>-</w:t>
      </w:r>
      <w:r>
        <w:rPr>
          <w:rFonts w:hint="default"/>
        </w:rPr>
        <w:t xml:space="preserve"> в категориальных.</w:t>
      </w:r>
    </w:p>
    <w:p w14:paraId="5C33A4C5">
      <w:pPr>
        <w:pStyle w:val="25"/>
        <w:rPr>
          <w:rFonts w:hint="default"/>
        </w:rPr>
      </w:pPr>
      <w:r>
        <w:rPr>
          <w:rFonts w:hint="default"/>
        </w:rPr>
        <w:t>3. Разделение выборки на обучающую Train и тестовую Test в соотношении 80/20 с применением стратификации по целевой переменной для сохранения баланса классов.</w:t>
      </w:r>
    </w:p>
    <w:p w14:paraId="1203F874">
      <w:pPr>
        <w:pStyle w:val="25"/>
        <w:rPr>
          <w:rFonts w:hint="default"/>
        </w:rPr>
      </w:pPr>
    </w:p>
    <w:p w14:paraId="0A8DEDC5">
      <w:pPr>
        <w:pStyle w:val="25"/>
        <w:rPr>
          <w:rFonts w:hint="default"/>
          <w:lang w:val="en-US"/>
        </w:rPr>
      </w:pPr>
      <w:r>
        <w:rPr>
          <w:rFonts w:hint="default"/>
          <w:b/>
          <w:bCs/>
        </w:rPr>
        <w:t xml:space="preserve">3.3. </w:t>
      </w:r>
      <w:r>
        <w:rPr>
          <w:rFonts w:hint="default"/>
        </w:rPr>
        <w:t>Обучение модели и подбор гиперпараметров</w:t>
      </w:r>
      <w:r>
        <w:rPr>
          <w:rFonts w:hint="default"/>
          <w:lang w:val="en-US"/>
        </w:rPr>
        <w:t>.</w:t>
      </w:r>
    </w:p>
    <w:p w14:paraId="27E99B55">
      <w:pPr>
        <w:pStyle w:val="25"/>
        <w:rPr>
          <w:rFonts w:hint="default"/>
        </w:rPr>
      </w:pPr>
      <w:r>
        <w:rPr>
          <w:rFonts w:hint="default"/>
        </w:rPr>
        <w:t>Обучение проводилось с использованием кросс-валидации на 5 фолдах. Для подбора гиперпараметров применялся поиск по сетке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Grid Search с оптимизацией AUC</w:t>
      </w:r>
      <w:r>
        <w:rPr>
          <w:rFonts w:hint="default"/>
          <w:lang w:val="ru-RU"/>
        </w:rPr>
        <w:t>-</w:t>
      </w:r>
      <w:r>
        <w:rPr>
          <w:rFonts w:hint="default"/>
        </w:rPr>
        <w:t>ROC.</w:t>
      </w:r>
    </w:p>
    <w:p w14:paraId="4EE8BD6A">
      <w:pPr>
        <w:pStyle w:val="25"/>
        <w:rPr>
          <w:rFonts w:hint="default"/>
        </w:rPr>
      </w:pPr>
    </w:p>
    <w:p w14:paraId="23E9BF96">
      <w:pPr>
        <w:pStyle w:val="25"/>
        <w:rPr>
          <w:rFonts w:hint="default"/>
          <w:lang w:val="en-US"/>
        </w:rPr>
      </w:pPr>
      <w:r>
        <w:rPr>
          <w:rFonts w:hint="default"/>
          <w:b/>
          <w:bCs/>
        </w:rPr>
        <w:t xml:space="preserve">3.4. </w:t>
      </w:r>
      <w:r>
        <w:rPr>
          <w:rFonts w:hint="default"/>
        </w:rPr>
        <w:t>Оценка качества модели и анализ результатов</w:t>
      </w:r>
      <w:r>
        <w:rPr>
          <w:rFonts w:hint="default"/>
          <w:lang w:val="en-US"/>
        </w:rPr>
        <w:t>.</w:t>
      </w:r>
    </w:p>
    <w:p w14:paraId="4D2FD203">
      <w:pPr>
        <w:pStyle w:val="25"/>
        <w:rPr>
          <w:rFonts w:hint="default"/>
        </w:rPr>
      </w:pPr>
      <w:r>
        <w:rPr>
          <w:rFonts w:hint="default"/>
        </w:rPr>
        <w:t>Модель CatBoost показала следующие результаты на тестовой выборке:</w:t>
      </w:r>
    </w:p>
    <w:p w14:paraId="33EE69DC">
      <w:pPr>
        <w:pStyle w:val="25"/>
        <w:rPr>
          <w:rFonts w:hint="default"/>
        </w:rPr>
      </w:pPr>
      <w:r>
        <w:rPr>
          <w:rFonts w:hint="default"/>
        </w:rPr>
        <w:t>- Accuracy: 0,84</w:t>
      </w:r>
    </w:p>
    <w:p w14:paraId="2B401836">
      <w:pPr>
        <w:pStyle w:val="25"/>
        <w:rPr>
          <w:rFonts w:hint="default"/>
        </w:rPr>
      </w:pPr>
      <w:r>
        <w:rPr>
          <w:rFonts w:hint="default"/>
        </w:rPr>
        <w:t>- Precision: 0,82</w:t>
      </w:r>
    </w:p>
    <w:p w14:paraId="5F44E97E">
      <w:pPr>
        <w:pStyle w:val="25"/>
        <w:rPr>
          <w:rFonts w:hint="default"/>
        </w:rPr>
      </w:pPr>
      <w:r>
        <w:rPr>
          <w:rFonts w:hint="default"/>
        </w:rPr>
        <w:t>- Recall: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0,87</w:t>
      </w:r>
    </w:p>
    <w:p w14:paraId="0B3248BD">
      <w:pPr>
        <w:pStyle w:val="25"/>
        <w:rPr>
          <w:rFonts w:hint="default"/>
        </w:rPr>
      </w:pPr>
      <w:r>
        <w:rPr>
          <w:rFonts w:hint="default"/>
        </w:rPr>
        <w:t>- F1-Score: 0,84</w:t>
      </w:r>
    </w:p>
    <w:p w14:paraId="3A0C9C46">
      <w:pPr>
        <w:pStyle w:val="25"/>
        <w:rPr>
          <w:rFonts w:hint="default"/>
        </w:rPr>
      </w:pPr>
      <w:r>
        <w:rPr>
          <w:rFonts w:hint="default"/>
        </w:rPr>
        <w:t>- AUC-ROC: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0,86</w:t>
      </w:r>
    </w:p>
    <w:p w14:paraId="42115788">
      <w:pPr>
        <w:pStyle w:val="25"/>
        <w:rPr>
          <w:rFonts w:hint="default"/>
        </w:rPr>
      </w:pPr>
      <w:r>
        <w:rPr>
          <w:rFonts w:hint="default"/>
        </w:rPr>
        <w:t>Высокий показатель полноты Recall = 0,87 подтверждает, что модель редко пропускает пациентов с реальным высоким риском. Для сравнения: классическая логистическая регрессия показала AUC-ROC = 0,82, а стандартная шкала SCORE – только 0,75.</w:t>
      </w:r>
    </w:p>
    <w:p w14:paraId="430EE47C">
      <w:pPr>
        <w:pStyle w:val="25"/>
        <w:rPr>
          <w:rFonts w:hint="default"/>
        </w:rPr>
      </w:pPr>
      <w:r>
        <w:rPr>
          <w:rFonts w:hint="default"/>
        </w:rPr>
        <w:t>С помощью метода feature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importances</w:t>
      </w:r>
      <w:r>
        <w:rPr>
          <w:rFonts w:hint="default"/>
          <w:lang w:val="ru-RU"/>
        </w:rPr>
        <w:t xml:space="preserve"> </w:t>
      </w:r>
      <w:r>
        <w:rPr>
          <w:rFonts w:hint="default"/>
        </w:rPr>
        <w:t>библиотеки CatBoost установлено, что наиболее значимыми факторами стали:</w:t>
      </w:r>
    </w:p>
    <w:p w14:paraId="4CAA8438">
      <w:pPr>
        <w:pStyle w:val="25"/>
        <w:rPr>
          <w:rFonts w:hint="default"/>
        </w:rPr>
      </w:pPr>
      <w:r>
        <w:rPr>
          <w:rFonts w:hint="default"/>
        </w:rPr>
        <w:t>1. Возраст пациента.</w:t>
      </w:r>
    </w:p>
    <w:p w14:paraId="656357CC">
      <w:pPr>
        <w:pStyle w:val="25"/>
        <w:rPr>
          <w:rFonts w:hint="default"/>
        </w:rPr>
      </w:pPr>
      <w:r>
        <w:rPr>
          <w:rFonts w:hint="default"/>
        </w:rPr>
        <w:t>2. Уровень систолического артериального давления.</w:t>
      </w:r>
    </w:p>
    <w:p w14:paraId="70FF03F4">
      <w:pPr>
        <w:pStyle w:val="25"/>
        <w:rPr>
          <w:rFonts w:hint="default"/>
        </w:rPr>
      </w:pPr>
      <w:r>
        <w:rPr>
          <w:rFonts w:hint="default"/>
        </w:rPr>
        <w:t>3. Соотношение общего холестерина к ЛПВП.</w:t>
      </w:r>
    </w:p>
    <w:p w14:paraId="64B23516">
      <w:pPr>
        <w:pStyle w:val="25"/>
        <w:rPr>
          <w:rFonts w:hint="default"/>
        </w:rPr>
      </w:pPr>
      <w:r>
        <w:rPr>
          <w:rFonts w:hint="default"/>
        </w:rPr>
        <w:t>4. Наличие вредных привычек (курение).</w:t>
      </w:r>
    </w:p>
    <w:p w14:paraId="2E72D42E">
      <w:pPr>
        <w:pStyle w:val="25"/>
        <w:rPr>
          <w:rFonts w:hint="default"/>
        </w:rPr>
      </w:pPr>
    </w:p>
    <w:p w14:paraId="4BC21AF8">
      <w:pPr>
        <w:pStyle w:val="25"/>
        <w:rPr>
          <w:rFonts w:hint="default"/>
          <w:lang w:val="en-US"/>
        </w:rPr>
      </w:pPr>
      <w:r>
        <w:rPr>
          <w:rFonts w:hint="default"/>
          <w:b/>
          <w:bCs/>
        </w:rPr>
        <w:t>3.5.</w:t>
      </w:r>
      <w:r>
        <w:rPr>
          <w:rFonts w:hint="default"/>
        </w:rPr>
        <w:t xml:space="preserve"> Интерпретация предсказаний с помощью SHAP</w:t>
      </w:r>
      <w:r>
        <w:rPr>
          <w:rFonts w:hint="default"/>
          <w:lang w:val="en-US"/>
        </w:rPr>
        <w:t>.</w:t>
      </w:r>
    </w:p>
    <w:p w14:paraId="6EE1A460">
      <w:pPr>
        <w:pStyle w:val="25"/>
        <w:rPr>
          <w:rFonts w:hint="default"/>
        </w:rPr>
      </w:pPr>
      <w:r>
        <w:rPr>
          <w:rFonts w:hint="default"/>
        </w:rPr>
        <w:t>Особое внимание уделено SHAP-анализу:</w:t>
      </w:r>
    </w:p>
    <w:p w14:paraId="4D02AEB6">
      <w:pPr>
        <w:pStyle w:val="25"/>
        <w:rPr>
          <w:rFonts w:hint="default"/>
        </w:rPr>
      </w:pPr>
      <w:r>
        <w:rPr>
          <w:rFonts w:hint="default"/>
        </w:rPr>
        <w:t>1. Построены глобальные графики важности признаков, показывающие усреднённый вклад каждого фактора в итоговый риск.</w:t>
      </w:r>
    </w:p>
    <w:p w14:paraId="3BBF239F">
      <w:pPr>
        <w:pStyle w:val="25"/>
        <w:rPr>
          <w:rFonts w:hint="default"/>
        </w:rPr>
      </w:pPr>
      <w:r>
        <w:rPr>
          <w:rFonts w:hint="default"/>
        </w:rPr>
        <w:t>2. Продемонстрирована работа локального объяснения для конкретного пациента, что позволяет врачу понять, почему система выставила высокий риск</w:t>
      </w:r>
      <w:r>
        <w:rPr>
          <w:rFonts w:hint="default"/>
          <w:lang w:val="ru-RU"/>
        </w:rPr>
        <w:t>. Н</w:t>
      </w:r>
      <w:r>
        <w:rPr>
          <w:rFonts w:hint="default"/>
        </w:rPr>
        <w:t>апример, из-за сочетания пожилого возраста, высокого уровня ЛПНП и курения.</w:t>
      </w:r>
    </w:p>
    <w:p w14:paraId="47196C96">
      <w:pPr>
        <w:pStyle w:val="25"/>
        <w:rPr>
          <w:rFonts w:hint="default"/>
          <w:b/>
          <w:bCs/>
        </w:rPr>
      </w:pPr>
    </w:p>
    <w:p w14:paraId="787F93F6">
      <w:pPr>
        <w:pStyle w:val="25"/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ГЛАВА 4. РЕКОМЕНДАЦИИ ПО ВНЕДРЕНИЮ В КЛИНИЧЕСКУЮ ПРАКТИКУ</w:t>
      </w:r>
    </w:p>
    <w:p w14:paraId="5273686C">
      <w:pPr>
        <w:pStyle w:val="3"/>
        <w:rPr>
          <w:rFonts w:hint="default"/>
        </w:rPr>
      </w:pPr>
    </w:p>
    <w:p w14:paraId="4F48BBF4">
      <w:pPr>
        <w:pStyle w:val="25"/>
        <w:ind w:firstLine="720" w:firstLineChars="0"/>
        <w:jc w:val="left"/>
        <w:rPr>
          <w:rFonts w:hint="default"/>
        </w:rPr>
      </w:pPr>
      <w:r>
        <w:rPr>
          <w:rFonts w:hint="default"/>
        </w:rPr>
        <w:t>Разработанная модель может функционировать как веб-сервис (API), к которому обращается электронная медицинская карта. При заполнении терапевтом данных осмотра система в фоновом режиме отправляет запрос к модели и выводит на экран уведомление с цветовой индикацией:</w:t>
      </w:r>
    </w:p>
    <w:p w14:paraId="3BFC4BF6">
      <w:pPr>
        <w:pStyle w:val="25"/>
        <w:jc w:val="left"/>
        <w:rPr>
          <w:rFonts w:hint="default"/>
        </w:rPr>
      </w:pPr>
      <w:r>
        <w:rPr>
          <w:rFonts w:hint="default"/>
        </w:rPr>
        <w:t>- «Зеленый»(низкий риск) – стандартное наблюдение.</w:t>
      </w:r>
    </w:p>
    <w:p w14:paraId="0BDA29A4">
      <w:pPr>
        <w:pStyle w:val="25"/>
        <w:jc w:val="left"/>
        <w:rPr>
          <w:rFonts w:hint="default"/>
        </w:rPr>
      </w:pPr>
      <w:r>
        <w:rPr>
          <w:rFonts w:hint="default"/>
        </w:rPr>
        <w:t>- «Желтый»(умеренный риск) – требуется динамическое наблюдение, повторная оценка через 6 месяцев.</w:t>
      </w:r>
    </w:p>
    <w:p w14:paraId="5BFF09D1">
      <w:pPr>
        <w:pStyle w:val="25"/>
        <w:jc w:val="left"/>
        <w:rPr>
          <w:rFonts w:hint="default"/>
        </w:rPr>
      </w:pPr>
      <w:r>
        <w:rPr>
          <w:rFonts w:hint="default"/>
        </w:rPr>
        <w:t>- «Красный» (высокий риск) – требуется консультация кардиолога и углублённое обследование.</w:t>
      </w:r>
    </w:p>
    <w:p w14:paraId="730BE8F3">
      <w:pPr>
        <w:pStyle w:val="25"/>
        <w:jc w:val="left"/>
        <w:rPr>
          <w:rFonts w:hint="default"/>
        </w:rPr>
      </w:pPr>
      <w:r>
        <w:rPr>
          <w:rFonts w:hint="default"/>
        </w:rPr>
        <w:t>Перед клиническим внедрением необходимо провести проспективное валидационное исследование на независимой выборке.</w:t>
      </w:r>
    </w:p>
    <w:p w14:paraId="0274524E">
      <w:pPr>
        <w:pStyle w:val="3"/>
        <w:rPr>
          <w:rFonts w:hint="default"/>
        </w:rPr>
      </w:pPr>
    </w:p>
    <w:p w14:paraId="16A6C48A">
      <w:pPr>
        <w:pStyle w:val="3"/>
        <w:rPr>
          <w:rFonts w:hint="default"/>
        </w:rPr>
      </w:pPr>
    </w:p>
    <w:p w14:paraId="67C322FB">
      <w:pPr>
        <w:pStyle w:val="25"/>
        <w:rPr>
          <w:rFonts w:hint="default"/>
        </w:rPr>
      </w:pPr>
    </w:p>
    <w:p w14:paraId="429B0A5B">
      <w:pPr>
        <w:pStyle w:val="25"/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ЗАКЛЮЧЕНИЕ</w:t>
      </w:r>
    </w:p>
    <w:p w14:paraId="52408D5F">
      <w:pPr>
        <w:pStyle w:val="3"/>
        <w:rPr>
          <w:rFonts w:hint="default"/>
        </w:rPr>
      </w:pPr>
    </w:p>
    <w:p w14:paraId="4D74CC2D">
      <w:pPr>
        <w:pStyle w:val="25"/>
        <w:ind w:firstLine="720" w:firstLineChars="0"/>
        <w:rPr>
          <w:rFonts w:hint="default"/>
        </w:rPr>
      </w:pPr>
      <w:r>
        <w:rPr>
          <w:rFonts w:hint="default"/>
        </w:rPr>
        <w:t xml:space="preserve">В ходе выполнения курсовой работы была достигнута поставленная цель 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разработка и программная реализация модели прогнозирования риска сердечно-сосудистых осложнений на основе методов машинного обучения. На основании проведённого исследования можно сделать следующие выводы:</w:t>
      </w:r>
    </w:p>
    <w:p w14:paraId="22415A96">
      <w:pPr>
        <w:pStyle w:val="25"/>
        <w:rPr>
          <w:rFonts w:hint="default"/>
        </w:rPr>
      </w:pPr>
      <w:r>
        <w:rPr>
          <w:rFonts w:hint="default"/>
        </w:rPr>
        <w:t>1. Теоретический анализ показал, что современные ансамблевые алгоритмы (градиентный бустинг) демонстрируют статистически значимое преимущество перед традиционными калькуляторами риска (шкала SCORE) за счёт способности учитывать нелинейные зависимости между факторами.</w:t>
      </w:r>
    </w:p>
    <w:p w14:paraId="3FEE4886">
      <w:pPr>
        <w:pStyle w:val="25"/>
        <w:rPr>
          <w:rFonts w:hint="default"/>
        </w:rPr>
      </w:pPr>
      <w:r>
        <w:rPr>
          <w:rFonts w:hint="default"/>
        </w:rPr>
        <w:t>2. Этап предобработки данных и проектирования признаков (Feature Engineering) является критически важным: добавление индекса массы тела, пульсового давления и соотношения холестерин/ЛПВП повысило точность модели на 3,5% по сравнению с использованием только сырых данных.</w:t>
      </w:r>
    </w:p>
    <w:p w14:paraId="32BD3A94">
      <w:pPr>
        <w:pStyle w:val="25"/>
        <w:rPr>
          <w:rFonts w:hint="default"/>
        </w:rPr>
      </w:pPr>
      <w:r>
        <w:rPr>
          <w:rFonts w:hint="default"/>
        </w:rPr>
        <w:t>3. Разработанная модель на базе CatBoost показала высокую прогностическую способность (AUC-ROC = 0,86, F1-score = 0,84), что позволяет рекомендовать её использование в качестве системы поддержки принятия врачебных решений.</w:t>
      </w:r>
    </w:p>
    <w:p w14:paraId="0553EC7C">
      <w:pPr>
        <w:pStyle w:val="25"/>
        <w:rPr>
          <w:rFonts w:hint="default"/>
        </w:rPr>
      </w:pPr>
      <w:r>
        <w:rPr>
          <w:rFonts w:hint="default"/>
        </w:rPr>
        <w:t>4. Применение SHAP-анализа обеспечивает интерпретируемость предсказаний, что критически важно для доверия врачей к автоматизированной системе.</w:t>
      </w:r>
    </w:p>
    <w:p w14:paraId="696CC19A">
      <w:pPr>
        <w:pStyle w:val="25"/>
        <w:rPr>
          <w:rFonts w:hint="default"/>
        </w:rPr>
      </w:pPr>
    </w:p>
    <w:p w14:paraId="5EE1C8C0">
      <w:pPr>
        <w:pStyle w:val="25"/>
        <w:rPr>
          <w:rFonts w:hint="default"/>
        </w:rPr>
      </w:pPr>
      <w:r>
        <w:rPr>
          <w:rFonts w:hint="default"/>
        </w:rPr>
        <w:t>Применение данной системы в клинической практике позволит автоматизировать процесс первичного скрининга населения, выделять группы высокого риска на ранних стадиях и своевременно назначать профилактическую терапию, что в долгосрочной перспективе ведёт к снижению уровня смертности от заболеваний системы кровообращения.</w:t>
      </w:r>
    </w:p>
    <w:p w14:paraId="16C0A7A4">
      <w:pPr>
        <w:pStyle w:val="25"/>
        <w:rPr>
          <w:rFonts w:hint="default"/>
        </w:rPr>
      </w:pPr>
    </w:p>
    <w:p w14:paraId="0C343F70">
      <w:pPr>
        <w:pStyle w:val="25"/>
        <w:rPr>
          <w:rFonts w:hint="default"/>
        </w:rPr>
      </w:pPr>
      <w:r>
        <w:rPr>
          <w:rFonts w:hint="default"/>
        </w:rPr>
        <w:t>СПИСОК ИСПОЛЬЗОВАННЫХ ИСТОЧНИКОВ</w:t>
      </w:r>
    </w:p>
    <w:p w14:paraId="653EAEE9">
      <w:pPr>
        <w:pStyle w:val="25"/>
        <w:rPr>
          <w:rFonts w:hint="default"/>
        </w:rPr>
      </w:pPr>
      <w:bookmarkStart w:id="1" w:name="_GoBack"/>
      <w:bookmarkEnd w:id="1"/>
    </w:p>
    <w:p w14:paraId="2958BF9B">
      <w:pPr>
        <w:pStyle w:val="25"/>
        <w:rPr>
          <w:rFonts w:hint="default"/>
        </w:rPr>
      </w:pPr>
      <w:r>
        <w:rPr>
          <w:rFonts w:hint="default"/>
        </w:rPr>
        <w:t>1. Бишоп, К. М. Распознавание образов и машинное обучение / К. М. Бишоп. — М.: Вильямс, 2020. — 960 с.</w:t>
      </w:r>
    </w:p>
    <w:p w14:paraId="6B231D98">
      <w:pPr>
        <w:pStyle w:val="25"/>
        <w:rPr>
          <w:rFonts w:hint="default"/>
        </w:rPr>
      </w:pPr>
      <w:r>
        <w:rPr>
          <w:rFonts w:hint="default"/>
        </w:rPr>
        <w:t>2. Бринк, Х. Машинное обучение / Х. Бринк, Дж. Ричардс, М. Феверолф. — СПб.: Питер, 2017. — 336 с.</w:t>
      </w:r>
    </w:p>
    <w:p w14:paraId="4EF84DFC">
      <w:pPr>
        <w:pStyle w:val="25"/>
        <w:rPr>
          <w:rFonts w:hint="default"/>
        </w:rPr>
      </w:pPr>
      <w:r>
        <w:rPr>
          <w:rFonts w:hint="default"/>
        </w:rPr>
        <w:t>3. Меньшаков, Г. П. Информационные технологии в медицине / Г. П. Меньшаков. — М.: ГЭОТАР-Медиа, 2021. — 256 с.</w:t>
      </w:r>
    </w:p>
    <w:p w14:paraId="08370A85">
      <w:pPr>
        <w:pStyle w:val="25"/>
        <w:rPr>
          <w:rFonts w:hint="default"/>
        </w:rPr>
      </w:pPr>
      <w:r>
        <w:rPr>
          <w:rFonts w:hint="default"/>
        </w:rPr>
        <w:t>4. ГОСТ Р 52636-2006. Электронная история болезни. Основные положения.</w:t>
      </w:r>
    </w:p>
    <w:p w14:paraId="25A0A6B1">
      <w:pPr>
        <w:pStyle w:val="25"/>
        <w:rPr>
          <w:rFonts w:hint="default"/>
        </w:rPr>
      </w:pPr>
      <w:r>
        <w:rPr>
          <w:rFonts w:hint="default"/>
        </w:rPr>
        <w:t>5. Клинические рекомендации «Кардиоваскулярная профилактика 2022». Минздрав РФ.</w:t>
      </w:r>
    </w:p>
    <w:p w14:paraId="1CDC7257">
      <w:pPr>
        <w:pStyle w:val="25"/>
        <w:rPr>
          <w:rFonts w:hint="default"/>
        </w:rPr>
      </w:pPr>
      <w:r>
        <w:rPr>
          <w:rFonts w:hint="default"/>
        </w:rPr>
        <w:t>6. Документация библиотеки CatBoost [Электронный ресурс]. — Режим доступа: https://catboost.ai/docs/ (дата обращения: 24.05.2024).</w:t>
      </w:r>
    </w:p>
    <w:p w14:paraId="3EBAC3C7">
      <w:pPr>
        <w:pStyle w:val="25"/>
        <w:rPr>
          <w:rFonts w:hint="default"/>
        </w:rPr>
      </w:pPr>
      <w:r>
        <w:rPr>
          <w:rFonts w:hint="default"/>
        </w:rPr>
        <w:t>7. Всемирная организация здравоохранения. Сердечно-сосудистые заболевания: информационный бюллетень [Электронный ресурс]. — Режим доступа: https://www.who.int/ru/news-room/fact-sheets/detail/cardiovascular-diseases-(cvds) (дата обращения: 20.05.2024).</w:t>
      </w:r>
    </w:p>
    <w:p w14:paraId="0026A12B">
      <w:pPr>
        <w:pStyle w:val="25"/>
        <w:rPr>
          <w:rFonts w:hint="default"/>
        </w:rPr>
      </w:pPr>
    </w:p>
    <w:p w14:paraId="347CEE8E">
      <w:pPr>
        <w:pStyle w:val="25"/>
        <w:rPr>
          <w:rFonts w:ascii="Times New Roman" w:hAnsi="Times New Roman" w:cs="Times New Roman"/>
          <w:sz w:val="28"/>
          <w:szCs w:val="28"/>
          <w:lang w:val="ru-RU"/>
        </w:rPr>
      </w:pPr>
    </w:p>
    <w:sectPr>
      <w:pgSz w:w="12240" w:h="15840"/>
      <w:pgMar w:top="1134" w:right="850" w:bottom="1134" w:left="170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0AA"/>
    <w:rsid w:val="00036119"/>
    <w:rsid w:val="00100FE7"/>
    <w:rsid w:val="007E1DBC"/>
    <w:rsid w:val="008A20AA"/>
    <w:rsid w:val="00915D93"/>
    <w:rsid w:val="0094007E"/>
    <w:rsid w:val="009B622D"/>
    <w:rsid w:val="00A8247E"/>
    <w:rsid w:val="00C27050"/>
    <w:rsid w:val="0EC74FCE"/>
    <w:rsid w:val="22BA39AF"/>
    <w:rsid w:val="3B555760"/>
    <w:rsid w:val="43501006"/>
    <w:rsid w:val="6A5A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qFormat="1" w:uiPriority="9" w:semiHidden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0" w:semiHidden="0" w:name="caption"/>
    <w:lsdException w:uiPriority="0" w:name="table of figures"/>
    <w:lsdException w:uiPriority="0" w:name="envelope address"/>
    <w:lsdException w:uiPriority="0" w:name="envelope return"/>
    <w:lsdException w:qFormat="1" w:unhideWhenUsed="0" w:uiPriority="0" w:semiHidden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nhideWhenUsed="0" w:uiPriority="0" w:semiHidden="0" w:name="List Number 2"/>
    <w:lsdException w:uiPriority="0" w:name="List Number 3"/>
    <w:lsdException w:uiPriority="0" w:name="List Number 4"/>
    <w:lsdException w:unhideWhenUsed="0" w:uiPriority="0" w:semiHidden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qFormat="1" w:unhideWhenUsed="0" w:uiPriority="0" w:semiHidden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qFormat="1"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qFormat="1"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Название объекта Знак"/>
    <w:basedOn w:val="12"/>
    <w:link w:val="16"/>
    <w:qFormat/>
    <w:uiPriority w:val="0"/>
  </w:style>
  <w:style w:type="paragraph" w:styleId="16">
    <w:name w:val="caption"/>
    <w:basedOn w:val="1"/>
    <w:link w:val="15"/>
    <w:qFormat/>
    <w:uiPriority w:val="0"/>
    <w:pPr>
      <w:spacing w:after="120"/>
    </w:pPr>
    <w:rPr>
      <w:i/>
    </w:rPr>
  </w:style>
  <w:style w:type="character" w:styleId="17">
    <w:name w:val="Hyperlink"/>
    <w:basedOn w:val="15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styleId="18">
    <w:name w:val="HTML Code"/>
    <w:basedOn w:val="12"/>
    <w:semiHidden/>
    <w:unhideWhenUsed/>
    <w:qFormat/>
    <w:uiPriority w:val="0"/>
    <w:rPr>
      <w:rFonts w:ascii="Courier New" w:hAnsi="Courier New" w:cs="Courier New"/>
      <w:sz w:val="20"/>
      <w:szCs w:val="20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1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2">
    <w:name w:val="Normal (Web)"/>
    <w:semiHidden/>
    <w:unhideWhenUsed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21"/>
    <w:next w:val="3"/>
    <w:qFormat/>
    <w:uiPriority w:val="0"/>
    <w:pPr>
      <w:spacing w:before="240"/>
    </w:pPr>
    <w:rPr>
      <w:sz w:val="30"/>
      <w:szCs w:val="30"/>
    </w:rPr>
  </w:style>
  <w:style w:type="paragraph" w:styleId="2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paragraph" w:customStyle="1" w:styleId="31">
    <w:name w:val="Footnote Block Text"/>
    <w:unhideWhenUsed/>
    <w:qFormat/>
    <w:uiPriority w:val="9"/>
    <w:pPr>
      <w:spacing w:before="100" w:after="100"/>
      <w:ind w:left="480" w:right="48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3">
    <w:name w:val="Definition Term"/>
    <w:basedOn w:val="1"/>
    <w:next w:val="34"/>
    <w:qFormat/>
    <w:uiPriority w:val="0"/>
    <w:pPr>
      <w:keepNext/>
      <w:keepLines/>
      <w:spacing w:after="0"/>
    </w:pPr>
    <w:rPr>
      <w:b/>
    </w:rPr>
  </w:style>
  <w:style w:type="paragraph" w:customStyle="1" w:styleId="34">
    <w:name w:val="Definition"/>
    <w:basedOn w:val="1"/>
    <w:qFormat/>
    <w:uiPriority w:val="0"/>
  </w:style>
  <w:style w:type="paragraph" w:customStyle="1" w:styleId="35">
    <w:name w:val="Table Caption"/>
    <w:basedOn w:val="16"/>
    <w:qFormat/>
    <w:uiPriority w:val="0"/>
    <w:pPr>
      <w:keepNext/>
    </w:pPr>
  </w:style>
  <w:style w:type="paragraph" w:customStyle="1" w:styleId="36">
    <w:name w:val="Image Caption"/>
    <w:basedOn w:val="16"/>
    <w:qFormat/>
    <w:uiPriority w:val="0"/>
  </w:style>
  <w:style w:type="paragraph" w:customStyle="1" w:styleId="37">
    <w:name w:val="Figure"/>
    <w:basedOn w:val="1"/>
    <w:qFormat/>
    <w:uiPriority w:val="0"/>
  </w:style>
  <w:style w:type="paragraph" w:customStyle="1" w:styleId="38">
    <w:name w:val="Captioned Figure"/>
    <w:basedOn w:val="37"/>
    <w:qFormat/>
    <w:uiPriority w:val="0"/>
    <w:pPr>
      <w:keepNext/>
    </w:pPr>
  </w:style>
  <w:style w:type="character" w:customStyle="1" w:styleId="39">
    <w:name w:val="Verbatim Char"/>
    <w:basedOn w:val="15"/>
    <w:link w:val="40"/>
    <w:qFormat/>
    <w:uiPriority w:val="0"/>
    <w:rPr>
      <w:rFonts w:ascii="Consolas" w:hAnsi="Consolas"/>
      <w:sz w:val="22"/>
    </w:rPr>
  </w:style>
  <w:style w:type="paragraph" w:customStyle="1" w:styleId="40">
    <w:name w:val="Source Code"/>
    <w:basedOn w:val="1"/>
    <w:link w:val="39"/>
    <w:qFormat/>
    <w:uiPriority w:val="0"/>
    <w:pPr>
      <w:wordWrap w:val="0"/>
    </w:pPr>
  </w:style>
  <w:style w:type="character" w:customStyle="1" w:styleId="41">
    <w:name w:val="Section Number"/>
    <w:basedOn w:val="15"/>
    <w:qFormat/>
    <w:uiPriority w:val="0"/>
  </w:style>
  <w:style w:type="paragraph" w:customStyle="1" w:styleId="4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3">
    <w:name w:val="KeywordTok"/>
    <w:basedOn w:val="39"/>
    <w:qFormat/>
    <w:uiPriority w:val="0"/>
    <w:rPr>
      <w:rFonts w:ascii="Consolas" w:hAnsi="Consolas"/>
      <w:b/>
      <w:color w:val="007020"/>
      <w:sz w:val="22"/>
    </w:rPr>
  </w:style>
  <w:style w:type="character" w:customStyle="1" w:styleId="44">
    <w:name w:val="DataTypeTok"/>
    <w:basedOn w:val="39"/>
    <w:qFormat/>
    <w:uiPriority w:val="0"/>
    <w:rPr>
      <w:rFonts w:ascii="Consolas" w:hAnsi="Consolas"/>
      <w:color w:val="902000"/>
      <w:sz w:val="22"/>
    </w:rPr>
  </w:style>
  <w:style w:type="character" w:customStyle="1" w:styleId="45">
    <w:name w:val="DecValTok"/>
    <w:basedOn w:val="39"/>
    <w:qFormat/>
    <w:uiPriority w:val="0"/>
    <w:rPr>
      <w:rFonts w:ascii="Consolas" w:hAnsi="Consolas"/>
      <w:color w:val="40A070"/>
      <w:sz w:val="22"/>
    </w:rPr>
  </w:style>
  <w:style w:type="character" w:customStyle="1" w:styleId="46">
    <w:name w:val="BaseNTok"/>
    <w:basedOn w:val="39"/>
    <w:qFormat/>
    <w:uiPriority w:val="0"/>
    <w:rPr>
      <w:rFonts w:ascii="Consolas" w:hAnsi="Consolas"/>
      <w:color w:val="40A070"/>
      <w:sz w:val="22"/>
    </w:rPr>
  </w:style>
  <w:style w:type="character" w:customStyle="1" w:styleId="47">
    <w:name w:val="FloatTok"/>
    <w:basedOn w:val="39"/>
    <w:qFormat/>
    <w:uiPriority w:val="0"/>
    <w:rPr>
      <w:rFonts w:ascii="Consolas" w:hAnsi="Consolas"/>
      <w:color w:val="40A070"/>
      <w:sz w:val="22"/>
    </w:rPr>
  </w:style>
  <w:style w:type="character" w:customStyle="1" w:styleId="48">
    <w:name w:val="ConstantTok"/>
    <w:basedOn w:val="39"/>
    <w:qFormat/>
    <w:uiPriority w:val="0"/>
    <w:rPr>
      <w:rFonts w:ascii="Consolas" w:hAnsi="Consolas"/>
      <w:color w:val="880000"/>
      <w:sz w:val="22"/>
    </w:rPr>
  </w:style>
  <w:style w:type="character" w:customStyle="1" w:styleId="49">
    <w:name w:val="CharTok"/>
    <w:basedOn w:val="39"/>
    <w:qFormat/>
    <w:uiPriority w:val="0"/>
    <w:rPr>
      <w:rFonts w:ascii="Consolas" w:hAnsi="Consolas"/>
      <w:color w:val="4070A0"/>
      <w:sz w:val="22"/>
    </w:rPr>
  </w:style>
  <w:style w:type="character" w:customStyle="1" w:styleId="50">
    <w:name w:val="SpecialCharTok"/>
    <w:basedOn w:val="39"/>
    <w:uiPriority w:val="0"/>
    <w:rPr>
      <w:rFonts w:ascii="Consolas" w:hAnsi="Consolas"/>
      <w:color w:val="4070A0"/>
      <w:sz w:val="22"/>
    </w:rPr>
  </w:style>
  <w:style w:type="character" w:customStyle="1" w:styleId="51">
    <w:name w:val="StringTok"/>
    <w:basedOn w:val="39"/>
    <w:qFormat/>
    <w:uiPriority w:val="0"/>
    <w:rPr>
      <w:rFonts w:ascii="Consolas" w:hAnsi="Consolas"/>
      <w:color w:val="4070A0"/>
      <w:sz w:val="22"/>
    </w:rPr>
  </w:style>
  <w:style w:type="character" w:customStyle="1" w:styleId="52">
    <w:name w:val="VerbatimStringTok"/>
    <w:basedOn w:val="39"/>
    <w:qFormat/>
    <w:uiPriority w:val="0"/>
    <w:rPr>
      <w:rFonts w:ascii="Consolas" w:hAnsi="Consolas"/>
      <w:color w:val="4070A0"/>
      <w:sz w:val="22"/>
    </w:rPr>
  </w:style>
  <w:style w:type="character" w:customStyle="1" w:styleId="53">
    <w:name w:val="SpecialStringTok"/>
    <w:basedOn w:val="39"/>
    <w:qFormat/>
    <w:uiPriority w:val="0"/>
    <w:rPr>
      <w:rFonts w:ascii="Consolas" w:hAnsi="Consolas"/>
      <w:color w:val="BB6688"/>
      <w:sz w:val="22"/>
    </w:rPr>
  </w:style>
  <w:style w:type="character" w:customStyle="1" w:styleId="54">
    <w:name w:val="ImportTok"/>
    <w:basedOn w:val="39"/>
    <w:qFormat/>
    <w:uiPriority w:val="0"/>
    <w:rPr>
      <w:rFonts w:ascii="Consolas" w:hAnsi="Consolas"/>
      <w:b/>
      <w:color w:val="008000"/>
      <w:sz w:val="22"/>
    </w:rPr>
  </w:style>
  <w:style w:type="character" w:customStyle="1" w:styleId="55">
    <w:name w:val="CommentTok"/>
    <w:basedOn w:val="39"/>
    <w:qFormat/>
    <w:uiPriority w:val="0"/>
    <w:rPr>
      <w:rFonts w:ascii="Consolas" w:hAnsi="Consolas"/>
      <w:i/>
      <w:color w:val="60A0B0"/>
      <w:sz w:val="22"/>
    </w:rPr>
  </w:style>
  <w:style w:type="character" w:customStyle="1" w:styleId="56">
    <w:name w:val="DocumentationTok"/>
    <w:basedOn w:val="39"/>
    <w:qFormat/>
    <w:uiPriority w:val="0"/>
    <w:rPr>
      <w:rFonts w:ascii="Consolas" w:hAnsi="Consolas"/>
      <w:i/>
      <w:color w:val="BA2121"/>
      <w:sz w:val="22"/>
    </w:rPr>
  </w:style>
  <w:style w:type="character" w:customStyle="1" w:styleId="57">
    <w:name w:val="AnnotationTok"/>
    <w:basedOn w:val="39"/>
    <w:qFormat/>
    <w:uiPriority w:val="0"/>
    <w:rPr>
      <w:rFonts w:ascii="Consolas" w:hAnsi="Consolas"/>
      <w:b/>
      <w:i/>
      <w:color w:val="60A0B0"/>
      <w:sz w:val="22"/>
    </w:rPr>
  </w:style>
  <w:style w:type="character" w:customStyle="1" w:styleId="58">
    <w:name w:val="CommentVarTok"/>
    <w:basedOn w:val="39"/>
    <w:uiPriority w:val="0"/>
    <w:rPr>
      <w:rFonts w:ascii="Consolas" w:hAnsi="Consolas"/>
      <w:b/>
      <w:i/>
      <w:color w:val="60A0B0"/>
      <w:sz w:val="22"/>
    </w:rPr>
  </w:style>
  <w:style w:type="character" w:customStyle="1" w:styleId="59">
    <w:name w:val="OtherTok"/>
    <w:basedOn w:val="39"/>
    <w:qFormat/>
    <w:uiPriority w:val="0"/>
    <w:rPr>
      <w:rFonts w:ascii="Consolas" w:hAnsi="Consolas"/>
      <w:color w:val="007020"/>
      <w:sz w:val="22"/>
    </w:rPr>
  </w:style>
  <w:style w:type="character" w:customStyle="1" w:styleId="60">
    <w:name w:val="FunctionTok"/>
    <w:basedOn w:val="39"/>
    <w:qFormat/>
    <w:uiPriority w:val="0"/>
    <w:rPr>
      <w:rFonts w:ascii="Consolas" w:hAnsi="Consolas"/>
      <w:color w:val="06287E"/>
      <w:sz w:val="22"/>
    </w:rPr>
  </w:style>
  <w:style w:type="character" w:customStyle="1" w:styleId="61">
    <w:name w:val="VariableTok"/>
    <w:basedOn w:val="39"/>
    <w:qFormat/>
    <w:uiPriority w:val="0"/>
    <w:rPr>
      <w:rFonts w:ascii="Consolas" w:hAnsi="Consolas"/>
      <w:color w:val="19177C"/>
      <w:sz w:val="22"/>
    </w:rPr>
  </w:style>
  <w:style w:type="character" w:customStyle="1" w:styleId="62">
    <w:name w:val="ControlFlowTok"/>
    <w:basedOn w:val="39"/>
    <w:qFormat/>
    <w:uiPriority w:val="0"/>
    <w:rPr>
      <w:rFonts w:ascii="Consolas" w:hAnsi="Consolas"/>
      <w:b/>
      <w:color w:val="007020"/>
      <w:sz w:val="22"/>
    </w:rPr>
  </w:style>
  <w:style w:type="character" w:customStyle="1" w:styleId="63">
    <w:name w:val="OperatorTok"/>
    <w:basedOn w:val="39"/>
    <w:qFormat/>
    <w:uiPriority w:val="0"/>
    <w:rPr>
      <w:rFonts w:ascii="Consolas" w:hAnsi="Consolas"/>
      <w:color w:val="666666"/>
      <w:sz w:val="22"/>
    </w:rPr>
  </w:style>
  <w:style w:type="character" w:customStyle="1" w:styleId="64">
    <w:name w:val="BuiltInTok"/>
    <w:basedOn w:val="39"/>
    <w:qFormat/>
    <w:uiPriority w:val="0"/>
    <w:rPr>
      <w:rFonts w:ascii="Consolas" w:hAnsi="Consolas"/>
      <w:color w:val="008000"/>
      <w:sz w:val="22"/>
    </w:rPr>
  </w:style>
  <w:style w:type="character" w:customStyle="1" w:styleId="65">
    <w:name w:val="ExtensionTok"/>
    <w:basedOn w:val="39"/>
    <w:uiPriority w:val="0"/>
    <w:rPr>
      <w:rFonts w:ascii="Consolas" w:hAnsi="Consolas"/>
      <w:sz w:val="22"/>
    </w:rPr>
  </w:style>
  <w:style w:type="character" w:customStyle="1" w:styleId="66">
    <w:name w:val="PreprocessorTok"/>
    <w:basedOn w:val="39"/>
    <w:uiPriority w:val="0"/>
    <w:rPr>
      <w:rFonts w:ascii="Consolas" w:hAnsi="Consolas"/>
      <w:color w:val="BC7A00"/>
      <w:sz w:val="22"/>
    </w:rPr>
  </w:style>
  <w:style w:type="character" w:customStyle="1" w:styleId="67">
    <w:name w:val="AttributeTok"/>
    <w:basedOn w:val="39"/>
    <w:uiPriority w:val="0"/>
    <w:rPr>
      <w:rFonts w:ascii="Consolas" w:hAnsi="Consolas"/>
      <w:color w:val="7D9029"/>
      <w:sz w:val="22"/>
    </w:rPr>
  </w:style>
  <w:style w:type="character" w:customStyle="1" w:styleId="68">
    <w:name w:val="RegionMarkerTok"/>
    <w:basedOn w:val="39"/>
    <w:uiPriority w:val="0"/>
    <w:rPr>
      <w:rFonts w:ascii="Consolas" w:hAnsi="Consolas"/>
      <w:sz w:val="22"/>
    </w:rPr>
  </w:style>
  <w:style w:type="character" w:customStyle="1" w:styleId="69">
    <w:name w:val="InformationTok"/>
    <w:basedOn w:val="39"/>
    <w:uiPriority w:val="0"/>
    <w:rPr>
      <w:rFonts w:ascii="Consolas" w:hAnsi="Consolas"/>
      <w:b/>
      <w:i/>
      <w:color w:val="60A0B0"/>
      <w:sz w:val="22"/>
    </w:rPr>
  </w:style>
  <w:style w:type="character" w:customStyle="1" w:styleId="70">
    <w:name w:val="WarningTok"/>
    <w:basedOn w:val="39"/>
    <w:uiPriority w:val="0"/>
    <w:rPr>
      <w:rFonts w:ascii="Consolas" w:hAnsi="Consolas"/>
      <w:b/>
      <w:i/>
      <w:color w:val="60A0B0"/>
      <w:sz w:val="22"/>
    </w:rPr>
  </w:style>
  <w:style w:type="character" w:customStyle="1" w:styleId="71">
    <w:name w:val="AlertTok"/>
    <w:basedOn w:val="39"/>
    <w:uiPriority w:val="0"/>
    <w:rPr>
      <w:rFonts w:ascii="Consolas" w:hAnsi="Consolas"/>
      <w:b/>
      <w:color w:val="FF0000"/>
      <w:sz w:val="22"/>
    </w:rPr>
  </w:style>
  <w:style w:type="character" w:customStyle="1" w:styleId="72">
    <w:name w:val="ErrorTok"/>
    <w:basedOn w:val="39"/>
    <w:uiPriority w:val="0"/>
    <w:rPr>
      <w:rFonts w:ascii="Consolas" w:hAnsi="Consolas"/>
      <w:b/>
      <w:color w:val="FF0000"/>
      <w:sz w:val="22"/>
    </w:rPr>
  </w:style>
  <w:style w:type="character" w:customStyle="1" w:styleId="73">
    <w:name w:val="NormalTok"/>
    <w:basedOn w:val="39"/>
    <w:uiPriority w:val="0"/>
    <w:rPr>
      <w:rFonts w:ascii="Consolas" w:hAnsi="Consolas"/>
      <w:sz w:val="22"/>
    </w:rPr>
  </w:style>
  <w:style w:type="paragraph" w:customStyle="1" w:styleId="74">
    <w:name w:val="Default"/>
    <w:qFormat/>
    <w:uiPriority w:val="0"/>
    <w:pPr>
      <w:autoSpaceDE w:val="0"/>
      <w:autoSpaceDN w:val="0"/>
      <w:adjustRightInd w:val="0"/>
      <w:spacing w:after="0"/>
    </w:pPr>
    <w:rPr>
      <w:rFonts w:ascii="Calibri" w:hAnsi="Calibri" w:eastAsia="Calibri" w:cs="Calibri"/>
      <w:color w:val="000000"/>
      <w:sz w:val="24"/>
      <w:szCs w:val="24"/>
      <w:lang w:val="ru-RU" w:eastAsia="en-US" w:bidi="ar-SA"/>
    </w:rPr>
  </w:style>
  <w:style w:type="paragraph" w:customStyle="1" w:styleId="75">
    <w:name w:val="ConsPlusNormal"/>
    <w:uiPriority w:val="0"/>
    <w:pPr>
      <w:widowControl w:val="0"/>
      <w:autoSpaceDE w:val="0"/>
      <w:autoSpaceDN w:val="0"/>
      <w:adjustRightInd w:val="0"/>
      <w:spacing w:after="0"/>
    </w:pPr>
    <w:rPr>
      <w:rFonts w:ascii="Arial" w:hAnsi="Arial" w:eastAsia="Times New Roman" w:cs="Arial"/>
      <w:sz w:val="20"/>
      <w:szCs w:val="20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908</Words>
  <Characters>6887</Characters>
  <Lines>349</Lines>
  <Paragraphs>98</Paragraphs>
  <TotalTime>29</TotalTime>
  <ScaleCrop>false</ScaleCrop>
  <LinksUpToDate>false</LinksUpToDate>
  <CharactersWithSpaces>7776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2026-01-16T12:13:00Z</dcterms:created>
  <dc:creator>ок</dc:creator>
  <cp:lastModifiedBy>Ivan</cp:lastModifiedBy>
  <dcterms:modified xsi:type="dcterms:W3CDTF">2026-06-14T15:53:50Z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eyJoZGlkIjoiN2JhM2RkM2RiMTc5ZmZmZjQ1ZTViZGMxZDVmZDJkNTYiLCJ1c2VySWQiOiI4NDI1NTU1NjQ2NDcifQ==</vt:lpwstr>
  </property>
  <property fmtid="{D5CDD505-2E9C-101B-9397-08002B2CF9AE}" pid="3" name="KSOProductBuildVer">
    <vt:lpwstr>1049-12.1.0.26880</vt:lpwstr>
  </property>
  <property fmtid="{D5CDD505-2E9C-101B-9397-08002B2CF9AE}" pid="4" name="ICV">
    <vt:lpwstr>44235303F31C436BADBC8BD4691D3496_13</vt:lpwstr>
  </property>
</Properties>
</file>