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drawing>
          <wp:inline xmlns:a="http://schemas.openxmlformats.org/drawingml/2006/main" xmlns:pic="http://schemas.openxmlformats.org/drawingml/2006/picture">
            <wp:extent cx="841248" cy="841248"/>
            <wp:docPr id="1" name="Picture 1" descr="Logotipo de GymVer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yellow-b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84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Kicker"/>
        <w:spacing w:after="240"/>
        <w:jc w:val="center"/>
      </w:pPr>
      <w:r>
        <w:rPr>
          <w:rFonts w:ascii="Calibri" w:hAnsi="Calibri" w:eastAsia="Calibri"/>
          <w:b/>
          <w:color w:val="9A6700"/>
          <w:sz w:val="20"/>
        </w:rPr>
        <w:t>GYMVERSE  ·  DOCUMENTACIÓN DEL PROYECTO</w:t>
      </w:r>
    </w:p>
    <w:p>
      <w:pPr>
        <w:pStyle w:val="CoverTitle"/>
        <w:spacing w:after="160"/>
        <w:jc w:val="center"/>
      </w:pPr>
      <w:r>
        <w:rPr>
          <w:rFonts w:ascii="Calibri" w:hAnsi="Calibri" w:eastAsia="Calibri"/>
          <w:b/>
          <w:color w:val="171717"/>
          <w:sz w:val="56"/>
        </w:rPr>
        <w:t>Manual técnico</w:t>
      </w:r>
    </w:p>
    <w:p>
      <w:pPr>
        <w:pStyle w:val="CoverSubtitle"/>
        <w:spacing w:after="560"/>
        <w:jc w:val="center"/>
      </w:pPr>
      <w:r>
        <w:rPr>
          <w:rFonts w:ascii="Calibri" w:hAnsi="Calibri" w:eastAsia="Calibri"/>
          <w:color w:val="60646C"/>
          <w:sz w:val="28"/>
        </w:rPr>
        <w:t>Arquitectura, instalación, configuración, operación y mantenimiento</w:t>
      </w:r>
    </w:p>
    <w:p>
      <w:pPr>
        <w:pStyle w:val="Callout"/>
        <w:keepLines/>
        <w:spacing w:before="120" w:after="120" w:line="264" w:lineRule="auto"/>
        <w:ind w:left="115" w:right="115"/>
        <w:shd w:fill="FFF6C7"/>
        <w:pBdr>
          <w:top w:val="single" w:sz="10" w:space="6" w:color="FFD400"/>
          <w:left w:val="single" w:sz="10" w:space="6" w:color="FFD400"/>
          <w:bottom w:val="single" w:sz="10" w:space="6" w:color="FFD400"/>
          <w:right w:val="single" w:sz="10" w:space="6" w:color="FFD400"/>
        </w:pBdr>
      </w:pPr>
      <w:r>
        <w:rPr>
          <w:rFonts w:ascii="Calibri" w:hAnsi="Calibri" w:eastAsia="Calibri"/>
          <w:b/>
          <w:color w:val="252525"/>
          <w:sz w:val="21"/>
        </w:rPr>
        <w:t xml:space="preserve">Propósito del documento: </w:t>
      </w:r>
      <w:r>
        <w:rPr>
          <w:rFonts w:ascii="Calibri" w:hAnsi="Calibri" w:eastAsia="Calibri"/>
          <w:color w:val="252525"/>
          <w:sz w:val="21"/>
        </w:rPr>
        <w:t>Servir como referencia para instalar, comprender, desplegar, verificar y mantener la plataforma GymVerse.</w:t>
      </w:r>
    </w:p>
    <w:p>
      <w:pPr>
        <w:pStyle w:val="SmallMeta"/>
        <w:spacing w:before="560" w:after="80"/>
        <w:jc w:val="center"/>
      </w:pPr>
      <w:r>
        <w:rPr>
          <w:rFonts w:ascii="Calibri" w:hAnsi="Calibri" w:eastAsia="Calibri"/>
          <w:b/>
          <w:color w:val="777B84"/>
          <w:sz w:val="19"/>
        </w:rPr>
        <w:t>Versión 1.0  ·  29 de julio de 2026</w:t>
      </w:r>
    </w:p>
    <w:p>
      <w:pPr>
        <w:pStyle w:val="SmallMeta"/>
        <w:jc w:val="center"/>
      </w:pPr>
      <w:r>
        <w:rPr>
          <w:rFonts w:ascii="Calibri" w:hAnsi="Calibri" w:eastAsia="Calibri"/>
          <w:i/>
          <w:color w:val="777B84"/>
          <w:sz w:val="18"/>
        </w:rPr>
        <w:t>Base de evidencia: repositorio local GymVerse y validaciones ejecutadas en la fecha del informe.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Arquitectura y estructura del monorepo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Requisitos, instalación y variables de entorno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Modelo de datos y API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Seguridad, integraciones y concurrencia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Despliegue, verificación, mantenimiento y recuperación</w:t>
      </w:r>
    </w:p>
    <w:p>
      <w:pPr>
        <w:pStyle w:val="Heading1"/>
        <w:keepNext/>
      </w:pPr>
      <w:r>
        <w:t>1. Visión técnica</w:t>
      </w:r>
    </w:p>
    <w:p>
      <w:r>
        <w:rPr>
          <w:rFonts w:ascii="Calibri" w:hAnsi="Calibri" w:eastAsia="Calibri"/>
          <w:i w:val="0"/>
          <w:color w:val="171717"/>
        </w:rPr>
        <w:t>GymVerse es un monorepo JavaScript con workspaces npm. La API utiliza Node.js, Express y Mongoose; las interfaces de cliente y administración utilizan React y Vite. La PWA de cliente registra un service worker en producción.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2" name="Picture 2" descr="Figura 1. Componentes técnicos y dependencias extern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Calibri"/>
          <w:i/>
          <w:color w:val="777B84"/>
          <w:sz w:val="18"/>
        </w:rPr>
        <w:t>Figura 1. Componentes técnicos y dependencias externas.</w:t>
      </w:r>
    </w:p>
    <w:p>
      <w:pPr>
        <w:pStyle w:val="Heading1"/>
        <w:keepNext/>
      </w:pPr>
      <w:r>
        <w:t>2. Estructura del repositorio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Ruta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Responsabilidad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apps/api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API REST, modelos, reglas de negocio, seguridad, integraciones, scripts y entrada serverless.</w:t>
            </w:r>
          </w:p>
        </w:tc>
      </w:tr>
      <w:tr>
        <w:trPr>
          <w:cantSplit w:val="true"/>
        </w:trPr>
        <w:tc>
          <w:tcPr>
            <w:tcW w:type="dxa" w:w="2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apps/customer</w:t>
            </w:r>
          </w:p>
        </w:tc>
        <w:tc>
          <w:tcPr>
            <w:tcW w:type="dxa" w:w="67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PWA para catálogo, compra, pedidos, perfil, gimnasios, recompensas y soporte.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apps/admin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Panel administrativo, permisos de staff y portal operativo de gimnasio.</w:t>
            </w:r>
          </w:p>
        </w:tc>
      </w:tr>
      <w:tr>
        <w:trPr>
          <w:cantSplit w:val="true"/>
        </w:trPr>
        <w:tc>
          <w:tcPr>
            <w:tcW w:type="dxa" w:w="2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documentacion</w:t>
            </w:r>
          </w:p>
        </w:tc>
        <w:tc>
          <w:tcPr>
            <w:tcW w:type="dxa" w:w="67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Documentos funcionales, técnicos y de gestión.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.github/workflows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Validación de build, auditoría interna y análisis de dependencias.</w:t>
            </w:r>
          </w:p>
        </w:tc>
      </w:tr>
      <w:tr>
        <w:trPr>
          <w:cantSplit w:val="true"/>
        </w:trPr>
        <w:tc>
          <w:tcPr>
            <w:tcW w:type="dxa" w:w="2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render.yaml / vercel.json / netlify.toml</w:t>
            </w:r>
          </w:p>
        </w:tc>
        <w:tc>
          <w:tcPr>
            <w:tcW w:type="dxa" w:w="67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Definiciones de despliegue para API y frontends.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Requisitos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Elemento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Requisito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Node.js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20.19.0 o superior, conforme al package.json raíz.</w:t>
            </w:r>
          </w:p>
        </w:tc>
      </w:tr>
      <w:tr>
        <w:trPr>
          <w:cantSplit w:val="true"/>
        </w:trPr>
        <w:tc>
          <w:tcPr>
            <w:tcW w:type="dxa" w:w="2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npm</w:t>
            </w:r>
          </w:p>
        </w:tc>
        <w:tc>
          <w:tcPr>
            <w:tcW w:type="dxa" w:w="71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Versión compatible con Node 20 y workspaces.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MongoDB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Instancia accesible mediante URI; se recomienda una base separada por ambiente.</w:t>
            </w:r>
          </w:p>
        </w:tc>
      </w:tr>
      <w:tr>
        <w:trPr>
          <w:cantSplit w:val="true"/>
        </w:trPr>
        <w:tc>
          <w:tcPr>
            <w:tcW w:type="dxa" w:w="2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Navegador</w:t>
            </w:r>
          </w:p>
        </w:tc>
        <w:tc>
          <w:tcPr>
            <w:tcW w:type="dxa" w:w="71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Versión moderna con JavaScript, almacenamiento local y soporte PWA cuando se requiera.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Servicios externos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Credenciales de Mercado Pago, Cloudinary, Google y Resend según las funciones habilitadas.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Instalación local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Clonar o abrir el repositorio y trabajar desde su carpeta raíz.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Copiar .env.example a .env y completar exclusivamente valores del ambiente local.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Instalar dependencias con npm install.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Ejecutar npm run doctor para validar MongoDB.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Ejecutar npm run seed para cargar los datos de demostración cuando corresponda.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Ejecutar npm run dev para iniciar API, cliente y administrador.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Servicio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Dirección local predeterminada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API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http://localhost:4000</w:t>
            </w:r>
          </w:p>
        </w:tc>
      </w:tr>
      <w:tr>
        <w:trPr>
          <w:cantSplit w:val="true"/>
        </w:trPr>
        <w:tc>
          <w:tcPr>
            <w:tcW w:type="dxa" w:w="2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Cliente</w:t>
            </w:r>
          </w:p>
        </w:tc>
        <w:tc>
          <w:tcPr>
            <w:tcW w:type="dxa" w:w="67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http://localhost:5175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Administrador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http://localhost:5174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Variables de entorno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1650"/>
        <w:gridCol w:w="3750"/>
        <w:gridCol w:w="3960"/>
      </w:tblGrid>
      <w:tr>
        <w:trPr>
          <w:tblHeader w:val="true"/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Grupo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Variables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Uso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Base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NODE_ENV, PORT, MONGODB_URI, MONGODB_DB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Ambiente, puerto y persistencia.</w:t>
            </w:r>
          </w:p>
        </w:tc>
      </w:tr>
      <w:tr>
        <w:trPr>
          <w:cantSplit w:val="true"/>
        </w:trPr>
        <w:tc>
          <w:tcPr>
            <w:tcW w:type="dxa" w:w="16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Seguridad</w:t>
            </w:r>
          </w:p>
        </w:tc>
        <w:tc>
          <w:tcPr>
            <w:tcW w:type="dxa" w:w="37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JWT_SECRET, JWT_EXPIRES_IN, DATA_ENCRYPTION_KEY</w:t>
            </w:r>
          </w:p>
        </w:tc>
        <w:tc>
          <w:tcPr>
            <w:tcW w:type="dxa" w:w="39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Tokens y cifrado de campos sensibles.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Orígenes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CLIENT_ORIGIN, ADMIN_ORIGIN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Política CORS.</w:t>
            </w:r>
          </w:p>
        </w:tc>
      </w:tr>
      <w:tr>
        <w:trPr>
          <w:cantSplit w:val="true"/>
        </w:trPr>
        <w:tc>
          <w:tcPr>
            <w:tcW w:type="dxa" w:w="16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Límite de acceso</w:t>
            </w:r>
          </w:p>
        </w:tc>
        <w:tc>
          <w:tcPr>
            <w:tcW w:type="dxa" w:w="37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AUTH_RATE_LIMIT_WINDOW_MS, AUTH_RATE_LIMIT_MAX</w:t>
            </w:r>
          </w:p>
        </w:tc>
        <w:tc>
          <w:tcPr>
            <w:tcW w:type="dxa" w:w="39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Control de intentos de autenticación.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Identidad y correo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GOOGLE_CLIENT_ID, EMAIL_FROM, RESEND_API_KEY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Google Login y recuperación.</w:t>
            </w:r>
          </w:p>
        </w:tc>
      </w:tr>
      <w:tr>
        <w:trPr>
          <w:cantSplit w:val="true"/>
        </w:trPr>
        <w:tc>
          <w:tcPr>
            <w:tcW w:type="dxa" w:w="16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Pagos</w:t>
            </w:r>
          </w:p>
        </w:tc>
        <w:tc>
          <w:tcPr>
            <w:tcW w:type="dxa" w:w="37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MERCADO_PAGO_ACCESS_TOKEN, MERCADO_PAGO_WEBHOOK_URL</w:t>
            </w:r>
          </w:p>
        </w:tc>
        <w:tc>
          <w:tcPr>
            <w:tcW w:type="dxa" w:w="39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Checkout Pro y notificaciones de pago.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Imágenes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CLOUDINARY_CLOUD_NAME, CLOUDINARY_API_KEY, CLOUDINARY_API_SECRET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Carga externa de imágenes.</w:t>
            </w:r>
          </w:p>
        </w:tc>
      </w:tr>
      <w:tr>
        <w:trPr>
          <w:cantSplit w:val="true"/>
        </w:trPr>
        <w:tc>
          <w:tcPr>
            <w:tcW w:type="dxa" w:w="16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Frontends</w:t>
            </w:r>
          </w:p>
        </w:tc>
        <w:tc>
          <w:tcPr>
            <w:tcW w:type="dxa" w:w="37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VITE_API_URL, VITE_GOOGLE_CLIENT_ID</w:t>
            </w:r>
          </w:p>
        </w:tc>
        <w:tc>
          <w:tcPr>
            <w:tcW w:type="dxa" w:w="39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URL de API y configuración de Google del cliente.</w:t>
            </w:r>
          </w:p>
        </w:tc>
      </w:tr>
    </w:tbl>
    <w:p>
      <w:pPr>
        <w:spacing w:after="0"/>
      </w:pPr>
    </w:p>
    <w:p>
      <w:pPr>
        <w:pStyle w:val="Callout"/>
        <w:keepLines/>
        <w:spacing w:before="120" w:after="200" w:line="264" w:lineRule="auto"/>
        <w:ind w:left="115" w:right="115"/>
        <w:shd w:fill="FFF6C7"/>
        <w:pBdr>
          <w:top w:val="single" w:sz="10" w:space="6" w:color="FFD400"/>
          <w:left w:val="single" w:sz="10" w:space="6" w:color="FFD400"/>
          <w:bottom w:val="single" w:sz="10" w:space="6" w:color="FFD400"/>
          <w:right w:val="single" w:sz="10" w:space="6" w:color="FFD400"/>
        </w:pBdr>
      </w:pPr>
      <w:r>
        <w:rPr>
          <w:rFonts w:ascii="Calibri" w:hAnsi="Calibri" w:eastAsia="Calibri"/>
          <w:b/>
          <w:color w:val="252525"/>
          <w:sz w:val="21"/>
        </w:rPr>
        <w:t xml:space="preserve">Seguridad de configuración: </w:t>
      </w:r>
      <w:r>
        <w:rPr>
          <w:rFonts w:ascii="Calibri" w:hAnsi="Calibri" w:eastAsia="Calibri"/>
          <w:color w:val="252525"/>
          <w:sz w:val="21"/>
        </w:rPr>
        <w:t>No registrar .env en Git. En producción, JWT_SECRET debe ser robusto y DATA_ENCRYPTION_KEY debe tener al menos 32 caracteres. Las cuentas y claves de demostración deben reemplazarse.</w:t>
      </w:r>
    </w:p>
    <w:p>
      <w:pPr>
        <w:pStyle w:val="Heading1"/>
        <w:keepNext/>
      </w:pPr>
      <w:r>
        <w:t>6. Componentes de la API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Prefijo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Responsabilidad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/api/auth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Registro, login, Google, recuperación, perfil, contraseña y favoritos.</w:t>
            </w:r>
          </w:p>
        </w:tc>
      </w:tr>
      <w:tr>
        <w:trPr>
          <w:cantSplit w:val="true"/>
        </w:trPr>
        <w:tc>
          <w:tcPr>
            <w:tcW w:type="dxa" w:w="2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/api/catalog</w:t>
            </w:r>
          </w:p>
        </w:tc>
        <w:tc>
          <w:tcPr>
            <w:tcW w:type="dxa" w:w="71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Categorías, productos, reseñas, gimnasios, promociones, contenido y legales.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/api/orders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Pedidos, cupones, pagos, webhooks, devoluciones, pickup y reabastecimiento.</w:t>
            </w:r>
          </w:p>
        </w:tc>
      </w:tr>
      <w:tr>
        <w:trPr>
          <w:cantSplit w:val="true"/>
        </w:trPr>
        <w:tc>
          <w:tcPr>
            <w:tcW w:type="dxa" w:w="2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/api/admin</w:t>
            </w:r>
          </w:p>
        </w:tc>
        <w:tc>
          <w:tcPr>
            <w:tcW w:type="dxa" w:w="71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Operación administrativa, inventario, gimnasios, reportes, usuarios, auditoría y contenido.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/api/rewards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Consulta y canje de recompensas.</w:t>
            </w:r>
          </w:p>
        </w:tc>
      </w:tr>
      <w:tr>
        <w:trPr>
          <w:cantSplit w:val="true"/>
        </w:trPr>
        <w:tc>
          <w:tcPr>
            <w:tcW w:type="dxa" w:w="2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/api/notifications</w:t>
            </w:r>
          </w:p>
        </w:tc>
        <w:tc>
          <w:tcPr>
            <w:tcW w:type="dxa" w:w="71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Avisos, lecturas y limpieza.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/api/support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Tickets y mensajes de soporte.</w:t>
            </w:r>
          </w:p>
        </w:tc>
      </w:tr>
      <w:tr>
        <w:trPr>
          <w:cantSplit w:val="true"/>
        </w:trPr>
        <w:tc>
          <w:tcPr>
            <w:tcW w:type="dxa" w:w="2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/health</w:t>
            </w:r>
          </w:p>
        </w:tc>
        <w:tc>
          <w:tcPr>
            <w:tcW w:type="dxa" w:w="71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Estado del servicio, conexión de base de datos y tiempo activo.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i w:val="0"/>
          <w:color w:val="171717"/>
        </w:rPr>
        <w:t>El estado actual contiene 116 manejadores de rutas y 21 modelos Mongoose. Estas cifras describen superficie técnica, no cobertura de pruebas.</w:t>
      </w:r>
    </w:p>
    <w:p>
      <w:pPr>
        <w:pStyle w:val="Heading1"/>
        <w:keepNext/>
      </w:pPr>
      <w:r>
        <w:t>7. Modelo de datos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Dominio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Modelos principales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Identidad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User</w:t>
            </w:r>
          </w:p>
        </w:tc>
      </w:tr>
      <w:tr>
        <w:trPr>
          <w:cantSplit w:val="true"/>
        </w:trPr>
        <w:tc>
          <w:tcPr>
            <w:tcW w:type="dxa" w:w="2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Catálogo</w:t>
            </w:r>
          </w:p>
        </w:tc>
        <w:tc>
          <w:tcPr>
            <w:tcW w:type="dxa" w:w="67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Product, Category, Supplier, ProductReview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Comercio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Order, Coupon, ReturnRequest</w:t>
            </w:r>
          </w:p>
        </w:tc>
      </w:tr>
      <w:tr>
        <w:trPr>
          <w:cantSplit w:val="true"/>
        </w:trPr>
        <w:tc>
          <w:tcPr>
            <w:tcW w:type="dxa" w:w="2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Gimnasios</w:t>
            </w:r>
          </w:p>
        </w:tc>
        <w:tc>
          <w:tcPr>
            <w:tcW w:type="dxa" w:w="67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Gym, GymStock, GymRestockRequest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Fidelización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RewardDrop, RewardOrder</w:t>
            </w:r>
          </w:p>
        </w:tc>
      </w:tr>
      <w:tr>
        <w:trPr>
          <w:cantSplit w:val="true"/>
        </w:trPr>
        <w:tc>
          <w:tcPr>
            <w:tcW w:type="dxa" w:w="2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Operación</w:t>
            </w:r>
          </w:p>
        </w:tc>
        <w:tc>
          <w:tcPr>
            <w:tcW w:type="dxa" w:w="67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StockMovement, RestockGuide, AutomationRun, AuditLog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Comunicación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Notification, SupportTicket, ContentPost, LegalDocument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Reglas de persistencia relevantes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El inventario central reside en variantes de producto; el inventario de retiro reside en GymStock por gimnasio, producto y SKU.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Los pedidos conservan estados de operación y pago, datos del proveedor, código de retiro y marcas de idempotencia.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Teléfonos y direcciones utilizan cifrado autenticado AES-256-GCM.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Existen índices únicos explícitos para stock por gimnasio/producto/SKU, reseña por producto/cliente y devolución por pedido.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Las operaciones críticas usan transacciones cuando MongoDB las soporta y una estrategia de conflicto cuando no.</w:t>
      </w:r>
    </w:p>
    <w:p>
      <w:pPr>
        <w:pStyle w:val="Heading1"/>
        <w:keepNext/>
      </w:pPr>
      <w:r>
        <w:t>8. Seguridad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Helmet y desactivación de x-powered-by.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CORS limitado a los orígenes de cliente y administrador.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JWT para rutas privadas y validación de roles customer, admin, staff y gym.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Permisos por módulo para staff.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Rate limit en login, registro, Google Login y recuperación de contraseña.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Rechazo de claves peligrosas en payloads y límite JSON de 8 MB.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Hash de contraseñas con bcryptjs y redacción de datos sensibles en logs.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Cache-Control no-store en todas las rutas /api del estado actual.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Auditoría para accesos y acciones internas relevantes.</w:t>
      </w:r>
    </w:p>
    <w:p>
      <w:pPr>
        <w:pStyle w:val="Heading1"/>
        <w:keepNext/>
      </w:pPr>
      <w:r>
        <w:t>9. Integraciones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1700"/>
        <w:gridCol w:w="3700"/>
        <w:gridCol w:w="39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Servicio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Flujo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Fallo esperado / tratamiento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Mercado Pago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Preferencia, redirección, webhook y refresco de pago.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Mantener pedido pendiente y permitir sincronización posterior.</w:t>
            </w:r>
          </w:p>
        </w:tc>
      </w:tr>
      <w:tr>
        <w:trPr>
          <w:cantSplit w:val="true"/>
        </w:trPr>
        <w:tc>
          <w:tcPr>
            <w:tcW w:type="dxa" w:w="17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Google</w:t>
            </w:r>
          </w:p>
        </w:tc>
        <w:tc>
          <w:tcPr>
            <w:tcW w:type="dxa" w:w="37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Validación de ID token para cuentas customer.</w:t>
            </w:r>
          </w:p>
        </w:tc>
        <w:tc>
          <w:tcPr>
            <w:tcW w:type="dxa" w:w="39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Deshabilitar opción o informar configuración faltante.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Resend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Código de recuperación por correo.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En desarrollo puede registrarse el código; en producción debe configurarse.</w:t>
            </w:r>
          </w:p>
        </w:tc>
      </w:tr>
      <w:tr>
        <w:trPr>
          <w:cantSplit w:val="true"/>
        </w:trPr>
        <w:tc>
          <w:tcPr>
            <w:tcW w:type="dxa" w:w="17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Cloudinary</w:t>
            </w:r>
          </w:p>
        </w:tc>
        <w:tc>
          <w:tcPr>
            <w:tcW w:type="dxa" w:w="37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Carga de imágenes desde administración.</w:t>
            </w:r>
          </w:p>
        </w:tc>
        <w:tc>
          <w:tcPr>
            <w:tcW w:type="dxa" w:w="39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En producción no debe recurrirse al disco local.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Frontends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Cliente: 11 páginas, navegación por estado y parámetros de URL, actualización periódica de datos y registro de service worker en producción.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Administrador: 20 páginas, navegación lateral agrupada y filtrada por permisos; el rol gym recibe un portal dedicado.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Ambos frontends consumen VITE_API_URL y generan recursos versionados por Vite.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El build actual produce un chunk JavaScript principal por frontend; no se observaron importaciones dinámicas para separar rutas.</w:t>
      </w:r>
    </w:p>
    <w:p>
      <w:pPr>
        <w:pStyle w:val="Heading1"/>
        <w:keepNext/>
      </w:pPr>
      <w:r>
        <w:t>11. Comandos de operación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2650"/>
        <w:gridCol w:w="6710"/>
      </w:tblGrid>
      <w:tr>
        <w:trPr>
          <w:tblHeader w:val="true"/>
          <w:cantSplit w:val="true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Comando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Propósito</w:t>
            </w:r>
          </w:p>
        </w:tc>
      </w:tr>
      <w:tr>
        <w:trPr>
          <w:cantSplit w:val="true"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npm run dev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Levanta los tres servicios en desarrollo.</w:t>
            </w:r>
          </w:p>
        </w:tc>
      </w:tr>
      <w:tr>
        <w:trPr>
          <w:cantSplit w:val="true"/>
        </w:trPr>
        <w:tc>
          <w:tcPr>
            <w:tcW w:type="dxa" w:w="26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npm run check</w:t>
            </w:r>
          </w:p>
        </w:tc>
        <w:tc>
          <w:tcPr>
            <w:tcW w:type="dxa" w:w="67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Valida sintaxis clave de API y compila cliente y admin.</w:t>
            </w:r>
          </w:p>
        </w:tc>
      </w:tr>
      <w:tr>
        <w:trPr>
          <w:cantSplit w:val="true"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npm run build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Compila únicamente los dos frontends.</w:t>
            </w:r>
          </w:p>
        </w:tc>
      </w:tr>
      <w:tr>
        <w:trPr>
          <w:cantSplit w:val="true"/>
        </w:trPr>
        <w:tc>
          <w:tcPr>
            <w:tcW w:type="dxa" w:w="26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npm run doctor</w:t>
            </w:r>
          </w:p>
        </w:tc>
        <w:tc>
          <w:tcPr>
            <w:tcW w:type="dxa" w:w="67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Comprueba configuración y conexión MongoDB.</w:t>
            </w:r>
          </w:p>
        </w:tc>
      </w:tr>
      <w:tr>
        <w:trPr>
          <w:cantSplit w:val="true"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npm run audit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Ejecuta la auditoría interna del repositorio.</w:t>
            </w:r>
          </w:p>
        </w:tc>
      </w:tr>
      <w:tr>
        <w:trPr>
          <w:cantSplit w:val="true"/>
        </w:trPr>
        <w:tc>
          <w:tcPr>
            <w:tcW w:type="dxa" w:w="26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npm audit --omit=dev</w:t>
            </w:r>
          </w:p>
        </w:tc>
        <w:tc>
          <w:tcPr>
            <w:tcW w:type="dxa" w:w="67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Revisa vulnerabilidades conocidas de dependencias de producción.</w:t>
            </w:r>
          </w:p>
        </w:tc>
      </w:tr>
      <w:tr>
        <w:trPr>
          <w:cantSplit w:val="true"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npm run seed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Carga datos iniciales; usar solo con el ambiente correcto.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Despliegue</w:t>
      </w:r>
    </w:p>
    <w:p>
      <w:pPr>
        <w:pStyle w:val="Heading2"/>
        <w:keepNext/>
      </w:pPr>
      <w:r>
        <w:t>12.1 Vercel</w:t>
      </w:r>
    </w:p>
    <w:p>
      <w:r>
        <w:rPr>
          <w:rFonts w:ascii="Calibri" w:hAnsi="Calibri" w:eastAsia="Calibri"/>
          <w:i w:val="0"/>
          <w:color w:val="171717"/>
        </w:rPr>
        <w:t>El proyecto documenta tres proyectos separados: apps/api como función serverless, apps/customer como Vite y apps/admin como Vite. La API debe recibir los orígenes públicos y el webhook de Mercado Pago; los frontends deben recibir VITE_API_URL.</w:t>
      </w:r>
    </w:p>
    <w:p>
      <w:pPr>
        <w:pStyle w:val="Heading2"/>
        <w:keepNext/>
      </w:pPr>
      <w:r>
        <w:t>12.2 Alternativas declaradas</w:t>
      </w:r>
    </w:p>
    <w:p>
      <w:r>
        <w:rPr>
          <w:rFonts w:ascii="Calibri" w:hAnsi="Calibri" w:eastAsia="Calibri"/>
          <w:i w:val="0"/>
          <w:color w:val="171717"/>
        </w:rPr>
        <w:t>render.yaml define un servicio web para la API con healthcheck /health. Los archivos netlify.toml de cliente y admin definen build, redirección SPA, cabeceras de seguridad y caché inmutable para assets. Debe elegirse una ruta de despliegue oficial y mantenerla sincronizada.</w:t>
      </w:r>
    </w:p>
    <w:p>
      <w:pPr>
        <w:pStyle w:val="Heading1"/>
        <w:keepNext/>
      </w:pPr>
      <w:r>
        <w:t>13. Verificación previa a producción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Ejecutar npm ci en un ambiente limpio.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Ejecutar npm run check, npm run audit y npm audit --omit=dev.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Confirmar /health con MongoDB conectado.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Validar registro, login, pedido, cancelación, webhook, pickup, devolución y recompensa.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Verificar permisos de admin, staff y gym con cuentas separadas.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Comprobar carga Cloudinary, correo Resend y origen Google en URLs públicas.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Revisar backups, restauración, logs, alertas y rotación de secretos.</w:t>
      </w:r>
    </w:p>
    <w:p>
      <w:pPr>
        <w:pStyle w:val="Heading1"/>
        <w:keepNext/>
      </w:pPr>
      <w:r>
        <w:t>14. Mantenimiento y diagnóstico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Síntoma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Comprobación inicial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API degraded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Revisar URI, nombre de base, DNS/allowlist y estado de MongoDB.</w:t>
            </w:r>
          </w:p>
        </w:tc>
      </w:tr>
      <w:tr>
        <w:trPr>
          <w:cantSplit w:val="true"/>
        </w:trPr>
        <w:tc>
          <w:tcPr>
            <w:tcW w:type="dxa" w:w="24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CORS bloqueado</w:t>
            </w:r>
          </w:p>
        </w:tc>
        <w:tc>
          <w:tcPr>
            <w:tcW w:type="dxa" w:w="69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Comparar CLIENT_ORIGIN y ADMIN_ORIGIN con los dominios exactos.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Pago no cambia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Revisar webhook público, identificadores del proveedor y payment-refresh.</w:t>
            </w:r>
          </w:p>
        </w:tc>
      </w:tr>
      <w:tr>
        <w:trPr>
          <w:cantSplit w:val="true"/>
        </w:trPr>
        <w:tc>
          <w:tcPr>
            <w:tcW w:type="dxa" w:w="24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Imagen no carga</w:t>
            </w:r>
          </w:p>
        </w:tc>
        <w:tc>
          <w:tcPr>
            <w:tcW w:type="dxa" w:w="69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Validar las tres variables de Cloudinary y el formato enviado.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Google Login falla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Validar GOOGLE_CLIENT_ID y orígenes autorizados.</w:t>
            </w:r>
          </w:p>
        </w:tc>
      </w:tr>
      <w:tr>
        <w:trPr>
          <w:cantSplit w:val="true"/>
        </w:trPr>
        <w:tc>
          <w:tcPr>
            <w:tcW w:type="dxa" w:w="24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Recuperación no llega</w:t>
            </w:r>
          </w:p>
        </w:tc>
        <w:tc>
          <w:tcPr>
            <w:tcW w:type="dxa" w:w="69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Validar RESEND_API_KEY, EMAIL_FROM y registros del proveedor.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Stock inconsistente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Revisar método de entrega, cancelación, transacción y registros de auditoría.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Respaldo y recuperación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 w:eastAsia="Calibri"/>
          <w:color w:val="171717"/>
          <w:sz w:val="22"/>
        </w:rPr>
        <w:t>Definir política de backup de MongoDB por ambiente y probar restauraciones periódicas.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 w:eastAsia="Calibri"/>
          <w:color w:val="171717"/>
          <w:sz w:val="22"/>
        </w:rPr>
        <w:t>Conservar configuración de despliegue y variables en un gestor seguro, no en documentos ni repositorio.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 w:eastAsia="Calibri"/>
          <w:color w:val="171717"/>
          <w:sz w:val="22"/>
        </w:rPr>
        <w:t>Exportar reportes operativos no sustituye el respaldo de base de datos.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 w:eastAsia="Calibri"/>
          <w:color w:val="171717"/>
          <w:sz w:val="22"/>
        </w:rPr>
        <w:t>Documentar RPO y RTO antes de declarar disponibilidad de producción.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 w:eastAsia="Calibri"/>
          <w:color w:val="171717"/>
          <w:sz w:val="22"/>
        </w:rPr>
        <w:t>Ante incidente de credenciales, rotar secretos y revisar auditoría antes de reactivar integraciones.</w:t>
      </w:r>
    </w:p>
    <w:p>
      <w:pPr>
        <w:pStyle w:val="Heading1"/>
        <w:keepNext/>
      </w:pPr>
      <w:r>
        <w:t>Base de evidencia y alcance</w:t>
      </w:r>
    </w:p>
    <w:p>
      <w:r>
        <w:rPr>
          <w:rFonts w:ascii="Calibri" w:hAnsi="Calibri" w:eastAsia="Calibri"/>
          <w:i w:val="0"/>
          <w:color w:val="171717"/>
        </w:rPr>
        <w:t>El contenido se elaboró a partir del estado local del repositorio GymVerse, su README, archivos de despliegue, código fuente, modelos, rutas, documentación existente, historial Git y las validaciones ejecutadas el 29 de julio de 2026. No se utilizaron métricas de producción ni se asumieron aprobaciones no registradas. La verificación realizada no incluyó conexión a un ambiente productivo ni ejecución de pagos reales.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777B84"/>
        <w:sz w:val="18"/>
      </w:rPr>
      <w:t xml:space="preserve">Documento de proyecto  ·  </w:t>
    </w:r>
    <w:r>
      <w:rPr>
        <w:rFonts w:ascii="Calibri" w:hAnsi="Calibri" w:eastAsia="Calibri"/>
        <w:color w:val="777B8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777B84"/>
        <w:sz w:val="17"/>
      </w:rPr>
      <w:t>GYMVERSE  ·  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000009"/>
    <w:multiLevelType w:val="singleLevel"/>
    <w:tmpl w:val="B0000009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80"/>
      </w:pPr>
      <w:rPr>
        <w:rFonts w:ascii="Calibri" w:hAnsi="Calibri"/>
      </w:rPr>
    </w:lvl>
  </w:abstractNum>
  <w:abstractNum w:abstractNumId="10">
    <w:nsid w:val="A000000A"/>
    <w:multiLevelType w:val="singleLevel"/>
    <w:tmpl w:val="B000000A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80"/>
      </w:pPr>
    </w:lvl>
  </w:abstractNum>
  <w:abstractNum w:abstractNumId="11">
    <w:nsid w:val="A000000B"/>
    <w:multiLevelType w:val="singleLevel"/>
    <w:tmpl w:val="B000000B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80"/>
      </w:pPr>
      <w:rPr>
        <w:rFonts w:ascii="Calibri" w:hAnsi="Calibri"/>
      </w:rPr>
    </w:lvl>
  </w:abstractNum>
  <w:abstractNum w:abstractNumId="12">
    <w:nsid w:val="A000000C"/>
    <w:multiLevelType w:val="singleLevel"/>
    <w:tmpl w:val="B000000C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80"/>
      </w:pPr>
      <w:rPr>
        <w:rFonts w:ascii="Calibri" w:hAnsi="Calibri"/>
      </w:rPr>
    </w:lvl>
  </w:abstractNum>
  <w:abstractNum w:abstractNumId="13">
    <w:nsid w:val="A000000D"/>
    <w:multiLevelType w:val="singleLevel"/>
    <w:tmpl w:val="B000000D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80"/>
      </w:pPr>
      <w:rPr>
        <w:rFonts w:ascii="Calibri" w:hAnsi="Calibri"/>
      </w:rPr>
    </w:lvl>
  </w:abstractNum>
  <w:abstractNum w:abstractNumId="14">
    <w:nsid w:val="A000000E"/>
    <w:multiLevelType w:val="singleLevel"/>
    <w:tmpl w:val="B000000E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80"/>
      </w:pPr>
    </w:lvl>
  </w:abstractNum>
  <w:abstractNum w:abstractNumId="15">
    <w:nsid w:val="A000000F"/>
    <w:multiLevelType w:val="singleLevel"/>
    <w:tmpl w:val="B000000F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80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525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525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5252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rPr>
      <w:rFonts w:ascii="Calibri" w:hAnsi="Calibri"/>
      <w:color w:val="9A6700"/>
      <w:sz w:val="20"/>
    </w:rPr>
  </w:style>
  <w:style w:type="paragraph" w:customStyle="1" w:styleId="CoverTitle">
    <w:name w:val="Cover Title"/>
    <w:rPr>
      <w:rFonts w:ascii="Calibri" w:hAnsi="Calibri"/>
      <w:color w:val="171717"/>
      <w:sz w:val="56"/>
    </w:rPr>
  </w:style>
  <w:style w:type="paragraph" w:customStyle="1" w:styleId="CoverSubtitle">
    <w:name w:val="Cover Subtitle"/>
    <w:rPr>
      <w:rFonts w:ascii="Calibri" w:hAnsi="Calibri"/>
      <w:color w:val="60646C"/>
      <w:sz w:val="28"/>
    </w:rPr>
  </w:style>
  <w:style w:type="paragraph" w:customStyle="1" w:styleId="SmallMeta">
    <w:name w:val="Small Meta"/>
    <w:rPr>
      <w:rFonts w:ascii="Calibri" w:hAnsi="Calibri"/>
      <w:color w:val="777B84"/>
      <w:sz w:val="19"/>
    </w:rPr>
  </w:style>
  <w:style w:type="paragraph" w:customStyle="1" w:styleId="Callout">
    <w:name w:val="Callout"/>
    <w:rPr>
      <w:rFonts w:ascii="Calibri" w:hAnsi="Calibri"/>
      <w:color w:val="252525"/>
      <w:sz w:val="21"/>
    </w:rPr>
  </w:style>
  <w:style w:type="paragraph" w:customStyle="1" w:styleId="TableText">
    <w:name w:val="Table Text"/>
    <w:rPr>
      <w:rFonts w:ascii="Calibri" w:hAnsi="Calibri"/>
      <w:color w:val="17171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subject>Documentación formal del proyecto GymVerse</dc:subject>
  <dc:creator>GymVerse</dc:creator>
  <cp:keywords>GymVerse, proyecto, documentación, software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