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jc w:val="center"/>
      </w:pPr>
      <w:r>
        <w:drawing>
          <wp:inline xmlns:a="http://schemas.openxmlformats.org/drawingml/2006/main" xmlns:pic="http://schemas.openxmlformats.org/drawingml/2006/picture">
            <wp:extent cx="841248" cy="841248"/>
            <wp:docPr id="1" name="Picture 1" descr="Logotipo de GymVerse"/>
            <wp:cNvGraphicFramePr>
              <a:graphicFrameLocks noChangeAspect="1"/>
            </wp:cNvGraphicFramePr>
            <a:graphic>
              <a:graphicData uri="http://schemas.openxmlformats.org/drawingml/2006/picture">
                <pic:pic>
                  <pic:nvPicPr>
                    <pic:cNvPr id="0" name="logo-yellow-bg.png"/>
                    <pic:cNvPicPr/>
                  </pic:nvPicPr>
                  <pic:blipFill>
                    <a:blip r:embed="rId11"/>
                    <a:stretch>
                      <a:fillRect/>
                    </a:stretch>
                  </pic:blipFill>
                  <pic:spPr>
                    <a:xfrm>
                      <a:off x="0" y="0"/>
                      <a:ext cx="841248" cy="841248"/>
                    </a:xfrm>
                    <a:prstGeom prst="rect"/>
                  </pic:spPr>
                </pic:pic>
              </a:graphicData>
            </a:graphic>
          </wp:inline>
        </w:drawing>
      </w:r>
    </w:p>
    <w:p>
      <w:pPr>
        <w:pStyle w:val="CoverKicker"/>
        <w:spacing w:after="240"/>
        <w:jc w:val="center"/>
      </w:pPr>
      <w:r>
        <w:rPr>
          <w:rFonts w:ascii="Calibri" w:hAnsi="Calibri" w:eastAsia="Calibri"/>
          <w:b/>
          <w:color w:val="9A6700"/>
          <w:sz w:val="20"/>
        </w:rPr>
        <w:t>GYMVERSE  ·  DOCUMENTACIÓN DEL PROYECTO</w:t>
      </w:r>
    </w:p>
    <w:p>
      <w:pPr>
        <w:pStyle w:val="CoverTitle"/>
        <w:spacing w:after="160"/>
        <w:jc w:val="center"/>
      </w:pPr>
      <w:r>
        <w:rPr>
          <w:rFonts w:ascii="Calibri" w:hAnsi="Calibri" w:eastAsia="Calibri"/>
          <w:b/>
          <w:color w:val="171717"/>
          <w:sz w:val="56"/>
        </w:rPr>
        <w:t>Análisis de rendimiento del proyecto</w:t>
      </w:r>
    </w:p>
    <w:p>
      <w:pPr>
        <w:pStyle w:val="CoverSubtitle"/>
        <w:spacing w:after="560"/>
        <w:jc w:val="center"/>
      </w:pPr>
      <w:r>
        <w:rPr>
          <w:rFonts w:ascii="Calibri" w:hAnsi="Calibri" w:eastAsia="Calibri"/>
          <w:color w:val="60646C"/>
          <w:sz w:val="28"/>
        </w:rPr>
        <w:t>Evaluación técnica basada en compilación, tamaño, seguridad y capacidad operativa</w:t>
      </w:r>
    </w:p>
    <w:p>
      <w:pPr>
        <w:pStyle w:val="Callout"/>
        <w:keepLines/>
        <w:spacing w:before="120" w:after="120" w:line="264" w:lineRule="auto"/>
        <w:ind w:left="115" w:right="115"/>
        <w:shd w:fill="FFF6C7"/>
        <w:pBdr>
          <w:top w:val="single" w:sz="10" w:space="6" w:color="FFD400"/>
          <w:left w:val="single" w:sz="10" w:space="6" w:color="FFD400"/>
          <w:bottom w:val="single" w:sz="10" w:space="6" w:color="FFD400"/>
          <w:right w:val="single" w:sz="10" w:space="6" w:color="FFD400"/>
        </w:pBdr>
      </w:pPr>
      <w:r>
        <w:rPr>
          <w:rFonts w:ascii="Calibri" w:hAnsi="Calibri" w:eastAsia="Calibri"/>
          <w:b/>
          <w:color w:val="252525"/>
          <w:sz w:val="21"/>
        </w:rPr>
        <w:t xml:space="preserve">Propósito del documento: </w:t>
      </w:r>
      <w:r>
        <w:rPr>
          <w:rFonts w:ascii="Calibri" w:hAnsi="Calibri" w:eastAsia="Calibri"/>
          <w:color w:val="252525"/>
          <w:sz w:val="21"/>
        </w:rPr>
        <w:t>Evaluar el estado técnico medible del proyecto, separar evidencia de suposiciones y priorizar mejoras de rendimiento.</w:t>
      </w:r>
    </w:p>
    <w:p>
      <w:pPr>
        <w:pStyle w:val="SmallMeta"/>
        <w:spacing w:before="560" w:after="80"/>
        <w:jc w:val="center"/>
      </w:pPr>
      <w:r>
        <w:rPr>
          <w:rFonts w:ascii="Calibri" w:hAnsi="Calibri" w:eastAsia="Calibri"/>
          <w:b/>
          <w:color w:val="777B84"/>
          <w:sz w:val="19"/>
        </w:rPr>
        <w:t>Versión 1.0  ·  29 de julio de 2026</w:t>
      </w:r>
    </w:p>
    <w:p>
      <w:pPr>
        <w:pStyle w:val="SmallMeta"/>
        <w:jc w:val="center"/>
      </w:pPr>
      <w:r>
        <w:rPr>
          <w:rFonts w:ascii="Calibri" w:hAnsi="Calibri" w:eastAsia="Calibri"/>
          <w:i/>
          <w:color w:val="777B84"/>
          <w:sz w:val="18"/>
        </w:rPr>
        <w:t>Base de evidencia: repositorio local GymVerse y validaciones ejecutadas en la fecha del informe.</w:t>
      </w:r>
    </w:p>
    <w:p>
      <w:r>
        <w:br w:type="page"/>
      </w:r>
    </w:p>
    <w:p>
      <w:pPr>
        <w:pStyle w:val="Heading1"/>
        <w:keepNext/>
      </w:pPr>
      <w:r>
        <w:t>Contenido</w:t>
      </w:r>
    </w:p>
    <w:p>
      <w:pPr>
        <w:spacing w:after="160" w:line="280" w:lineRule="auto"/>
        <w:ind w:left="720" w:hanging="360"/>
        <w:numPr>
          <w:ilvl w:val="0"/>
          <w:numId w:val="10"/>
        </w:numPr>
      </w:pPr>
      <w:r>
        <w:rPr>
          <w:rFonts w:ascii="Calibri" w:hAnsi="Calibri" w:eastAsia="Calibri"/>
          <w:color w:val="171717"/>
          <w:sz w:val="22"/>
        </w:rPr>
        <w:t>Método y métricas verificadas</w:t>
      </w:r>
    </w:p>
    <w:p>
      <w:pPr>
        <w:spacing w:after="160" w:line="280" w:lineRule="auto"/>
        <w:ind w:left="720" w:hanging="360"/>
        <w:numPr>
          <w:ilvl w:val="0"/>
          <w:numId w:val="10"/>
        </w:numPr>
      </w:pPr>
      <w:r>
        <w:rPr>
          <w:rFonts w:ascii="Calibri" w:hAnsi="Calibri" w:eastAsia="Calibri"/>
          <w:color w:val="171717"/>
          <w:sz w:val="22"/>
        </w:rPr>
        <w:t>Rendimiento de build y tamaño de frontends</w:t>
      </w:r>
    </w:p>
    <w:p>
      <w:pPr>
        <w:spacing w:after="160" w:line="280" w:lineRule="auto"/>
        <w:ind w:left="720" w:hanging="360"/>
        <w:numPr>
          <w:ilvl w:val="0"/>
          <w:numId w:val="10"/>
        </w:numPr>
      </w:pPr>
      <w:r>
        <w:rPr>
          <w:rFonts w:ascii="Calibri" w:hAnsi="Calibri" w:eastAsia="Calibri"/>
          <w:color w:val="171717"/>
          <w:sz w:val="22"/>
        </w:rPr>
        <w:t>API, datos, seguridad y calidad</w:t>
      </w:r>
    </w:p>
    <w:p>
      <w:pPr>
        <w:spacing w:after="160" w:line="280" w:lineRule="auto"/>
        <w:ind w:left="720" w:hanging="360"/>
        <w:numPr>
          <w:ilvl w:val="0"/>
          <w:numId w:val="10"/>
        </w:numPr>
      </w:pPr>
      <w:r>
        <w:rPr>
          <w:rFonts w:ascii="Calibri" w:hAnsi="Calibri" w:eastAsia="Calibri"/>
          <w:color w:val="171717"/>
          <w:sz w:val="22"/>
        </w:rPr>
        <w:t>Conclusiones, riesgos y plan de medición</w:t>
      </w:r>
    </w:p>
    <w:p>
      <w:pPr>
        <w:pStyle w:val="Heading1"/>
        <w:keepNext/>
      </w:pPr>
      <w:r>
        <w:t>1. Resumen</w:t>
      </w:r>
    </w:p>
    <w:p>
      <w:pPr>
        <w:pStyle w:val="Callout"/>
        <w:keepLines/>
        <w:spacing w:before="120" w:after="200" w:line="264" w:lineRule="auto"/>
        <w:ind w:left="115" w:right="115"/>
        <w:shd w:fill="FFF6C7"/>
        <w:pBdr>
          <w:top w:val="single" w:sz="10" w:space="6" w:color="FFD400"/>
          <w:left w:val="single" w:sz="10" w:space="6" w:color="FFD400"/>
          <w:bottom w:val="single" w:sz="10" w:space="6" w:color="FFD400"/>
          <w:right w:val="single" w:sz="10" w:space="6" w:color="FFD400"/>
        </w:pBdr>
      </w:pPr>
      <w:r>
        <w:rPr>
          <w:rFonts w:ascii="Calibri" w:hAnsi="Calibri" w:eastAsia="Calibri"/>
          <w:b/>
          <w:color w:val="252525"/>
          <w:sz w:val="21"/>
        </w:rPr>
        <w:t xml:space="preserve">Conclusión ejecutiva: </w:t>
      </w:r>
      <w:r>
        <w:rPr>
          <w:rFonts w:ascii="Calibri" w:hAnsi="Calibri" w:eastAsia="Calibri"/>
          <w:color w:val="252525"/>
          <w:sz w:val="21"/>
        </w:rPr>
        <w:t>El proyecto muestra una base técnica saludable para un MVP: compila, tiene bundles comprimidos menores a 80 kB de JavaScript por frontend y no reporta vulnerabilidades conocidas de producción. Sin pruebas automatizadas, carga ni telemetría, no es posible afirmar un SLA ni rendimiento bajo concurrencia.</w:t>
      </w:r>
    </w:p>
    <w:p>
      <w:pPr>
        <w:pStyle w:val="Heading1"/>
        <w:keepNext/>
      </w:pPr>
      <w:r>
        <w:t>2. Método</w:t>
      </w:r>
    </w:p>
    <w:p>
      <w:pPr>
        <w:spacing w:after="160" w:line="280" w:lineRule="auto"/>
        <w:ind w:left="720" w:hanging="360"/>
        <w:numPr>
          <w:ilvl w:val="0"/>
          <w:numId w:val="11"/>
        </w:numPr>
      </w:pPr>
      <w:r>
        <w:rPr>
          <w:rFonts w:ascii="Calibri" w:hAnsi="Calibri" w:eastAsia="Calibri"/>
          <w:color w:val="171717"/>
          <w:sz w:val="22"/>
        </w:rPr>
        <w:t>Ejecución local de npm run check.</w:t>
      </w:r>
    </w:p>
    <w:p>
      <w:pPr>
        <w:spacing w:after="160" w:line="280" w:lineRule="auto"/>
        <w:ind w:left="720" w:hanging="360"/>
        <w:numPr>
          <w:ilvl w:val="0"/>
          <w:numId w:val="11"/>
        </w:numPr>
      </w:pPr>
      <w:r>
        <w:rPr>
          <w:rFonts w:ascii="Calibri" w:hAnsi="Calibri" w:eastAsia="Calibri"/>
          <w:color w:val="171717"/>
          <w:sz w:val="22"/>
        </w:rPr>
        <w:t>Registro de salida de Vite para módulos, tiempo y tamaños raw/gzip.</w:t>
      </w:r>
    </w:p>
    <w:p>
      <w:pPr>
        <w:spacing w:after="160" w:line="280" w:lineRule="auto"/>
        <w:ind w:left="720" w:hanging="360"/>
        <w:numPr>
          <w:ilvl w:val="0"/>
          <w:numId w:val="11"/>
        </w:numPr>
      </w:pPr>
      <w:r>
        <w:rPr>
          <w:rFonts w:ascii="Calibri" w:hAnsi="Calibri" w:eastAsia="Calibri"/>
          <w:color w:val="171717"/>
          <w:sz w:val="22"/>
        </w:rPr>
        <w:t>Ejecución de npm run audit y npm audit --omit=dev --json.</w:t>
      </w:r>
    </w:p>
    <w:p>
      <w:pPr>
        <w:spacing w:after="160" w:line="280" w:lineRule="auto"/>
        <w:ind w:left="720" w:hanging="360"/>
        <w:numPr>
          <w:ilvl w:val="0"/>
          <w:numId w:val="11"/>
        </w:numPr>
      </w:pPr>
      <w:r>
        <w:rPr>
          <w:rFonts w:ascii="Calibri" w:hAnsi="Calibri" w:eastAsia="Calibri"/>
          <w:color w:val="171717"/>
          <w:sz w:val="22"/>
        </w:rPr>
        <w:t>Conteo estático de archivos fuente, líneas físicas, modelos, páginas y manejadores de rutas.</w:t>
      </w:r>
    </w:p>
    <w:p>
      <w:pPr>
        <w:spacing w:after="160" w:line="280" w:lineRule="auto"/>
        <w:ind w:left="720" w:hanging="360"/>
        <w:numPr>
          <w:ilvl w:val="0"/>
          <w:numId w:val="11"/>
        </w:numPr>
      </w:pPr>
      <w:r>
        <w:rPr>
          <w:rFonts w:ascii="Calibri" w:hAnsi="Calibri" w:eastAsia="Calibri"/>
          <w:color w:val="171717"/>
          <w:sz w:val="22"/>
        </w:rPr>
        <w:t>Revisión de service worker, carga dinámica, configuración de caché e índices explícitos.</w:t>
      </w:r>
    </w:p>
    <w:p>
      <w:pPr>
        <w:pStyle w:val="Heading1"/>
        <w:keepNext/>
      </w:pPr>
      <w:r>
        <w:t>3. Resultados de compilación</w:t>
      </w:r>
    </w:p>
    <w:tbl>
      <w:tblPr>
        <w:tblW w:type="dxa" w:w="9360"/>
        <w:tblLook w:firstColumn="1" w:firstRow="1" w:lastColumn="0" w:lastRow="0" w:noHBand="0" w:noVBand="1" w:val="04A0"/>
        <w:tblInd w:w="120" w:type="dxa"/>
        <w:tblLayout w:type="fixed"/>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Pr>
      <w:tblGrid>
        <w:gridCol w:w="3100"/>
        <w:gridCol w:w="3130"/>
        <w:gridCol w:w="3130"/>
      </w:tblGrid>
      <w:tr>
        <w:trPr>
          <w:tblHeader w:val="true"/>
          <w:cantSplit w:val="true"/>
        </w:trPr>
        <w:tc>
          <w:tcPr>
            <w:tcW w:type="dxa" w:w="31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Métrica</w:t>
            </w:r>
          </w:p>
        </w:tc>
        <w:tc>
          <w:tcPr>
            <w:tcW w:type="dxa" w:w="313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Cliente</w:t>
            </w:r>
          </w:p>
        </w:tc>
        <w:tc>
          <w:tcPr>
            <w:tcW w:type="dxa" w:w="313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Admin</w:t>
            </w:r>
          </w:p>
        </w:tc>
      </w:tr>
      <w:tr>
        <w:trPr>
          <w:cantSplit w:val="true"/>
        </w:trPr>
        <w:tc>
          <w:tcPr>
            <w:tcW w:type="dxa" w:w="310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Módulos transformados</w:t>
            </w:r>
          </w:p>
        </w:tc>
        <w:tc>
          <w:tcPr>
            <w:tcW w:type="dxa" w:w="313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1,581</w:t>
            </w:r>
          </w:p>
        </w:tc>
        <w:tc>
          <w:tcPr>
            <w:tcW w:type="dxa" w:w="313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1,591</w:t>
            </w:r>
          </w:p>
        </w:tc>
      </w:tr>
      <w:tr>
        <w:trPr>
          <w:cantSplit w:val="true"/>
        </w:trPr>
        <w:tc>
          <w:tcPr>
            <w:tcW w:type="dxa" w:w="310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Tiempo reportado por Vite</w:t>
            </w:r>
          </w:p>
        </w:tc>
        <w:tc>
          <w:tcPr>
            <w:tcW w:type="dxa" w:w="313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1.84 s</w:t>
            </w:r>
          </w:p>
        </w:tc>
        <w:tc>
          <w:tcPr>
            <w:tcW w:type="dxa" w:w="313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1.00 s</w:t>
            </w:r>
          </w:p>
        </w:tc>
      </w:tr>
      <w:tr>
        <w:trPr>
          <w:cantSplit w:val="true"/>
        </w:trPr>
        <w:tc>
          <w:tcPr>
            <w:tcW w:type="dxa" w:w="31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HTML</w:t>
            </w:r>
          </w:p>
        </w:tc>
        <w:tc>
          <w:tcPr>
            <w:tcW w:type="dxa" w:w="313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1.92 kB / 0.63 gzip</w:t>
            </w:r>
          </w:p>
        </w:tc>
        <w:tc>
          <w:tcPr>
            <w:tcW w:type="dxa" w:w="313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0.83 kB / 0.42 gzip</w:t>
            </w:r>
          </w:p>
        </w:tc>
      </w:tr>
      <w:tr>
        <w:trPr>
          <w:cantSplit w:val="true"/>
        </w:trPr>
        <w:tc>
          <w:tcPr>
            <w:tcW w:type="dxa" w:w="31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CSS</w:t>
            </w:r>
          </w:p>
        </w:tc>
        <w:tc>
          <w:tcPr>
            <w:tcW w:type="dxa" w:w="313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47.22 kB / 9.21 gzip</w:t>
            </w:r>
          </w:p>
        </w:tc>
        <w:tc>
          <w:tcPr>
            <w:tcW w:type="dxa" w:w="313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44.08 kB / 8.58 gzip</w:t>
            </w:r>
          </w:p>
        </w:tc>
      </w:tr>
      <w:tr>
        <w:trPr>
          <w:cantSplit w:val="true"/>
        </w:trPr>
        <w:tc>
          <w:tcPr>
            <w:tcW w:type="dxa" w:w="31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JavaScript</w:t>
            </w:r>
          </w:p>
        </w:tc>
        <w:tc>
          <w:tcPr>
            <w:tcW w:type="dxa" w:w="313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239.90 kB / 74.20 gzip</w:t>
            </w:r>
          </w:p>
        </w:tc>
        <w:tc>
          <w:tcPr>
            <w:tcW w:type="dxa" w:w="313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288.97 kB / 79.16 gzip</w:t>
            </w:r>
          </w:p>
        </w:tc>
      </w:tr>
      <w:tr>
        <w:trPr>
          <w:cantSplit w:val="true"/>
        </w:trPr>
        <w:tc>
          <w:tcPr>
            <w:tcW w:type="dxa" w:w="310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Chunks JS principales</w:t>
            </w:r>
          </w:p>
        </w:tc>
        <w:tc>
          <w:tcPr>
            <w:tcW w:type="dxa" w:w="313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1</w:t>
            </w:r>
          </w:p>
        </w:tc>
        <w:tc>
          <w:tcPr>
            <w:tcW w:type="dxa" w:w="313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1</w:t>
            </w:r>
          </w:p>
        </w:tc>
      </w:tr>
    </w:tbl>
    <w:p>
      <w:pPr>
        <w:spacing w:after="0"/>
      </w:pPr>
    </w:p>
    <w:p>
      <w:r>
        <w:rPr>
          <w:rFonts w:ascii="Calibri" w:hAnsi="Calibri" w:eastAsia="Calibri"/>
          <w:i w:val="0"/>
          <w:color w:val="171717"/>
        </w:rPr>
        <w:t>La compresión es efectiva y el tamaño inicial es razonable para el alcance actual. El admin concentra más JavaScript y ambas interfaces producen un único chunk principal, lo que limita la carga bajo demanda por módulo.</w:t>
      </w:r>
    </w:p>
    <w:p>
      <w:pPr>
        <w:pStyle w:val="Heading1"/>
        <w:keepNext/>
      </w:pPr>
      <w:r>
        <w:t>4. Complejidad observable</w:t>
      </w:r>
    </w:p>
    <w:tbl>
      <w:tblPr>
        <w:tblW w:type="dxa" w:w="9360"/>
        <w:tblLook w:firstColumn="1" w:firstRow="1" w:lastColumn="0" w:lastRow="0" w:noHBand="0" w:noVBand="1" w:val="04A0"/>
        <w:tblInd w:w="120" w:type="dxa"/>
        <w:tblLayout w:type="fixed"/>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Pr>
      <w:tblGrid>
        <w:gridCol w:w="2200"/>
        <w:gridCol w:w="2000"/>
        <w:gridCol w:w="2000"/>
        <w:gridCol w:w="3160"/>
      </w:tblGrid>
      <w:tr>
        <w:trPr>
          <w:tblHeader w:val="true"/>
          <w:cantSplit w:val="true"/>
        </w:trPr>
        <w:tc>
          <w:tcPr>
            <w:tcW w:type="dxa" w:w="22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Área</w:t>
            </w:r>
          </w:p>
        </w:tc>
        <w:tc>
          <w:tcPr>
            <w:tcW w:type="dxa" w:w="20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Archivos fuente</w:t>
            </w:r>
          </w:p>
        </w:tc>
        <w:tc>
          <w:tcPr>
            <w:tcW w:type="dxa" w:w="20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Líneas físicas</w:t>
            </w:r>
          </w:p>
        </w:tc>
        <w:tc>
          <w:tcPr>
            <w:tcW w:type="dxa" w:w="316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Otros indicadores</w:t>
            </w:r>
          </w:p>
        </w:tc>
      </w:tr>
      <w:tr>
        <w:trPr>
          <w:cantSplit w:val="true"/>
        </w:trPr>
        <w:tc>
          <w:tcPr>
            <w:tcW w:type="dxa" w:w="22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API</w:t>
            </w:r>
          </w:p>
        </w:tc>
        <w:tc>
          <w:tcPr>
            <w:tcW w:type="dxa" w:w="20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54</w:t>
            </w:r>
          </w:p>
        </w:tc>
        <w:tc>
          <w:tcPr>
            <w:tcW w:type="dxa" w:w="20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5,573</w:t>
            </w:r>
          </w:p>
        </w:tc>
        <w:tc>
          <w:tcPr>
            <w:tcW w:type="dxa" w:w="31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116 rutas; 21 modelos</w:t>
            </w:r>
          </w:p>
        </w:tc>
      </w:tr>
      <w:tr>
        <w:trPr>
          <w:cantSplit w:val="true"/>
        </w:trPr>
        <w:tc>
          <w:tcPr>
            <w:tcW w:type="dxa" w:w="22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Cliente</w:t>
            </w:r>
          </w:p>
        </w:tc>
        <w:tc>
          <w:tcPr>
            <w:tcW w:type="dxa" w:w="20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20</w:t>
            </w:r>
          </w:p>
        </w:tc>
        <w:tc>
          <w:tcPr>
            <w:tcW w:type="dxa" w:w="20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6,259</w:t>
            </w:r>
          </w:p>
        </w:tc>
        <w:tc>
          <w:tcPr>
            <w:tcW w:type="dxa" w:w="316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11 páginas</w:t>
            </w:r>
          </w:p>
        </w:tc>
      </w:tr>
      <w:tr>
        <w:trPr>
          <w:cantSplit w:val="true"/>
        </w:trPr>
        <w:tc>
          <w:tcPr>
            <w:tcW w:type="dxa" w:w="22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Admin</w:t>
            </w:r>
          </w:p>
        </w:tc>
        <w:tc>
          <w:tcPr>
            <w:tcW w:type="dxa" w:w="20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29</w:t>
            </w:r>
          </w:p>
        </w:tc>
        <w:tc>
          <w:tcPr>
            <w:tcW w:type="dxa" w:w="20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7,319</w:t>
            </w:r>
          </w:p>
        </w:tc>
        <w:tc>
          <w:tcPr>
            <w:tcW w:type="dxa" w:w="316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20 páginas</w:t>
            </w:r>
          </w:p>
        </w:tc>
      </w:tr>
    </w:tbl>
    <w:p>
      <w:pPr>
        <w:spacing w:after="0"/>
      </w:pPr>
    </w:p>
    <w:p>
      <w:r>
        <w:rPr>
          <w:rFonts w:ascii="Calibri" w:hAnsi="Calibri" w:eastAsia="Calibri"/>
          <w:i w:val="0"/>
          <w:color w:val="171717"/>
        </w:rPr>
        <w:t>Las cifras incluyen JavaScript, JSX y CSS fuera de node_modules y dist. Son indicadores de tamaño, no una medida directa de calidad. Dos archivos concentran lógica relevante: admin.js tiene aproximadamente 1,815 líneas y orders.js 822.</w:t>
      </w:r>
    </w:p>
    <w:p>
      <w:pPr>
        <w:pStyle w:val="Heading1"/>
        <w:keepNext/>
      </w:pPr>
      <w:r>
        <w:t>5. Seguridad y dependencias</w:t>
      </w:r>
    </w:p>
    <w:tbl>
      <w:tblPr>
        <w:tblW w:type="dxa" w:w="9360"/>
        <w:tblLook w:firstColumn="1" w:firstRow="1" w:lastColumn="0" w:lastRow="0" w:noHBand="0" w:noVBand="1" w:val="04A0"/>
        <w:tblInd w:w="120" w:type="dxa"/>
        <w:tblLayout w:type="fixed"/>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Pr>
      <w:tblGrid>
        <w:gridCol w:w="3200"/>
        <w:gridCol w:w="6160"/>
      </w:tblGrid>
      <w:tr>
        <w:trPr>
          <w:tblHeader w:val="true"/>
          <w:cantSplit w:val="true"/>
        </w:trPr>
        <w:tc>
          <w:tcPr>
            <w:tcW w:type="dxa" w:w="32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Control</w:t>
            </w:r>
          </w:p>
        </w:tc>
        <w:tc>
          <w:tcPr>
            <w:tcW w:type="dxa" w:w="616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Resultado</w:t>
            </w:r>
          </w:p>
        </w:tc>
      </w:tr>
      <w:tr>
        <w:trPr>
          <w:cantSplit w:val="true"/>
        </w:trPr>
        <w:tc>
          <w:tcPr>
            <w:tcW w:type="dxa" w:w="320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Auditoría interna</w:t>
            </w:r>
          </w:p>
        </w:tc>
        <w:tc>
          <w:tcPr>
            <w:tcW w:type="dxa" w:w="61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28 verificaciones aprobadas, sin advertencias.</w:t>
            </w:r>
          </w:p>
        </w:tc>
      </w:tr>
      <w:tr>
        <w:trPr>
          <w:cantSplit w:val="true"/>
        </w:trPr>
        <w:tc>
          <w:tcPr>
            <w:tcW w:type="dxa" w:w="320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Vulnerabilidades de producción</w:t>
            </w:r>
          </w:p>
        </w:tc>
        <w:tc>
          <w:tcPr>
            <w:tcW w:type="dxa" w:w="61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0 conocidas: 0 info, low, moderate, high o critical.</w:t>
            </w:r>
          </w:p>
        </w:tc>
      </w:tr>
      <w:tr>
        <w:trPr>
          <w:cantSplit w:val="true"/>
        </w:trPr>
        <w:tc>
          <w:tcPr>
            <w:tcW w:type="dxa" w:w="32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Dependencias</w:t>
            </w:r>
          </w:p>
        </w:tc>
        <w:tc>
          <w:tcPr>
            <w:tcW w:type="dxa" w:w="61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138 de producción; 170 de desarrollo; 316 totales reportadas.</w:t>
            </w:r>
          </w:p>
        </w:tc>
      </w:tr>
      <w:tr>
        <w:trPr>
          <w:cantSplit w:val="true"/>
        </w:trPr>
        <w:tc>
          <w:tcPr>
            <w:tcW w:type="dxa" w:w="32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Controles API</w:t>
            </w:r>
          </w:p>
        </w:tc>
        <w:tc>
          <w:tcPr>
            <w:tcW w:type="dxa" w:w="61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Helmet, CORS, rate limit, JWT, roles, cifrado, sanitización, no-store y auditoría.</w:t>
            </w:r>
          </w:p>
        </w:tc>
      </w:tr>
    </w:tbl>
    <w:p>
      <w:pPr>
        <w:spacing w:after="0"/>
      </w:pPr>
    </w:p>
    <w:p>
      <w:pPr>
        <w:pStyle w:val="Heading1"/>
        <w:keepNext/>
      </w:pPr>
      <w:r>
        <w:t>6. Rendimiento de la API</w:t>
      </w:r>
    </w:p>
    <w:p>
      <w:r>
        <w:rPr>
          <w:rFonts w:ascii="Calibri" w:hAnsi="Calibri" w:eastAsia="Calibri"/>
          <w:i w:val="0"/>
          <w:color w:val="171717"/>
        </w:rPr>
        <w:t>La API incorpora transacciones o control de conflictos en operaciones críticas y mantiene índices únicos para tres relaciones clave. Sin embargo, no hay resultados de latencia, throughput, consumo de memoria, tasa de error ni desempeño de MongoDB bajo carga.</w:t>
      </w:r>
    </w:p>
    <w:tbl>
      <w:tblPr>
        <w:tblW w:type="dxa" w:w="9360"/>
        <w:tblLook w:firstColumn="1" w:firstRow="1" w:lastColumn="0" w:lastRow="0" w:noHBand="0" w:noVBand="1" w:val="04A0"/>
        <w:tblInd w:w="120" w:type="dxa"/>
        <w:tblLayout w:type="fixed"/>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Pr>
      <w:tblGrid>
        <w:gridCol w:w="1900"/>
        <w:gridCol w:w="3500"/>
        <w:gridCol w:w="3960"/>
      </w:tblGrid>
      <w:tr>
        <w:trPr>
          <w:tblHeader w:val="true"/>
          <w:cantSplit w:val="true"/>
        </w:trPr>
        <w:tc>
          <w:tcPr>
            <w:tcW w:type="dxa" w:w="19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7"/>
              </w:rPr>
              <w:t>Factor</w:t>
            </w:r>
          </w:p>
        </w:tc>
        <w:tc>
          <w:tcPr>
            <w:tcW w:type="dxa" w:w="35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7"/>
              </w:rPr>
              <w:t>Lectura actual</w:t>
            </w:r>
          </w:p>
        </w:tc>
        <w:tc>
          <w:tcPr>
            <w:tcW w:type="dxa" w:w="396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7"/>
              </w:rPr>
              <w:t>Implicación</w:t>
            </w:r>
          </w:p>
        </w:tc>
      </w:tr>
      <w:tr>
        <w:trPr>
          <w:cantSplit w:val="true"/>
        </w:trPr>
        <w:tc>
          <w:tcPr>
            <w:tcW w:type="dxa" w:w="19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7"/>
              </w:rPr>
              <w:t>Healthcheck</w:t>
            </w:r>
          </w:p>
        </w:tc>
        <w:tc>
          <w:tcPr>
            <w:tcW w:type="dxa" w:w="350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7"/>
              </w:rPr>
              <w:t>Incluye base conectada, uptime y timestamp.</w:t>
            </w:r>
          </w:p>
        </w:tc>
        <w:tc>
          <w:tcPr>
            <w:tcW w:type="dxa" w:w="39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7"/>
              </w:rPr>
              <w:t>Útil para disponibilidad básica.</w:t>
            </w:r>
          </w:p>
        </w:tc>
      </w:tr>
      <w:tr>
        <w:trPr>
          <w:cantSplit w:val="true"/>
        </w:trPr>
        <w:tc>
          <w:tcPr>
            <w:tcW w:type="dxa" w:w="19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7"/>
              </w:rPr>
              <w:t>Caché</w:t>
            </w:r>
          </w:p>
        </w:tc>
        <w:tc>
          <w:tcPr>
            <w:tcW w:type="dxa" w:w="350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7"/>
              </w:rPr>
              <w:t>Todas las rutas /api usan no-store.</w:t>
            </w:r>
          </w:p>
        </w:tc>
        <w:tc>
          <w:tcPr>
            <w:tcW w:type="dxa" w:w="39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7"/>
              </w:rPr>
              <w:t>Protege datos privados, pero impide cachear catálogo público.</w:t>
            </w:r>
          </w:p>
        </w:tc>
      </w:tr>
      <w:tr>
        <w:trPr>
          <w:cantSplit w:val="true"/>
        </w:trPr>
        <w:tc>
          <w:tcPr>
            <w:tcW w:type="dxa" w:w="190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7"/>
              </w:rPr>
              <w:t>Índices explícitos</w:t>
            </w:r>
          </w:p>
        </w:tc>
        <w:tc>
          <w:tcPr>
            <w:tcW w:type="dxa" w:w="350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7"/>
              </w:rPr>
              <w:t>3 índices únicos observados.</w:t>
            </w:r>
          </w:p>
        </w:tc>
        <w:tc>
          <w:tcPr>
            <w:tcW w:type="dxa" w:w="39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7"/>
              </w:rPr>
              <w:t>Debe auditarse cada consulta frecuente y sus índices.</w:t>
            </w:r>
          </w:p>
        </w:tc>
      </w:tr>
      <w:tr>
        <w:trPr>
          <w:cantSplit w:val="true"/>
        </w:trPr>
        <w:tc>
          <w:tcPr>
            <w:tcW w:type="dxa" w:w="190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7"/>
              </w:rPr>
              <w:t>Actualización cliente</w:t>
            </w:r>
          </w:p>
        </w:tc>
        <w:tc>
          <w:tcPr>
            <w:tcW w:type="dxa" w:w="350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7"/>
              </w:rPr>
              <w:t>Refresco periódico cada 15 s con varias solicitudes.</w:t>
            </w:r>
          </w:p>
        </w:tc>
        <w:tc>
          <w:tcPr>
            <w:tcW w:type="dxa" w:w="39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7"/>
              </w:rPr>
              <w:t>Puede elevar carga al crecer usuarios.</w:t>
            </w:r>
          </w:p>
        </w:tc>
      </w:tr>
      <w:tr>
        <w:trPr>
          <w:cantSplit w:val="true"/>
        </w:trPr>
        <w:tc>
          <w:tcPr>
            <w:tcW w:type="dxa" w:w="19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7"/>
              </w:rPr>
              <w:t>Serverless</w:t>
            </w:r>
          </w:p>
        </w:tc>
        <w:tc>
          <w:tcPr>
            <w:tcW w:type="dxa" w:w="350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7"/>
              </w:rPr>
              <w:t>Vercel con duración máxima de 30 s.</w:t>
            </w:r>
          </w:p>
        </w:tc>
        <w:tc>
          <w:tcPr>
            <w:tcW w:type="dxa" w:w="39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7"/>
              </w:rPr>
              <w:t>Requiere observar cold starts y conexiones a MongoDB.</w:t>
            </w:r>
          </w:p>
        </w:tc>
      </w:tr>
    </w:tbl>
    <w:p>
      <w:pPr>
        <w:spacing w:after="0"/>
      </w:pPr>
    </w:p>
    <w:p>
      <w:pPr>
        <w:pStyle w:val="Heading1"/>
        <w:keepNext/>
      </w:pPr>
      <w:r>
        <w:t>7. Calidad y confiabilidad</w:t>
      </w:r>
    </w:p>
    <w:p>
      <w:pPr>
        <w:pStyle w:val="Callout"/>
        <w:keepLines/>
        <w:spacing w:before="120" w:after="200" w:line="264" w:lineRule="auto"/>
        <w:ind w:left="115" w:right="115"/>
        <w:shd w:fill="F3F4F6"/>
        <w:pBdr>
          <w:top w:val="single" w:sz="6" w:space="6" w:color="D8DADF"/>
          <w:left w:val="single" w:sz="6" w:space="6" w:color="D8DADF"/>
          <w:bottom w:val="single" w:sz="6" w:space="6" w:color="D8DADF"/>
          <w:right w:val="single" w:sz="6" w:space="6" w:color="D8DADF"/>
        </w:pBdr>
      </w:pPr>
      <w:r>
        <w:rPr>
          <w:rFonts w:ascii="Calibri" w:hAnsi="Calibri" w:eastAsia="Calibri"/>
          <w:b/>
          <w:color w:val="252525"/>
          <w:sz w:val="21"/>
        </w:rPr>
        <w:t xml:space="preserve">Brecha principal: </w:t>
      </w:r>
      <w:r>
        <w:rPr>
          <w:rFonts w:ascii="Calibri" w:hAnsi="Calibri" w:eastAsia="Calibri"/>
          <w:color w:val="252525"/>
          <w:sz w:val="21"/>
        </w:rPr>
        <w:t>No se encontraron archivos test/spec. El comando check valida seis archivos clave de API por sintaxis y compila los frontends; no ejecuta casos funcionales ni recorre automáticamente todos los módulos de negocio.</w:t>
      </w:r>
    </w:p>
    <w:p>
      <w:pPr>
        <w:pStyle w:val="Heading1"/>
        <w:keepNext/>
      </w:pPr>
      <w:r>
        <w:t>8. Evaluación por dimensión</w:t>
      </w:r>
    </w:p>
    <w:tbl>
      <w:tblPr>
        <w:tblW w:type="dxa" w:w="9360"/>
        <w:tblLook w:firstColumn="1" w:firstRow="1" w:lastColumn="0" w:lastRow="0" w:noHBand="0" w:noVBand="1" w:val="04A0"/>
        <w:tblInd w:w="120" w:type="dxa"/>
        <w:tblLayout w:type="fixed"/>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Pr>
      <w:tblGrid>
        <w:gridCol w:w="2200"/>
        <w:gridCol w:w="1700"/>
        <w:gridCol w:w="5460"/>
      </w:tblGrid>
      <w:tr>
        <w:trPr>
          <w:tblHeader w:val="true"/>
          <w:cantSplit w:val="true"/>
        </w:trPr>
        <w:tc>
          <w:tcPr>
            <w:tcW w:type="dxa" w:w="22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Dimensión</w:t>
            </w:r>
          </w:p>
        </w:tc>
        <w:tc>
          <w:tcPr>
            <w:tcW w:type="dxa" w:w="17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Estado</w:t>
            </w:r>
          </w:p>
        </w:tc>
        <w:tc>
          <w:tcPr>
            <w:tcW w:type="dxa" w:w="546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Fundamento</w:t>
            </w:r>
          </w:p>
        </w:tc>
      </w:tr>
      <w:tr>
        <w:trPr>
          <w:cantSplit w:val="true"/>
        </w:trPr>
        <w:tc>
          <w:tcPr>
            <w:tcW w:type="dxa" w:w="22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Build</w:t>
            </w:r>
          </w:p>
        </w:tc>
        <w:tc>
          <w:tcPr>
            <w:tcW w:type="dxa" w:w="17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Sólido</w:t>
            </w:r>
          </w:p>
        </w:tc>
        <w:tc>
          <w:tcPr>
            <w:tcW w:type="dxa" w:w="54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Los tres workspaces pasan check; builds rápidos.</w:t>
            </w:r>
          </w:p>
        </w:tc>
      </w:tr>
      <w:tr>
        <w:trPr>
          <w:cantSplit w:val="true"/>
        </w:trPr>
        <w:tc>
          <w:tcPr>
            <w:tcW w:type="dxa" w:w="22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Peso frontend</w:t>
            </w:r>
          </w:p>
        </w:tc>
        <w:tc>
          <w:tcPr>
            <w:tcW w:type="dxa" w:w="17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Adecuado</w:t>
            </w:r>
          </w:p>
        </w:tc>
        <w:tc>
          <w:tcPr>
            <w:tcW w:type="dxa" w:w="54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JS gzip de 74.20 y 79.16 kB.</w:t>
            </w:r>
          </w:p>
        </w:tc>
      </w:tr>
      <w:tr>
        <w:trPr>
          <w:cantSplit w:val="true"/>
        </w:trPr>
        <w:tc>
          <w:tcPr>
            <w:tcW w:type="dxa" w:w="220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Seguridad estática</w:t>
            </w:r>
          </w:p>
        </w:tc>
        <w:tc>
          <w:tcPr>
            <w:tcW w:type="dxa" w:w="17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Sólido</w:t>
            </w:r>
          </w:p>
        </w:tc>
        <w:tc>
          <w:tcPr>
            <w:tcW w:type="dxa" w:w="54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Auditorías sin hallazgos conocidos.</w:t>
            </w:r>
          </w:p>
        </w:tc>
      </w:tr>
      <w:tr>
        <w:trPr>
          <w:cantSplit w:val="true"/>
        </w:trPr>
        <w:tc>
          <w:tcPr>
            <w:tcW w:type="dxa" w:w="22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Escalabilidad</w:t>
            </w:r>
          </w:p>
        </w:tc>
        <w:tc>
          <w:tcPr>
            <w:tcW w:type="dxa" w:w="17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Por validar</w:t>
            </w:r>
          </w:p>
        </w:tc>
        <w:tc>
          <w:tcPr>
            <w:tcW w:type="dxa" w:w="54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Sin carga, telemetría ni análisis de consultas.</w:t>
            </w:r>
          </w:p>
        </w:tc>
      </w:tr>
      <w:tr>
        <w:trPr>
          <w:cantSplit w:val="true"/>
        </w:trPr>
        <w:tc>
          <w:tcPr>
            <w:tcW w:type="dxa" w:w="22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Confiabilidad</w:t>
            </w:r>
          </w:p>
        </w:tc>
        <w:tc>
          <w:tcPr>
            <w:tcW w:type="dxa" w:w="17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En riesgo</w:t>
            </w:r>
          </w:p>
        </w:tc>
        <w:tc>
          <w:tcPr>
            <w:tcW w:type="dxa" w:w="54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Sin suite automatizada.</w:t>
            </w:r>
          </w:p>
        </w:tc>
      </w:tr>
      <w:tr>
        <w:trPr>
          <w:cantSplit w:val="true"/>
        </w:trPr>
        <w:tc>
          <w:tcPr>
            <w:tcW w:type="dxa" w:w="22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Mantenibilidad</w:t>
            </w:r>
          </w:p>
        </w:tc>
        <w:tc>
          <w:tcPr>
            <w:tcW w:type="dxa" w:w="17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Mixta</w:t>
            </w:r>
          </w:p>
        </w:tc>
        <w:tc>
          <w:tcPr>
            <w:tcW w:type="dxa" w:w="546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Monorepo claro, pero rutas grandes y lógica concentrada.</w:t>
            </w:r>
          </w:p>
        </w:tc>
      </w:tr>
      <w:tr>
        <w:trPr>
          <w:cantSplit w:val="true"/>
        </w:trPr>
        <w:tc>
          <w:tcPr>
            <w:tcW w:type="dxa" w:w="22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Observabilidad</w:t>
            </w:r>
          </w:p>
        </w:tc>
        <w:tc>
          <w:tcPr>
            <w:tcW w:type="dxa" w:w="17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Inicial</w:t>
            </w:r>
          </w:p>
        </w:tc>
        <w:tc>
          <w:tcPr>
            <w:tcW w:type="dxa" w:w="546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Healthcheck y logs; faltan métricas y alertas.</w:t>
            </w:r>
          </w:p>
        </w:tc>
      </w:tr>
    </w:tbl>
    <w:p>
      <w:pPr>
        <w:spacing w:after="0"/>
      </w:pPr>
    </w:p>
    <w:p>
      <w:pPr>
        <w:pStyle w:val="Heading1"/>
        <w:keepNext/>
      </w:pPr>
      <w:r>
        <w:t>9. Recomendaciones de rendimiento</w:t>
      </w:r>
    </w:p>
    <w:p>
      <w:pPr>
        <w:spacing w:after="160" w:line="280" w:lineRule="auto"/>
        <w:ind w:left="720" w:hanging="360"/>
        <w:numPr>
          <w:ilvl w:val="0"/>
          <w:numId w:val="12"/>
        </w:numPr>
      </w:pPr>
      <w:r>
        <w:rPr>
          <w:rFonts w:ascii="Calibri" w:hAnsi="Calibri" w:eastAsia="Calibri"/>
          <w:color w:val="171717"/>
          <w:sz w:val="22"/>
        </w:rPr>
        <w:t>Definir presupuesto de rendimiento: LCP/INP/CLS, tamaño por ruta, p95 de API, tasa de error y consumo de recursos.</w:t>
      </w:r>
    </w:p>
    <w:p>
      <w:pPr>
        <w:spacing w:after="160" w:line="280" w:lineRule="auto"/>
        <w:ind w:left="720" w:hanging="360"/>
        <w:numPr>
          <w:ilvl w:val="0"/>
          <w:numId w:val="12"/>
        </w:numPr>
      </w:pPr>
      <w:r>
        <w:rPr>
          <w:rFonts w:ascii="Calibri" w:hAnsi="Calibri" w:eastAsia="Calibri"/>
          <w:color w:val="171717"/>
          <w:sz w:val="22"/>
        </w:rPr>
        <w:t>Agregar lazy loading por vista en cliente y especialmente en administración.</w:t>
      </w:r>
    </w:p>
    <w:p>
      <w:pPr>
        <w:spacing w:after="160" w:line="280" w:lineRule="auto"/>
        <w:ind w:left="720" w:hanging="360"/>
        <w:numPr>
          <w:ilvl w:val="0"/>
          <w:numId w:val="12"/>
        </w:numPr>
      </w:pPr>
      <w:r>
        <w:rPr>
          <w:rFonts w:ascii="Calibri" w:hAnsi="Calibri" w:eastAsia="Calibri"/>
          <w:color w:val="171717"/>
          <w:sz w:val="22"/>
        </w:rPr>
        <w:t>Reducir el refresco fijo de 15 segundos mediante invalidación dirigida, visibilidad de pestaña o eventos.</w:t>
      </w:r>
    </w:p>
    <w:p>
      <w:pPr>
        <w:spacing w:after="160" w:line="280" w:lineRule="auto"/>
        <w:ind w:left="720" w:hanging="360"/>
        <w:numPr>
          <w:ilvl w:val="0"/>
          <w:numId w:val="12"/>
        </w:numPr>
      </w:pPr>
      <w:r>
        <w:rPr>
          <w:rFonts w:ascii="Calibri" w:hAnsi="Calibri" w:eastAsia="Calibri"/>
          <w:color w:val="171717"/>
          <w:sz w:val="22"/>
        </w:rPr>
        <w:t>Separar caché: no-store para respuestas privadas y TTL/ETag controlado para catálogo público.</w:t>
      </w:r>
    </w:p>
    <w:p>
      <w:pPr>
        <w:spacing w:after="160" w:line="280" w:lineRule="auto"/>
        <w:ind w:left="720" w:hanging="360"/>
        <w:numPr>
          <w:ilvl w:val="0"/>
          <w:numId w:val="12"/>
        </w:numPr>
      </w:pPr>
      <w:r>
        <w:rPr>
          <w:rFonts w:ascii="Calibri" w:hAnsi="Calibri" w:eastAsia="Calibri"/>
          <w:color w:val="171717"/>
          <w:sz w:val="22"/>
        </w:rPr>
        <w:t>Auditar consultas con explain y añadir índices basados en filtros reales.</w:t>
      </w:r>
    </w:p>
    <w:p>
      <w:pPr>
        <w:spacing w:after="160" w:line="280" w:lineRule="auto"/>
        <w:ind w:left="720" w:hanging="360"/>
        <w:numPr>
          <w:ilvl w:val="0"/>
          <w:numId w:val="12"/>
        </w:numPr>
      </w:pPr>
      <w:r>
        <w:rPr>
          <w:rFonts w:ascii="Calibri" w:hAnsi="Calibri" w:eastAsia="Calibri"/>
          <w:color w:val="171717"/>
          <w:sz w:val="22"/>
        </w:rPr>
        <w:t>Ejecutar pruebas de carga para catálogo, login, creación de pedido, webhook y panel.</w:t>
      </w:r>
    </w:p>
    <w:p>
      <w:pPr>
        <w:spacing w:after="160" w:line="280" w:lineRule="auto"/>
        <w:ind w:left="720" w:hanging="360"/>
        <w:numPr>
          <w:ilvl w:val="0"/>
          <w:numId w:val="12"/>
        </w:numPr>
      </w:pPr>
      <w:r>
        <w:rPr>
          <w:rFonts w:ascii="Calibri" w:hAnsi="Calibri" w:eastAsia="Calibri"/>
          <w:color w:val="171717"/>
          <w:sz w:val="22"/>
        </w:rPr>
        <w:t>Agregar APM, métricas, trazas, alertas y paneles de error/latencia.</w:t>
      </w:r>
    </w:p>
    <w:p>
      <w:pPr>
        <w:spacing w:after="160" w:line="280" w:lineRule="auto"/>
        <w:ind w:left="720" w:hanging="360"/>
        <w:numPr>
          <w:ilvl w:val="0"/>
          <w:numId w:val="12"/>
        </w:numPr>
      </w:pPr>
      <w:r>
        <w:rPr>
          <w:rFonts w:ascii="Calibri" w:hAnsi="Calibri" w:eastAsia="Calibri"/>
          <w:color w:val="171717"/>
          <w:sz w:val="22"/>
        </w:rPr>
        <w:t>Dividir rutas extensas por dominio para reducir riesgo de regresión.</w:t>
      </w:r>
    </w:p>
    <w:p>
      <w:r>
        <w:br w:type="page"/>
      </w:r>
    </w:p>
    <w:p>
      <w:pPr>
        <w:pStyle w:val="Heading1"/>
        <w:keepNext/>
      </w:pPr>
      <w:r>
        <w:t>10. Plan de medición</w:t>
      </w:r>
    </w:p>
    <w:tbl>
      <w:tblPr>
        <w:tblW w:type="dxa" w:w="9360"/>
        <w:tblLook w:firstColumn="1" w:firstRow="1" w:lastColumn="0" w:lastRow="0" w:noHBand="0" w:noVBand="1" w:val="04A0"/>
        <w:tblInd w:w="120" w:type="dxa"/>
        <w:tblLayout w:type="fixed"/>
        <w:tblBorders>
          <w:top w:val="single" w:sz="6" w:space="0" w:color="D8DADF"/>
          <w:left w:val="single" w:sz="6" w:space="0" w:color="D8DADF"/>
          <w:bottom w:val="single" w:sz="6" w:space="0" w:color="D8DADF"/>
          <w:right w:val="single" w:sz="6" w:space="0" w:color="D8DADF"/>
          <w:insideH w:val="single" w:sz="6" w:space="0" w:color="D8DADF"/>
          <w:insideV w:val="single" w:sz="6" w:space="0" w:color="D8DADF"/>
        </w:tblBorders>
      </w:tblPr>
      <w:tblGrid>
        <w:gridCol w:w="1700"/>
        <w:gridCol w:w="3350"/>
        <w:gridCol w:w="4310"/>
      </w:tblGrid>
      <w:tr>
        <w:trPr>
          <w:tblHeader w:val="true"/>
          <w:cantSplit w:val="true"/>
        </w:trPr>
        <w:tc>
          <w:tcPr>
            <w:tcW w:type="dxa" w:w="170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Fase</w:t>
            </w:r>
          </w:p>
        </w:tc>
        <w:tc>
          <w:tcPr>
            <w:tcW w:type="dxa" w:w="335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Medición</w:t>
            </w:r>
          </w:p>
        </w:tc>
        <w:tc>
          <w:tcPr>
            <w:tcW w:type="dxa" w:w="4310"/>
            <w:tcMar>
              <w:top w:w="80" w:type="dxa"/>
              <w:start w:w="120" w:type="dxa"/>
              <w:bottom w:w="80" w:type="dxa"/>
              <w:end w:w="120" w:type="dxa"/>
            </w:tcMar>
            <w:shd w:fill="F3F4F6"/>
            <w:vAlign w:val="center"/>
          </w:tcPr>
          <w:p>
            <w:pPr>
              <w:spacing w:before="0" w:after="0"/>
              <w:jc w:val="center"/>
            </w:pPr>
            <w:r>
              <w:rPr>
                <w:rFonts w:ascii="Calibri" w:hAnsi="Calibri" w:eastAsia="Calibri"/>
                <w:b/>
                <w:color w:val="171717"/>
                <w:sz w:val="18"/>
              </w:rPr>
              <w:t>Criterio sugerido</w:t>
            </w:r>
          </w:p>
        </w:tc>
      </w:tr>
      <w:tr>
        <w:trPr>
          <w:cantSplit w:val="true"/>
        </w:trPr>
        <w:tc>
          <w:tcPr>
            <w:tcW w:type="dxa" w:w="17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Baseline</w:t>
            </w:r>
          </w:p>
        </w:tc>
        <w:tc>
          <w:tcPr>
            <w:tcW w:type="dxa" w:w="335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Lighthouse y bundles en CI</w:t>
            </w:r>
          </w:p>
        </w:tc>
        <w:tc>
          <w:tcPr>
            <w:tcW w:type="dxa" w:w="431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Registrar por commit y bloquear regresiones acordadas.</w:t>
            </w:r>
          </w:p>
        </w:tc>
      </w:tr>
      <w:tr>
        <w:trPr>
          <w:cantSplit w:val="true"/>
        </w:trPr>
        <w:tc>
          <w:tcPr>
            <w:tcW w:type="dxa" w:w="17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API local</w:t>
            </w:r>
          </w:p>
        </w:tc>
        <w:tc>
          <w:tcPr>
            <w:tcW w:type="dxa" w:w="335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p50/p95/p99 y errores</w:t>
            </w:r>
          </w:p>
        </w:tc>
        <w:tc>
          <w:tcPr>
            <w:tcW w:type="dxa" w:w="431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Escenarios con datos representativos.</w:t>
            </w:r>
          </w:p>
        </w:tc>
      </w:tr>
      <w:tr>
        <w:trPr>
          <w:cantSplit w:val="true"/>
        </w:trPr>
        <w:tc>
          <w:tcPr>
            <w:tcW w:type="dxa" w:w="1700"/>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Staging</w:t>
            </w:r>
          </w:p>
        </w:tc>
        <w:tc>
          <w:tcPr>
            <w:tcW w:type="dxa" w:w="335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Carga sostenida y picos</w:t>
            </w:r>
          </w:p>
        </w:tc>
        <w:tc>
          <w:tcPr>
            <w:tcW w:type="dxa" w:w="4310"/>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Sin pérdida de integridad ni degradación no aceptada.</w:t>
            </w:r>
          </w:p>
        </w:tc>
      </w:tr>
      <w:tr>
        <w:trPr>
          <w:cantSplit w:val="true"/>
        </w:trPr>
        <w:tc>
          <w:tcPr>
            <w:tcW w:type="dxa" w:w="1700"/>
            <w:shd w:fill="FAFAFA"/>
            <w:vAlign w:val="center"/>
            <w:tcMar>
              <w:top w:w="80" w:type="dxa"/>
              <w:start w:w="120" w:type="dxa"/>
              <w:bottom w:w="80" w:type="dxa"/>
              <w:end w:w="120" w:type="dxa"/>
            </w:tcMar>
          </w:tcPr>
          <w:p>
            <w:pPr>
              <w:pStyle w:val="TableText"/>
              <w:spacing w:before="0" w:after="0" w:line="252" w:lineRule="auto"/>
              <w:jc w:val="center"/>
            </w:pPr>
            <w:r>
              <w:rPr>
                <w:rFonts w:ascii="Calibri" w:hAnsi="Calibri" w:eastAsia="Calibri"/>
                <w:color w:val="171717"/>
                <w:sz w:val="18"/>
              </w:rPr>
              <w:t>Producción</w:t>
            </w:r>
          </w:p>
        </w:tc>
        <w:tc>
          <w:tcPr>
            <w:tcW w:type="dxa" w:w="335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RUM, APM, uptime y errores</w:t>
            </w:r>
          </w:p>
        </w:tc>
        <w:tc>
          <w:tcPr>
            <w:tcW w:type="dxa" w:w="4310"/>
            <w:shd w:fill="FAFAFA"/>
            <w:vAlign w:val="center"/>
            <w:tcMar>
              <w:top w:w="80" w:type="dxa"/>
              <w:start w:w="120" w:type="dxa"/>
              <w:bottom w:w="80" w:type="dxa"/>
              <w:end w:w="120" w:type="dxa"/>
            </w:tcMar>
          </w:tcPr>
          <w:p>
            <w:pPr>
              <w:pStyle w:val="TableText"/>
              <w:spacing w:before="0" w:after="0" w:line="252" w:lineRule="auto"/>
              <w:jc w:val="left"/>
            </w:pPr>
            <w:r>
              <w:rPr>
                <w:rFonts w:ascii="Calibri" w:hAnsi="Calibri" w:eastAsia="Calibri"/>
                <w:color w:val="171717"/>
                <w:sz w:val="18"/>
              </w:rPr>
              <w:t>SLO aprobado por negocio y operación.</w:t>
            </w:r>
          </w:p>
        </w:tc>
      </w:tr>
    </w:tbl>
    <w:p>
      <w:pPr>
        <w:spacing w:after="0"/>
      </w:pPr>
    </w:p>
    <w:p>
      <w:pPr>
        <w:pStyle w:val="Heading1"/>
        <w:keepNext/>
      </w:pPr>
      <w:r>
        <w:t>Base de evidencia y alcance</w:t>
      </w:r>
    </w:p>
    <w:p>
      <w:r>
        <w:rPr>
          <w:rFonts w:ascii="Calibri" w:hAnsi="Calibri" w:eastAsia="Calibri"/>
          <w:i w:val="0"/>
          <w:color w:val="171717"/>
        </w:rPr>
        <w:t>El contenido se elaboró a partir del estado local del repositorio GymVerse, su README, archivos de despliegue, código fuente, modelos, rutas, documentación existente, historial Git y las validaciones ejecutadas el 29 de julio de 2026. No se utilizaron métricas de producción ni se asumieron aprobaciones no registradas. Los tiempos de Vite son tiempos de compilación, no tiempos de respuesta al usuario.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777B84"/>
        <w:sz w:val="18"/>
      </w:rPr>
      <w:t xml:space="preserve">Documento de proyecto  ·  </w:t>
    </w:r>
    <w:r>
      <w:rPr>
        <w:rFonts w:ascii="Calibri" w:hAnsi="Calibri" w:eastAsia="Calibri"/>
        <w:color w:val="777B8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777B84"/>
        <w:sz w:val="17"/>
      </w:rPr>
      <w:t>GYMVERSE  ·  ANÁLISIS DE RENDIMIENTO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0000009"/>
    <w:multiLevelType w:val="singleLevel"/>
    <w:tmpl w:val="B0000009"/>
    <w:lvl w:ilvl="0">
      <w:start w:val="1"/>
      <w:numFmt w:val="bullet"/>
      <w:lvlText w:val="•"/>
      <w:lvlJc w:val="left"/>
      <w:suff w:val="tab"/>
      <w:pPr>
        <w:tabs>
          <w:tab w:val="num" w:pos="720"/>
        </w:tabs>
        <w:ind w:left="720" w:hanging="360"/>
      </w:pPr>
      <w:rPr>
        <w:rFonts w:ascii="Calibri" w:hAnsi="Calibri"/>
      </w:rPr>
    </w:lvl>
  </w:abstractNum>
  <w:abstractNum w:abstractNumId="10">
    <w:nsid w:val="A000000A"/>
    <w:multiLevelType w:val="singleLevel"/>
    <w:tmpl w:val="B000000A"/>
    <w:lvl w:ilvl="0">
      <w:start w:val="1"/>
      <w:numFmt w:val="bullet"/>
      <w:lvlText w:val="•"/>
      <w:lvlJc w:val="left"/>
      <w:suff w:val="tab"/>
      <w:pPr>
        <w:tabs>
          <w:tab w:val="num" w:pos="720"/>
        </w:tabs>
        <w:ind w:left="720" w:hanging="360"/>
      </w:pPr>
      <w:rPr>
        <w:rFonts w:ascii="Calibri" w:hAnsi="Calibri"/>
      </w:rPr>
    </w:lvl>
  </w:abstractNum>
  <w:abstractNum w:abstractNumId="11">
    <w:nsid w:val="A000000B"/>
    <w:multiLevelType w:val="singleLevel"/>
    <w:tmpl w:val="B000000B"/>
    <w:lvl w:ilvl="0">
      <w:start w:val="1"/>
      <w:numFmt w:val="decimal"/>
      <w:lvlText w:val="%1."/>
      <w:lvlJc w:val="left"/>
      <w:suff w:val="tab"/>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5252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252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5252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rPr>
      <w:rFonts w:ascii="Calibri" w:hAnsi="Calibri"/>
      <w:color w:val="9A6700"/>
      <w:sz w:val="20"/>
    </w:rPr>
  </w:style>
  <w:style w:type="paragraph" w:customStyle="1" w:styleId="CoverTitle">
    <w:name w:val="Cover Title"/>
    <w:rPr>
      <w:rFonts w:ascii="Calibri" w:hAnsi="Calibri"/>
      <w:color w:val="171717"/>
      <w:sz w:val="56"/>
    </w:rPr>
  </w:style>
  <w:style w:type="paragraph" w:customStyle="1" w:styleId="CoverSubtitle">
    <w:name w:val="Cover Subtitle"/>
    <w:rPr>
      <w:rFonts w:ascii="Calibri" w:hAnsi="Calibri"/>
      <w:color w:val="60646C"/>
      <w:sz w:val="28"/>
    </w:rPr>
  </w:style>
  <w:style w:type="paragraph" w:customStyle="1" w:styleId="SmallMeta">
    <w:name w:val="Small Meta"/>
    <w:rPr>
      <w:rFonts w:ascii="Calibri" w:hAnsi="Calibri"/>
      <w:color w:val="777B84"/>
      <w:sz w:val="19"/>
    </w:rPr>
  </w:style>
  <w:style w:type="paragraph" w:customStyle="1" w:styleId="Callout">
    <w:name w:val="Callout"/>
    <w:rPr>
      <w:rFonts w:ascii="Calibri" w:hAnsi="Calibri"/>
      <w:color w:val="252525"/>
      <w:sz w:val="21"/>
    </w:rPr>
  </w:style>
  <w:style w:type="paragraph" w:customStyle="1" w:styleId="TableText">
    <w:name w:val="Table Text"/>
    <w:rPr>
      <w:rFonts w:ascii="Calibri" w:hAnsi="Calibri"/>
      <w:color w:val="17171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rendimiento del proyecto</dc:title>
  <dc:subject>Documentación formal del proyecto GymVerse</dc:subject>
  <dc:creator>GymVerse</dc:creator>
  <cp:keywords>GymVerse, proyecto, documentación, software</cp:keywords>
  <dc:description>generated by python-docx</dc:description>
  <cp:lastModifiedBy/>
  <cp:revision>1</cp:revision>
  <dcterms:created xsi:type="dcterms:W3CDTF">2013-12-23T23:15:00Z</dcterms:created>
  <dcterms:modified xsi:type="dcterms:W3CDTF">2013-12-23T23:15:00Z</dcterms:modified>
  <cp:category/>
</cp:coreProperties>
</file>