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Análisis de rendimiento del equipo de proyecto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Lectura responsable del historial Git y de las prácticas de entrega observables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Analizar la ejecución del equipo sin inventar horas, roles ni contribuciones que no estén respaldadas por el repositorio.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Método y limitaciones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Métricas del historial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Fortalezas y riesgos de ejecución</w:t>
      </w:r>
    </w:p>
    <w:p>
      <w:pPr>
        <w:spacing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Recomendaciones para madurez del equipo</w:t>
      </w:r>
    </w:p>
    <w:p>
      <w:pPr>
        <w:pStyle w:val="Heading1"/>
        <w:keepNext/>
      </w:pPr>
      <w:r>
        <w:t>1. Alcance del análisis</w:t>
      </w:r>
    </w:p>
    <w:p>
      <w:pPr>
        <w:pStyle w:val="Callout"/>
        <w:keepLines/>
        <w:spacing w:before="120" w:after="20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Limitación crítica: </w:t>
      </w:r>
      <w:r>
        <w:rPr>
          <w:rFonts w:ascii="Calibri" w:hAnsi="Calibri" w:eastAsia="Calibri"/>
          <w:color w:val="252525"/>
          <w:sz w:val="21"/>
        </w:rPr>
        <w:t>Git registra un único autor en los 10 commits disponibles. Por ello, este documento evalúa prácticas de entrega observables y riesgo organizacional; no compara personas ni atribuye productividad a integrantes no registrados.</w:t>
      </w:r>
    </w:p>
    <w:p>
      <w:pPr>
        <w:pStyle w:val="Heading1"/>
        <w:keepNext/>
      </w:pPr>
      <w:r>
        <w:t>2. Métricas observadas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3400"/>
        <w:gridCol w:w="5960"/>
      </w:tblGrid>
      <w:tr>
        <w:trPr>
          <w:tblHeader w:val="true"/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Indicador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Periodo del historial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16 al 26 de julio de 2026</w:t>
            </w:r>
          </w:p>
        </w:tc>
      </w:tr>
      <w:tr>
        <w:trPr>
          <w:cantSplit w:val="true"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Commits</w:t>
            </w:r>
          </w:p>
        </w:tc>
        <w:tc>
          <w:tcPr>
            <w:tcW w:type="dxa" w:w="5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Autores Git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Días con actividad</w:t>
            </w:r>
          </w:p>
        </w:tc>
        <w:tc>
          <w:tcPr>
            <w:tcW w:type="dxa" w:w="5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Líneas añadidas / eliminadas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28,407 / 460</w:t>
            </w:r>
          </w:p>
        </w:tc>
      </w:tr>
      <w:tr>
        <w:trPr>
          <w:cantSplit w:val="true"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Commit inicial</w:t>
            </w:r>
          </w:p>
        </w:tc>
        <w:tc>
          <w:tcPr>
            <w:tcW w:type="dxa" w:w="59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25,548 líneas añadidas en 128 archivos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Cambios posteriores destacados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PWA, seguridad/despliegue, responsive, animaciones y recompensas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171717"/>
        </w:rPr>
        <w:t>El commit inicial representa aproximadamente 90% de las líneas añadidas. Esta concentración reduce la utilidad de métricas de velocidad y dificulta distinguir diseño, implementación, revisión y corrección.</w:t>
      </w:r>
    </w:p>
    <w:p>
      <w:pPr>
        <w:pStyle w:val="Heading1"/>
        <w:keepNext/>
      </w:pPr>
      <w:r>
        <w:t>3. Fortalezas observables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Cobertura funcional amplia en un periodo corto: cliente, administración, gimnasio, integraciones y documentación.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Evolución posterior al arranque: se registran mejoras específicas de flujo, seguridad, despliegue, responsive y experiencia móvil.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Existe CI con instalación limpia, build, auditoría interna y revisión de dependencias.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Los mensajes de commit posteriores al arranque comunican una intención funcional reconocible.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La entrega conserva un monorepo coherente y comandos comunes para desarrollo y validación.</w:t>
      </w:r>
    </w:p>
    <w:p>
      <w:pPr>
        <w:pStyle w:val="Heading1"/>
        <w:keepNext/>
      </w:pPr>
      <w:r>
        <w:t>4. Riesgos y áreas de mejora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100"/>
        <w:gridCol w:w="3350"/>
        <w:gridCol w:w="391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Riesgo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Evidencia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Bus factor 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Un solo autor Git.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Continuidad, soporte y conocimiento concentrados.</w:t>
            </w:r>
          </w:p>
        </w:tc>
      </w:tr>
      <w:tr>
        <w:trPr>
          <w:cantSplit w:val="true"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Revisión no observable</w:t>
            </w:r>
          </w:p>
        </w:tc>
        <w:tc>
          <w:tcPr>
            <w:tcW w:type="dxa" w:w="33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hay evidencia local de PRs o revisores.</w:t>
            </w:r>
          </w:p>
        </w:tc>
        <w:tc>
          <w:tcPr>
            <w:tcW w:type="dxa" w:w="39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Defectos y decisiones sin segunda mirada.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Granularidad baja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Commit inicial de 25,548 líneas.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Revisión, rollback y trazabilidad difíciles.</w:t>
            </w:r>
          </w:p>
        </w:tc>
      </w:tr>
      <w:tr>
        <w:trPr>
          <w:cantSplit w:val="true"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QA manual</w:t>
            </w:r>
          </w:p>
        </w:tc>
        <w:tc>
          <w:tcPr>
            <w:tcW w:type="dxa" w:w="33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0 archivos de pruebas automatizadas.</w:t>
            </w:r>
          </w:p>
        </w:tc>
        <w:tc>
          <w:tcPr>
            <w:tcW w:type="dxa" w:w="39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Regresiones y liberaciones más costosas.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Trabajo no trazado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hay issues o estimaciones en la evidencia local.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No puede medirse predictibilidad ni alcance.</w:t>
            </w:r>
          </w:p>
        </w:tc>
      </w:tr>
      <w:tr>
        <w:trPr>
          <w:cantSplit w:val="true"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Especialización concentrada</w:t>
            </w:r>
          </w:p>
        </w:tc>
        <w:tc>
          <w:tcPr>
            <w:tcW w:type="dxa" w:w="33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Una persona cubre front, back, seguridad y despliegue.</w:t>
            </w:r>
          </w:p>
        </w:tc>
        <w:tc>
          <w:tcPr>
            <w:tcW w:type="dxa" w:w="391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Sobrecarga y dependencia técnica.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Interpretación responsable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No es válido convertir líneas o commits en horas trabajadas, eficiencia personal o calidad.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 amplitud de entrega sugiere alta capacidad de ejecución, pero no prueba sostenibilidad.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Los cuatro días activos reflejan actividad registrada, no necesariamente el tiempo real dedicado.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Las modificaciones locales sin commit y el trabajo fuera de Git no forman parte de las métricas.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La ausencia de evidencia de equipo no implica ausencia de colaboración; solo impide medirla.</w:t>
      </w:r>
    </w:p>
    <w:p>
      <w:pPr>
        <w:pStyle w:val="Heading1"/>
        <w:keepNext/>
      </w:pPr>
      <w:r>
        <w:t>6. Recomendaciones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Asignar al menos un segundo mantenedor y documentar responsabilidades por dominio.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Trabajar con ramas y pull requests pequeños, con revisión obligatoria para lógica crítica.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Vincular cada cambio a una historia, incidencia o decisión con criterios de aceptación.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Separar commits por intención y evitar entregas iniciales monolíticas cuando el contexto lo permita.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Incorporar QA desde el inicio: pruebas de negocio, seguridad, accesibilidad y rendimiento.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Celebrar revisión técnica periódica y transferencia de conocimiento.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Medir flujo con tiempo de ciclo, defectos escapados, tasa de rollback y estabilidad, no con líneas de código.</w:t>
      </w:r>
    </w:p>
    <w:p>
      <w:pPr>
        <w:pStyle w:val="Heading1"/>
        <w:keepNext/>
      </w:pPr>
      <w:r>
        <w:t>7. Cuadro de seguimiento sugerido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200"/>
        <w:gridCol w:w="5100"/>
        <w:gridCol w:w="20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Indicador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Definición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Frecuencia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Tiempo de ciclo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Desde inicio de trabajo hasta despliegue.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Semanal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PR revisados</w:t>
            </w:r>
          </w:p>
        </w:tc>
        <w:tc>
          <w:tcPr>
            <w:tcW w:type="dxa" w:w="5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Porcentaje con aprobación independiente.</w:t>
            </w:r>
          </w:p>
        </w:tc>
        <w:tc>
          <w:tcPr>
            <w:tcW w:type="dxa" w:w="20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Semanal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Cambios fallidos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Despliegues con rollback o corrección urgente.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Mensual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Defectos escapados</w:t>
            </w:r>
          </w:p>
        </w:tc>
        <w:tc>
          <w:tcPr>
            <w:tcW w:type="dxa" w:w="5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Incidencias detectadas después de liberar.</w:t>
            </w:r>
          </w:p>
        </w:tc>
        <w:tc>
          <w:tcPr>
            <w:tcW w:type="dxa" w:w="20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Mensual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Cobertura crítica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Casos clave automatizados, no solo porcentaje de líneas.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Por versión</w:t>
            </w:r>
          </w:p>
        </w:tc>
      </w:tr>
      <w:tr>
        <w:trPr>
          <w:cantSplit w:val="true"/>
        </w:trPr>
        <w:tc>
          <w:tcPr>
            <w:tcW w:type="dxa" w:w="2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Bus factor</w:t>
            </w:r>
          </w:p>
        </w:tc>
        <w:tc>
          <w:tcPr>
            <w:tcW w:type="dxa" w:w="5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Dominios con al menos dos personas capaces de mantenerlos.</w:t>
            </w:r>
          </w:p>
        </w:tc>
        <w:tc>
          <w:tcPr>
            <w:tcW w:type="dxa" w:w="20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Trimestral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ANÁLISIS DE RENDIMIENTO DEL EQUIPO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1">
    <w:nsid w:val="A000000B"/>
    <w:multiLevelType w:val="singleLevel"/>
    <w:tmpl w:val="B000000B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2">
    <w:nsid w:val="A000000C"/>
    <w:multiLevelType w:val="singleLevel"/>
    <w:tmpl w:val="B000000C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rendimiento del equipo de proyecto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