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drawing>
          <wp:inline xmlns:a="http://schemas.openxmlformats.org/drawingml/2006/main" xmlns:pic="http://schemas.openxmlformats.org/drawingml/2006/picture">
            <wp:extent cx="841248" cy="841248"/>
            <wp:docPr id="1" name="Picture 1" descr="Logotipo de GymVer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yellow-b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84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Kicker"/>
        <w:spacing w:after="240"/>
        <w:jc w:val="center"/>
      </w:pPr>
      <w:r>
        <w:rPr>
          <w:rFonts w:ascii="Calibri" w:hAnsi="Calibri" w:eastAsia="Calibri"/>
          <w:b/>
          <w:color w:val="9A6700"/>
          <w:sz w:val="20"/>
        </w:rPr>
        <w:t>GYMVERSE  ·  DOCUMENTACIÓN DEL PROYECTO</w:t>
      </w:r>
    </w:p>
    <w:p>
      <w:pPr>
        <w:pStyle w:val="CoverTitle"/>
        <w:spacing w:after="160"/>
        <w:jc w:val="center"/>
      </w:pPr>
      <w:r>
        <w:rPr>
          <w:rFonts w:ascii="Calibri" w:hAnsi="Calibri" w:eastAsia="Calibri"/>
          <w:b/>
          <w:color w:val="171717"/>
          <w:sz w:val="56"/>
        </w:rPr>
        <w:t>Lecciones aprendidas</w:t>
      </w:r>
    </w:p>
    <w:p>
      <w:pPr>
        <w:pStyle w:val="CoverSubtitle"/>
        <w:spacing w:after="560"/>
        <w:jc w:val="center"/>
      </w:pPr>
      <w:r>
        <w:rPr>
          <w:rFonts w:ascii="Calibri" w:hAnsi="Calibri" w:eastAsia="Calibri"/>
          <w:color w:val="60646C"/>
          <w:sz w:val="28"/>
        </w:rPr>
        <w:t>Aprendizajes técnicos, de producto, operación y gestión</w:t>
      </w:r>
    </w:p>
    <w:p>
      <w:pPr>
        <w:pStyle w:val="Callout"/>
        <w:keepLines/>
        <w:spacing w:before="120" w:after="120" w:line="264" w:lineRule="auto"/>
        <w:ind w:left="115" w:right="115"/>
        <w:shd w:fill="FFF6C7"/>
        <w:pBdr>
          <w:top w:val="single" w:sz="10" w:space="6" w:color="FFD400"/>
          <w:left w:val="single" w:sz="10" w:space="6" w:color="FFD400"/>
          <w:bottom w:val="single" w:sz="10" w:space="6" w:color="FFD400"/>
          <w:right w:val="single" w:sz="10" w:space="6" w:color="FFD400"/>
        </w:pBdr>
      </w:pPr>
      <w:r>
        <w:rPr>
          <w:rFonts w:ascii="Calibri" w:hAnsi="Calibri" w:eastAsia="Calibri"/>
          <w:b/>
          <w:color w:val="252525"/>
          <w:sz w:val="21"/>
        </w:rPr>
        <w:t xml:space="preserve">Propósito del documento: </w:t>
      </w:r>
      <w:r>
        <w:rPr>
          <w:rFonts w:ascii="Calibri" w:hAnsi="Calibri" w:eastAsia="Calibri"/>
          <w:color w:val="252525"/>
          <w:sz w:val="21"/>
        </w:rPr>
        <w:t>Convertir la experiencia observable del proyecto en prácticas reutilizables para siguientes versiones.</w:t>
      </w:r>
    </w:p>
    <w:p>
      <w:pPr>
        <w:pStyle w:val="SmallMeta"/>
        <w:spacing w:before="560" w:after="80"/>
        <w:jc w:val="center"/>
      </w:pPr>
      <w:r>
        <w:rPr>
          <w:rFonts w:ascii="Calibri" w:hAnsi="Calibri" w:eastAsia="Calibri"/>
          <w:b/>
          <w:color w:val="777B84"/>
          <w:sz w:val="19"/>
        </w:rPr>
        <w:t>Versión 1.0  ·  29 de julio de 2026</w:t>
      </w:r>
    </w:p>
    <w:p>
      <w:pPr>
        <w:pStyle w:val="SmallMeta"/>
        <w:jc w:val="center"/>
      </w:pPr>
      <w:r>
        <w:rPr>
          <w:rFonts w:ascii="Calibri" w:hAnsi="Calibri" w:eastAsia="Calibri"/>
          <w:i/>
          <w:color w:val="777B84"/>
          <w:sz w:val="18"/>
        </w:rPr>
        <w:t>Base de evidencia: repositorio local GymVerse y validaciones ejecutadas en la fecha del informe.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Qué funcionó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Qué debe cambiar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Lecciones por dimensión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Acciones para el siguiente ciclo</w:t>
      </w:r>
    </w:p>
    <w:p>
      <w:pPr>
        <w:pStyle w:val="Heading1"/>
        <w:keepNext/>
      </w:pPr>
      <w:r>
        <w:t>1. Síntesis</w:t>
      </w:r>
    </w:p>
    <w:p>
      <w:r>
        <w:rPr>
          <w:rFonts w:ascii="Calibri" w:hAnsi="Calibri" w:eastAsia="Calibri"/>
          <w:i w:val="0"/>
          <w:color w:val="171717"/>
        </w:rPr>
        <w:t>GymVerse demuestra que una arquitectura simple de monorepo puede cubrir un producto de alcance amplio, pero también que la velocidad inicial debe acompañarse de pruebas, observabilidad, revisión y operación para transformarse en una entrega sostenible.</w:t>
      </w:r>
    </w:p>
    <w:p>
      <w:pPr>
        <w:pStyle w:val="Heading1"/>
        <w:keepNext/>
      </w:pPr>
      <w:r>
        <w:t>2. Lo que funcionó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Separar cliente, administración y API permitió adaptar experiencia y permisos por audiencia.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Centralizar reglas de totales, stock, cupones, puntos y estados en servidor reduce manipulación del cliente.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Modelar el stock local por gimnasio habilitó el diferenciador de retiro.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Incluir seguridad y preparación de despliegue como cambios explícitos mejoró la base del MVP.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El monorepo y los workspaces simplifican instalación, build y CI.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La documentación previa de modelos, validaciones y despliegue facilitó la consolidación final.</w:t>
      </w:r>
    </w:p>
    <w:p>
      <w:pPr>
        <w:pStyle w:val="Heading1"/>
        <w:keepNext/>
      </w:pPr>
      <w:r>
        <w:t>3. Lo que debe mejorar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La validación por sintaxis y build no sustituye pruebas de negocio.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Las integraciones externas deben probarse en staging con webhooks y credenciales controladas.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Un único autor y commits grandes reducen transferencia, revisión y trazabilidad.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Las rutas muy extensas elevan el riesgo de cambios cruzados.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Varias rutas de despliegue sin una opción oficial pueden divergir.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Sin métricas productivas no puede evaluarse experiencia real ni capacidad.</w:t>
      </w:r>
    </w:p>
    <w:p>
      <w:r>
        <w:br w:type="page"/>
      </w:r>
    </w:p>
    <w:p>
      <w:pPr>
        <w:pStyle w:val="Heading1"/>
        <w:keepNext/>
      </w:pPr>
      <w:r>
        <w:t>4. Lecciones técnicas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100"/>
        <w:gridCol w:w="3500"/>
        <w:gridCol w:w="37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Lección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Evidencia en GymVerse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Aplicación futura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La integridad es end-to-end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Pedido afecta stock, pago, cupón, puntos y avisos.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Probar el flujo completo y sus rollbacks.</w:t>
            </w:r>
          </w:p>
        </w:tc>
      </w:tr>
      <w:tr>
        <w:trPr>
          <w:cantSplit w:val="true"/>
        </w:trPr>
        <w:tc>
          <w:tcPr>
            <w:tcW w:type="dxa" w:w="2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Idempotencia es esencial</w:t>
            </w:r>
          </w:p>
        </w:tc>
        <w:tc>
          <w:tcPr>
            <w:tcW w:type="dxa" w:w="3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Webhooks y concesión de puntos pueden repetirse.</w:t>
            </w:r>
          </w:p>
        </w:tc>
        <w:tc>
          <w:tcPr>
            <w:tcW w:type="dxa" w:w="3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Diseñar claves, estados y pruebas de repetición.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Privacidad influye en arquitectura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Direcciones cifradas y logs redactados.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Definir clasificación de datos desde el diseño.</w:t>
            </w:r>
          </w:p>
        </w:tc>
      </w:tr>
      <w:tr>
        <w:trPr>
          <w:cantSplit w:val="true"/>
        </w:trPr>
        <w:tc>
          <w:tcPr>
            <w:tcW w:type="dxa" w:w="2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La caché necesita contexto</w:t>
            </w:r>
          </w:p>
        </w:tc>
        <w:tc>
          <w:tcPr>
            <w:tcW w:type="dxa" w:w="3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no-store protege todo /api.</w:t>
            </w:r>
          </w:p>
        </w:tc>
        <w:tc>
          <w:tcPr>
            <w:tcW w:type="dxa" w:w="3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Separar datos privados de catálogo público.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Mantenibilidad limita velocidad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admin.js y orders.js concentran lógica.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Extraer servicios y dominios antes de crecer.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Lecciones de producto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El retiro en gimnasio no es solo una opción de envío: necesita afiliación, stock local, permisos, código y reabastecimiento.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Recompensas y cupones requieren reglas de vigencia, límite, stock y reversión tan rigurosas como una compra.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El contenido y soporte complementan la transacción, pero deben medirse para saber si mejoran retención.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Los roles staff y gym deben diseñarse con tareas concretas, no solo con pantallas ocultas.</w:t>
      </w:r>
    </w:p>
    <w:p>
      <w:pPr>
        <w:pStyle w:val="Heading1"/>
        <w:keepNext/>
      </w:pPr>
      <w:r>
        <w:t>6. Lecciones de calidad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Cada regla documentada debe corresponder a una prueba ejecutable.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Las pruebas críticas deben cubrir éxito, rechazo, repetición, concurrencia y compensación.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La compilación rápida ayuda al flujo, pero el indicador de calidad debe incluir defectos y estabilidad.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La accesibilidad, rendimiento y seguridad necesitan criterios de aceptación propios.</w:t>
      </w:r>
    </w:p>
    <w:p>
      <w:pPr>
        <w:pStyle w:val="Heading1"/>
        <w:keepNext/>
      </w:pPr>
      <w:r>
        <w:t>7. Lecciones de gestión</w:t>
      </w:r>
    </w:p>
    <w:p>
      <w:pPr>
        <w:spacing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La documentación de cierre debe distinguir “implementado” de “aceptado en producción”.</w:t>
      </w:r>
    </w:p>
    <w:p>
      <w:pPr>
        <w:spacing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El historial debe permitir revisar decisiones; los commits pequeños y PRs elevan la calidad del conocimiento.</w:t>
      </w:r>
    </w:p>
    <w:p>
      <w:pPr>
        <w:spacing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La continuidad exige al menos dos personas por dominio crítico.</w:t>
      </w:r>
    </w:p>
    <w:p>
      <w:pPr>
        <w:spacing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Las métricas del equipo deben medir flujo y resultados, no volumen de código.</w:t>
      </w:r>
    </w:p>
    <w:p>
      <w:pPr>
        <w:pStyle w:val="Heading1"/>
        <w:keepNext/>
      </w:pPr>
      <w:r>
        <w:t>8. Acciones para el siguiente ciclo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1300"/>
        <w:gridCol w:w="4800"/>
        <w:gridCol w:w="3260"/>
      </w:tblGrid>
      <w:tr>
        <w:trPr>
          <w:tblHeader w:val="true"/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Prioridad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Acción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Alta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Automatizar pedidos, stock, pagos, pickup, recompensas y permisos.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Menos regresiones críticas.</w:t>
            </w:r>
          </w:p>
        </w:tc>
      </w:tr>
      <w:tr>
        <w:trPr>
          <w:cantSplit w:val="true"/>
        </w:trPr>
        <w:tc>
          <w:tcPr>
            <w:tcW w:type="dxa" w:w="13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Alta</w:t>
            </w:r>
          </w:p>
        </w:tc>
        <w:tc>
          <w:tcPr>
            <w:tcW w:type="dxa" w:w="48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Definir staging y pruebas de integraciones.</w:t>
            </w:r>
          </w:p>
        </w:tc>
        <w:tc>
          <w:tcPr>
            <w:tcW w:type="dxa" w:w="32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Riesgo productivo controlado.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Alta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Designar segundo mantenedor y revisión por PR.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Menor dependencia individual.</w:t>
            </w:r>
          </w:p>
        </w:tc>
      </w:tr>
      <w:tr>
        <w:trPr>
          <w:cantSplit w:val="true"/>
        </w:trPr>
        <w:tc>
          <w:tcPr>
            <w:tcW w:type="dxa" w:w="13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Media</w:t>
            </w:r>
          </w:p>
        </w:tc>
        <w:tc>
          <w:tcPr>
            <w:tcW w:type="dxa" w:w="48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Dividir rutas por dominio y añadir servicios.</w:t>
            </w:r>
          </w:p>
        </w:tc>
        <w:tc>
          <w:tcPr>
            <w:tcW w:type="dxa" w:w="32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Cambios más seguros.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Media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Instrumentar métricas y pruebas de carga.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SLA basado en evidencia.</w:t>
            </w:r>
          </w:p>
        </w:tc>
      </w:tr>
      <w:tr>
        <w:trPr>
          <w:cantSplit w:val="true"/>
        </w:trPr>
        <w:tc>
          <w:tcPr>
            <w:tcW w:type="dxa" w:w="13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Media</w:t>
            </w:r>
          </w:p>
        </w:tc>
        <w:tc>
          <w:tcPr>
            <w:tcW w:type="dxa" w:w="48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Elegir despliegue oficial y runbooks.</w:t>
            </w:r>
          </w:p>
        </w:tc>
        <w:tc>
          <w:tcPr>
            <w:tcW w:type="dxa" w:w="32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Operación repetible.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Baja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Optimizar lazy loading y estrategia de caché.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Mejor carga inicial y escalabilidad.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Base de evidencia y alcance</w:t>
      </w:r>
    </w:p>
    <w:p>
      <w:r>
        <w:rPr>
          <w:rFonts w:ascii="Calibri" w:hAnsi="Calibri" w:eastAsia="Calibri"/>
          <w:i w:val="0"/>
          <w:color w:val="171717"/>
        </w:rPr>
        <w:t>El contenido se elaboró a partir del estado local del repositorio GymVerse, su README, archivos de despliegue, código fuente, modelos, rutas, documentación existente, historial Git y las validaciones ejecutadas el 29 de julio de 2026. No se utilizaron métricas de producción ni se asumieron aprobaciones no registradas.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777B84"/>
        <w:sz w:val="18"/>
      </w:rPr>
      <w:t xml:space="preserve">Documento de proyecto  ·  </w:t>
    </w:r>
    <w:r>
      <w:rPr>
        <w:rFonts w:ascii="Calibri" w:hAnsi="Calibri" w:eastAsia="Calibri"/>
        <w:color w:val="777B8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777B84"/>
        <w:sz w:val="17"/>
      </w:rPr>
      <w:t>GYMVERSE  ·  LECCIONES APRENDIDAS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000009"/>
    <w:multiLevelType w:val="singleLevel"/>
    <w:tmpl w:val="B0000009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0">
    <w:nsid w:val="A000000A"/>
    <w:multiLevelType w:val="singleLevel"/>
    <w:tmpl w:val="B000000A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1">
    <w:nsid w:val="A000000B"/>
    <w:multiLevelType w:val="singleLevel"/>
    <w:tmpl w:val="B000000B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2">
    <w:nsid w:val="A000000C"/>
    <w:multiLevelType w:val="singleLevel"/>
    <w:tmpl w:val="B000000C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3">
    <w:nsid w:val="A000000D"/>
    <w:multiLevelType w:val="singleLevel"/>
    <w:tmpl w:val="B000000D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4">
    <w:nsid w:val="A000000E"/>
    <w:multiLevelType w:val="singleLevel"/>
    <w:tmpl w:val="B000000E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525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25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5252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rPr>
      <w:rFonts w:ascii="Calibri" w:hAnsi="Calibri"/>
      <w:color w:val="9A6700"/>
      <w:sz w:val="20"/>
    </w:rPr>
  </w:style>
  <w:style w:type="paragraph" w:customStyle="1" w:styleId="CoverTitle">
    <w:name w:val="Cover Title"/>
    <w:rPr>
      <w:rFonts w:ascii="Calibri" w:hAnsi="Calibri"/>
      <w:color w:val="171717"/>
      <w:sz w:val="56"/>
    </w:rPr>
  </w:style>
  <w:style w:type="paragraph" w:customStyle="1" w:styleId="CoverSubtitle">
    <w:name w:val="Cover Subtitle"/>
    <w:rPr>
      <w:rFonts w:ascii="Calibri" w:hAnsi="Calibri"/>
      <w:color w:val="60646C"/>
      <w:sz w:val="28"/>
    </w:rPr>
  </w:style>
  <w:style w:type="paragraph" w:customStyle="1" w:styleId="SmallMeta">
    <w:name w:val="Small Meta"/>
    <w:rPr>
      <w:rFonts w:ascii="Calibri" w:hAnsi="Calibri"/>
      <w:color w:val="777B84"/>
      <w:sz w:val="19"/>
    </w:rPr>
  </w:style>
  <w:style w:type="paragraph" w:customStyle="1" w:styleId="Callout">
    <w:name w:val="Callout"/>
    <w:rPr>
      <w:rFonts w:ascii="Calibri" w:hAnsi="Calibri"/>
      <w:color w:val="252525"/>
      <w:sz w:val="21"/>
    </w:rPr>
  </w:style>
  <w:style w:type="paragraph" w:customStyle="1" w:styleId="TableText">
    <w:name w:val="Table Text"/>
    <w:rPr>
      <w:rFonts w:ascii="Calibri" w:hAnsi="Calibri"/>
      <w:color w:val="17171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Lecciones aprendidas</dc:title>
  <dc:subject>Documentación formal del proyecto GymVerse</dc:subject>
  <dc:creator>GymVerse</dc:creator>
  <cp:keywords>GymVerse, proyecto, documentación,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