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/>
        <w:jc w:val="center"/>
      </w:pPr>
      <w:r>
        <w:drawing>
          <wp:inline xmlns:a="http://schemas.openxmlformats.org/drawingml/2006/main" xmlns:pic="http://schemas.openxmlformats.org/drawingml/2006/picture">
            <wp:extent cx="841248" cy="841248"/>
            <wp:docPr id="1" name="Picture 1" descr="Logotipo de GymVer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yellow-b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84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verKicker"/>
        <w:spacing w:after="240"/>
        <w:jc w:val="center"/>
      </w:pPr>
      <w:r>
        <w:rPr>
          <w:rFonts w:ascii="Calibri" w:hAnsi="Calibri" w:eastAsia="Calibri"/>
          <w:b/>
          <w:color w:val="9A6700"/>
          <w:sz w:val="20"/>
        </w:rPr>
        <w:t>GYMVERSE  ·  DOCUMENTACIÓN DEL PROYECTO</w:t>
      </w:r>
    </w:p>
    <w:p>
      <w:pPr>
        <w:pStyle w:val="CoverTitle"/>
        <w:spacing w:after="160"/>
        <w:jc w:val="center"/>
      </w:pPr>
      <w:r>
        <w:rPr>
          <w:rFonts w:ascii="Calibri" w:hAnsi="Calibri" w:eastAsia="Calibri"/>
          <w:b/>
          <w:color w:val="171717"/>
          <w:sz w:val="56"/>
        </w:rPr>
        <w:t>Observaciones y recomendaciones</w:t>
      </w:r>
    </w:p>
    <w:p>
      <w:pPr>
        <w:pStyle w:val="CoverSubtitle"/>
        <w:spacing w:after="560"/>
        <w:jc w:val="center"/>
      </w:pPr>
      <w:r>
        <w:rPr>
          <w:rFonts w:ascii="Calibri" w:hAnsi="Calibri" w:eastAsia="Calibri"/>
          <w:color w:val="60646C"/>
          <w:sz w:val="28"/>
        </w:rPr>
        <w:t>Hallazgos priorizados para estabilización y evolución</w:t>
      </w:r>
    </w:p>
    <w:p>
      <w:pPr>
        <w:pStyle w:val="Callout"/>
        <w:keepLines/>
        <w:spacing w:before="120" w:after="120" w:line="264" w:lineRule="auto"/>
        <w:ind w:left="115" w:right="115"/>
        <w:shd w:fill="FFF6C7"/>
        <w:pBdr>
          <w:top w:val="single" w:sz="10" w:space="6" w:color="FFD400"/>
          <w:left w:val="single" w:sz="10" w:space="6" w:color="FFD400"/>
          <w:bottom w:val="single" w:sz="10" w:space="6" w:color="FFD400"/>
          <w:right w:val="single" w:sz="10" w:space="6" w:color="FFD400"/>
        </w:pBdr>
      </w:pPr>
      <w:r>
        <w:rPr>
          <w:rFonts w:ascii="Calibri" w:hAnsi="Calibri" w:eastAsia="Calibri"/>
          <w:b/>
          <w:color w:val="252525"/>
          <w:sz w:val="21"/>
        </w:rPr>
        <w:t xml:space="preserve">Propósito del documento: </w:t>
      </w:r>
      <w:r>
        <w:rPr>
          <w:rFonts w:ascii="Calibri" w:hAnsi="Calibri" w:eastAsia="Calibri"/>
          <w:color w:val="252525"/>
          <w:sz w:val="21"/>
        </w:rPr>
        <w:t>Concentrar las observaciones más importantes del estado actual y convertirlas en un plan accionable.</w:t>
      </w:r>
    </w:p>
    <w:p>
      <w:pPr>
        <w:pStyle w:val="SmallMeta"/>
        <w:spacing w:before="560" w:after="80"/>
        <w:jc w:val="center"/>
      </w:pPr>
      <w:r>
        <w:rPr>
          <w:rFonts w:ascii="Calibri" w:hAnsi="Calibri" w:eastAsia="Calibri"/>
          <w:b/>
          <w:color w:val="777B84"/>
          <w:sz w:val="19"/>
        </w:rPr>
        <w:t>Versión 1.0  ·  29 de julio de 2026</w:t>
      </w:r>
    </w:p>
    <w:p>
      <w:pPr>
        <w:pStyle w:val="SmallMeta"/>
        <w:jc w:val="center"/>
      </w:pPr>
      <w:r>
        <w:rPr>
          <w:rFonts w:ascii="Calibri" w:hAnsi="Calibri" w:eastAsia="Calibri"/>
          <w:i/>
          <w:color w:val="777B84"/>
          <w:sz w:val="18"/>
        </w:rPr>
        <w:t>Base de evidencia: repositorio local GymVerse y validaciones ejecutadas en la fecha del informe.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Observaciones principales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Recomendaciones P0, P1 y P2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Hoja de ruta y criterios de terminación</w:t>
      </w:r>
    </w:p>
    <w:p>
      <w:pPr>
        <w:pStyle w:val="Heading1"/>
        <w:keepNext/>
      </w:pPr>
      <w:r>
        <w:t>1. Observaciones principales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900"/>
        <w:gridCol w:w="4050"/>
        <w:gridCol w:w="441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ID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Observación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Consecuencia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O-01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No hay pruebas automatizadas.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Riesgo alto de regresión en reglas críticas.</w:t>
            </w:r>
          </w:p>
        </w:tc>
      </w:tr>
      <w:tr>
        <w:trPr>
          <w:cantSplit w:val="true"/>
        </w:trPr>
        <w:tc>
          <w:tcPr>
            <w:tcW w:type="dxa" w:w="9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O-02</w:t>
            </w:r>
          </w:p>
        </w:tc>
        <w:tc>
          <w:tcPr>
            <w:tcW w:type="dxa" w:w="40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No hay carga ni telemetría de producción.</w:t>
            </w:r>
          </w:p>
        </w:tc>
        <w:tc>
          <w:tcPr>
            <w:tcW w:type="dxa" w:w="441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No puede afirmarse capacidad ni SLA.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O-03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Un solo autor aparece en Git.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Continuidad y revisión concentradas.</w:t>
            </w:r>
          </w:p>
        </w:tc>
      </w:tr>
      <w:tr>
        <w:trPr>
          <w:cantSplit w:val="true"/>
        </w:trPr>
        <w:tc>
          <w:tcPr>
            <w:tcW w:type="dxa" w:w="9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O-04</w:t>
            </w:r>
          </w:p>
        </w:tc>
        <w:tc>
          <w:tcPr>
            <w:tcW w:type="dxa" w:w="40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admin.js y orders.js son archivos extensos.</w:t>
            </w:r>
          </w:p>
        </w:tc>
        <w:tc>
          <w:tcPr>
            <w:tcW w:type="dxa" w:w="441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Mayor acoplamiento y costo de cambio.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O-05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Todas las respuestas /api usan no-store.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El catálogo público no aprovecha caché.</w:t>
            </w:r>
          </w:p>
        </w:tc>
      </w:tr>
      <w:tr>
        <w:trPr>
          <w:cantSplit w:val="true"/>
        </w:trPr>
        <w:tc>
          <w:tcPr>
            <w:tcW w:type="dxa" w:w="9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O-06</w:t>
            </w:r>
          </w:p>
        </w:tc>
        <w:tc>
          <w:tcPr>
            <w:tcW w:type="dxa" w:w="40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Los frontends generan un solo chunk JS principal.</w:t>
            </w:r>
          </w:p>
        </w:tc>
        <w:tc>
          <w:tcPr>
            <w:tcW w:type="dxa" w:w="441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Carga inicial de módulos no usados.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O-07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Hay configuraciones para Vercel, Netlify y Render.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Riesgo de divergencia operativa.</w:t>
            </w:r>
          </w:p>
        </w:tc>
      </w:tr>
      <w:tr>
        <w:trPr>
          <w:cantSplit w:val="true"/>
        </w:trPr>
        <w:tc>
          <w:tcPr>
            <w:tcW w:type="dxa" w:w="9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O-08</w:t>
            </w:r>
          </w:p>
        </w:tc>
        <w:tc>
          <w:tcPr>
            <w:tcW w:type="dxa" w:w="40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Solo se observan tres índices explícitos en modelos.</w:t>
            </w:r>
          </w:p>
        </w:tc>
        <w:tc>
          <w:tcPr>
            <w:tcW w:type="dxa" w:w="441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Consultas crecientes pueden degradarse.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O-09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Render y CI declaran Node 20; el motor raíz exige &gt;=20.19.0.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Conviene alinear y fijar versiones.</w:t>
            </w:r>
          </w:p>
        </w:tc>
      </w:tr>
      <w:tr>
        <w:trPr>
          <w:cantSplit w:val="true"/>
        </w:trPr>
        <w:tc>
          <w:tcPr>
            <w:tcW w:type="dxa" w:w="9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O-10</w:t>
            </w:r>
          </w:p>
        </w:tc>
        <w:tc>
          <w:tcPr>
            <w:tcW w:type="dxa" w:w="40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README incluye cuentas de demostración.</w:t>
            </w:r>
          </w:p>
        </w:tc>
        <w:tc>
          <w:tcPr>
            <w:tcW w:type="dxa" w:w="441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Deben quedar restringidas a desarrollo y rotarse.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Recomendaciones P0 — antes de producción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3600"/>
        <w:gridCol w:w="5760"/>
      </w:tblGrid>
      <w:tr>
        <w:trPr>
          <w:tblHeader w:val="true"/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Acción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Criterio de terminación</w:t>
            </w:r>
          </w:p>
        </w:tc>
      </w:tr>
      <w:tr>
        <w:trPr>
          <w:cantSplit w:val="true"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Automatizar flujos críticos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Casos de pedido, stock, cupón, webhook, pickup, cancelación, devolución, recompensa y permisos en CI.</w:t>
            </w:r>
          </w:p>
        </w:tc>
      </w:tr>
      <w:tr>
        <w:trPr>
          <w:cantSplit w:val="true"/>
        </w:trPr>
        <w:tc>
          <w:tcPr>
            <w:tcW w:type="dxa" w:w="3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Validar integraciones en staging</w:t>
            </w:r>
          </w:p>
        </w:tc>
        <w:tc>
          <w:tcPr>
            <w:tcW w:type="dxa" w:w="57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Mercado Pago, Google, Resend y Cloudinary aprobados con URLs públicas controladas.</w:t>
            </w:r>
          </w:p>
        </w:tc>
      </w:tr>
      <w:tr>
        <w:trPr>
          <w:cantSplit w:val="true"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Asegurar secretos y cuentas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Secretos rotados, gestor seguro, cuentas demo ausentes o deshabilitadas en producción.</w:t>
            </w:r>
          </w:p>
        </w:tc>
      </w:tr>
      <w:tr>
        <w:trPr>
          <w:cantSplit w:val="true"/>
        </w:trPr>
        <w:tc>
          <w:tcPr>
            <w:tcW w:type="dxa" w:w="3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Backups y recuperación</w:t>
            </w:r>
          </w:p>
        </w:tc>
        <w:tc>
          <w:tcPr>
            <w:tcW w:type="dxa" w:w="57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Restauración probada, RPO/RTO definidos y responsable asignado.</w:t>
            </w:r>
          </w:p>
        </w:tc>
      </w:tr>
      <w:tr>
        <w:trPr>
          <w:cantSplit w:val="true"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Observabilidad mínima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Logs centralizados, métricas de error/latencia, uptime y alertas.</w:t>
            </w:r>
          </w:p>
        </w:tc>
      </w:tr>
      <w:tr>
        <w:trPr>
          <w:cantSplit w:val="true"/>
        </w:trPr>
        <w:tc>
          <w:tcPr>
            <w:tcW w:type="dxa" w:w="3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Aceptación formal</w:t>
            </w:r>
          </w:p>
        </w:tc>
        <w:tc>
          <w:tcPr>
            <w:tcW w:type="dxa" w:w="57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Casos UAT firmados y cero defectos críticos abiertos.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Recomendaciones P1 — estabilización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Dividir admin.js por dominios: usuarios, inventario, gimnasios, promociones, contenido, reportes y soporte.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Separar la lógica de orders.js en servicios de pricing, stock, pago, transición, pickup y devoluciones.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Auditar consultas reales de MongoDB con explain y crear índices compuestos según filtros y ordenamientos.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Implementar idempotencia explícita y pruebas de concurrencia para webhook, cancelación, puntos y canje.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Definir caché controlada para categorías, productos públicos, promociones y contenido; mantener no-store en datos privados.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Usar lazy loading por vistas, sobre todo en el panel administrativo.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Alinear Node en engines, CI y despliegue con una versión mínima concreta.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Elegir una plataforma oficial por servicio y retirar o marcar configuraciones alternativas.</w:t>
      </w:r>
    </w:p>
    <w:p>
      <w:pPr>
        <w:pStyle w:val="Heading1"/>
        <w:keepNext/>
      </w:pPr>
      <w:r>
        <w:t>4. Recomendaciones P2 — evolución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Adoptar contratos OpenAPI y validación de request/response.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Agregar accesibilidad automatizada y pruebas en dispositivos reales.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Incorporar analítica de producto con consentimiento y minimización de datos.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Definir retención y eliminación de auditoría, tickets, notificaciones y datos personales.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Automatizar migraciones o scripts de cambio de datos con rollback.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Crear paneles de negocio: conversión, pickup, recompra, cupones, puntos, soporte y stock.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Realizar revisión de amenazas y prueba de penetración antes de una apertura amplia.</w:t>
      </w:r>
    </w:p>
    <w:p>
      <w:pPr>
        <w:pStyle w:val="Heading1"/>
        <w:keepNext/>
      </w:pPr>
      <w:r>
        <w:t>5. Hoja de ruta sugerida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1900"/>
        <w:gridCol w:w="2850"/>
        <w:gridCol w:w="461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Horizonte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Objetivo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Entregables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0–2 semanas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Cerrar riesgos críticos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Pruebas base, secretos, staging, backup y aceptación.</w:t>
            </w:r>
          </w:p>
        </w:tc>
      </w:tr>
      <w:tr>
        <w:trPr>
          <w:cantSplit w:val="true"/>
        </w:trPr>
        <w:tc>
          <w:tcPr>
            <w:tcW w:type="dxa" w:w="19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3–6 semanas</w:t>
            </w:r>
          </w:p>
        </w:tc>
        <w:tc>
          <w:tcPr>
            <w:tcW w:type="dxa" w:w="28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Estabilizar arquitectura</w:t>
            </w:r>
          </w:p>
        </w:tc>
        <w:tc>
          <w:tcPr>
            <w:tcW w:type="dxa" w:w="461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Servicios por dominio, índices, caché, lazy loading y APM.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7–12 semanas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Operar con métricas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Carga, SLO, analítica, runbooks y transferencia.</w:t>
            </w:r>
          </w:p>
        </w:tc>
      </w:tr>
      <w:tr>
        <w:trPr>
          <w:cantSplit w:val="true"/>
        </w:trPr>
        <w:tc>
          <w:tcPr>
            <w:tcW w:type="dxa" w:w="19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Posterior</w:t>
            </w:r>
          </w:p>
        </w:tc>
        <w:tc>
          <w:tcPr>
            <w:tcW w:type="dxa" w:w="28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Escalar producto</w:t>
            </w:r>
          </w:p>
        </w:tc>
        <w:tc>
          <w:tcPr>
            <w:tcW w:type="dxa" w:w="461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Experimentos de negocio y optimización basada en uso real.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Criterios de decisión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No liberar una función crítica sin prueba repetible y responsable operativo.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No optimizar por intuición cuando pueda medirse en staging o producción.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No incrementar permisos, datos o integraciones sin revisar seguridad y privacidad.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No declarar una meta cumplida sin evidencia: build, prueba, métrica, acta o monitoreo.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Priorizar integridad de pedidos y stock sobre mejoras visuales no críticas.</w:t>
      </w:r>
    </w:p>
    <w:p>
      <w:pPr>
        <w:pStyle w:val="Heading1"/>
        <w:keepNext/>
      </w:pPr>
      <w:r>
        <w:t>7. Conclusión</w:t>
      </w:r>
    </w:p>
    <w:p>
      <w:r>
        <w:rPr>
          <w:rFonts w:ascii="Calibri" w:hAnsi="Calibri" w:eastAsia="Calibri"/>
          <w:i w:val="0"/>
          <w:color w:val="171717"/>
        </w:rPr>
        <w:t>GymVerse tiene una base funcional considerable y una entrega técnica coherente para un MVP. El siguiente salto de madurez no consiste en agregar más módulos, sino en hacer verificable, observable, mantenible y compartida la operación existente.</w:t>
      </w:r>
    </w:p>
    <w:p>
      <w:pPr>
        <w:pStyle w:val="Heading1"/>
        <w:keepNext/>
      </w:pPr>
      <w:r>
        <w:t>Base de evidencia y alcance</w:t>
      </w:r>
    </w:p>
    <w:p>
      <w:r>
        <w:rPr>
          <w:rFonts w:ascii="Calibri" w:hAnsi="Calibri" w:eastAsia="Calibri"/>
          <w:i w:val="0"/>
          <w:color w:val="171717"/>
        </w:rPr>
        <w:t>El contenido se elaboró a partir del estado local del repositorio GymVerse, su README, archivos de despliegue, código fuente, modelos, rutas, documentación existente, historial Git y las validaciones ejecutadas el 29 de julio de 2026. No se utilizaron métricas de producción ni se asumieron aprobaciones no registradas.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777B84"/>
        <w:sz w:val="18"/>
      </w:rPr>
      <w:t xml:space="preserve">Documento de proyecto  ·  </w:t>
    </w:r>
    <w:r>
      <w:rPr>
        <w:rFonts w:ascii="Calibri" w:hAnsi="Calibri" w:eastAsia="Calibri"/>
        <w:color w:val="777B8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777B84"/>
        <w:sz w:val="17"/>
      </w:rPr>
      <w:t>GYMVERSE  ·  OBSERVACIONES Y RECOMENDACIONES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000009"/>
    <w:multiLevelType w:val="singleLevel"/>
    <w:tmpl w:val="B0000009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0">
    <w:nsid w:val="A000000A"/>
    <w:multiLevelType w:val="singleLevel"/>
    <w:tmpl w:val="B000000A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1">
    <w:nsid w:val="A000000B"/>
    <w:multiLevelType w:val="singleLevel"/>
    <w:tmpl w:val="B000000B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2">
    <w:nsid w:val="A000000C"/>
    <w:multiLevelType w:val="singleLevel"/>
    <w:tmpl w:val="B000000C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525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525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5252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rPr>
      <w:rFonts w:ascii="Calibri" w:hAnsi="Calibri"/>
      <w:color w:val="9A6700"/>
      <w:sz w:val="20"/>
    </w:rPr>
  </w:style>
  <w:style w:type="paragraph" w:customStyle="1" w:styleId="CoverTitle">
    <w:name w:val="Cover Title"/>
    <w:rPr>
      <w:rFonts w:ascii="Calibri" w:hAnsi="Calibri"/>
      <w:color w:val="171717"/>
      <w:sz w:val="56"/>
    </w:rPr>
  </w:style>
  <w:style w:type="paragraph" w:customStyle="1" w:styleId="CoverSubtitle">
    <w:name w:val="Cover Subtitle"/>
    <w:rPr>
      <w:rFonts w:ascii="Calibri" w:hAnsi="Calibri"/>
      <w:color w:val="60646C"/>
      <w:sz w:val="28"/>
    </w:rPr>
  </w:style>
  <w:style w:type="paragraph" w:customStyle="1" w:styleId="SmallMeta">
    <w:name w:val="Small Meta"/>
    <w:rPr>
      <w:rFonts w:ascii="Calibri" w:hAnsi="Calibri"/>
      <w:color w:val="777B84"/>
      <w:sz w:val="19"/>
    </w:rPr>
  </w:style>
  <w:style w:type="paragraph" w:customStyle="1" w:styleId="Callout">
    <w:name w:val="Callout"/>
    <w:rPr>
      <w:rFonts w:ascii="Calibri" w:hAnsi="Calibri"/>
      <w:color w:val="252525"/>
      <w:sz w:val="21"/>
    </w:rPr>
  </w:style>
  <w:style w:type="paragraph" w:customStyle="1" w:styleId="TableText">
    <w:name w:val="Table Text"/>
    <w:rPr>
      <w:rFonts w:ascii="Calibri" w:hAnsi="Calibri"/>
      <w:color w:val="17171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Observaciones y recomendaciones</dc:title>
  <dc:subject>Documentación formal del proyecto GymVerse</dc:subject>
  <dc:creator>GymVerse</dc:creator>
  <cp:keywords>GymVerse, proyecto, documentación, software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