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E80E25" w14:textId="77777777" w:rsidR="002B2A30" w:rsidRPr="002B2A30" w:rsidRDefault="002B2A30" w:rsidP="002B2A30">
      <w:pPr>
        <w:pStyle w:val="Ttulo3"/>
        <w:rPr>
          <w:b/>
          <w:bCs/>
          <w:color w:val="000000" w:themeColor="text1"/>
          <w:sz w:val="24"/>
          <w:szCs w:val="24"/>
        </w:rPr>
      </w:pPr>
      <w:r w:rsidRPr="002B2A30">
        <w:rPr>
          <w:b/>
          <w:bCs/>
          <w:color w:val="000000" w:themeColor="text1"/>
          <w:sz w:val="24"/>
          <w:szCs w:val="24"/>
        </w:rPr>
        <w:t>1. Importación de Módulos</w:t>
      </w:r>
    </w:p>
    <w:p w14:paraId="01737404" w14:textId="77777777" w:rsidR="002B2A30" w:rsidRPr="002B2A30" w:rsidRDefault="002B2A30" w:rsidP="002B2A30">
      <w:pPr>
        <w:pStyle w:val="NormalWeb"/>
        <w:rPr>
          <w:rFonts w:ascii="Arial" w:hAnsi="Arial" w:cs="Arial"/>
          <w:sz w:val="22"/>
          <w:szCs w:val="22"/>
        </w:rPr>
      </w:pPr>
      <w:r w:rsidRPr="002B2A30">
        <w:rPr>
          <w:rFonts w:ascii="Arial" w:hAnsi="Arial" w:cs="Arial"/>
          <w:sz w:val="22"/>
          <w:szCs w:val="22"/>
        </w:rPr>
        <w:t xml:space="preserve">Para interactuar con </w:t>
      </w:r>
      <w:proofErr w:type="spellStart"/>
      <w:r w:rsidRPr="002B2A30">
        <w:rPr>
          <w:rFonts w:ascii="Arial" w:hAnsi="Arial" w:cs="Arial"/>
          <w:sz w:val="22"/>
          <w:szCs w:val="22"/>
        </w:rPr>
        <w:t>BigQuery</w:t>
      </w:r>
      <w:proofErr w:type="spellEnd"/>
      <w:r w:rsidRPr="002B2A30">
        <w:rPr>
          <w:rFonts w:ascii="Arial" w:hAnsi="Arial" w:cs="Arial"/>
          <w:sz w:val="22"/>
          <w:szCs w:val="22"/>
        </w:rPr>
        <w:t xml:space="preserve"> y manejar fechas y variables de entorno, es necesario importar las siguientes bibliotecas:</w:t>
      </w:r>
    </w:p>
    <w:p w14:paraId="4536775F" w14:textId="77777777" w:rsidR="002B2A30" w:rsidRPr="002B2A30" w:rsidRDefault="002B2A30" w:rsidP="002B2A30">
      <w:pPr>
        <w:numPr>
          <w:ilvl w:val="0"/>
          <w:numId w:val="15"/>
        </w:numPr>
        <w:spacing w:before="100" w:beforeAutospacing="1" w:after="100" w:afterAutospacing="1" w:line="240" w:lineRule="auto"/>
      </w:pPr>
      <w:proofErr w:type="spellStart"/>
      <w:r w:rsidRPr="002B2A30">
        <w:rPr>
          <w:rStyle w:val="Textoennegrita"/>
        </w:rPr>
        <w:t>bigquery</w:t>
      </w:r>
      <w:proofErr w:type="spellEnd"/>
      <w:r w:rsidRPr="002B2A30">
        <w:t xml:space="preserve"> del paquete </w:t>
      </w:r>
      <w:proofErr w:type="spellStart"/>
      <w:proofErr w:type="gramStart"/>
      <w:r w:rsidRPr="002B2A30">
        <w:rPr>
          <w:rStyle w:val="CdigoHTML"/>
          <w:rFonts w:ascii="Arial" w:eastAsia="Arial" w:hAnsi="Arial" w:cs="Arial"/>
          <w:sz w:val="22"/>
          <w:szCs w:val="22"/>
        </w:rPr>
        <w:t>google.cloud</w:t>
      </w:r>
      <w:proofErr w:type="spellEnd"/>
      <w:proofErr w:type="gramEnd"/>
      <w:r w:rsidRPr="002B2A30">
        <w:t xml:space="preserve">: Permite realizar operaciones en </w:t>
      </w:r>
      <w:proofErr w:type="spellStart"/>
      <w:r w:rsidRPr="002B2A30">
        <w:t>BigQuery</w:t>
      </w:r>
      <w:proofErr w:type="spellEnd"/>
      <w:r w:rsidRPr="002B2A30">
        <w:t>.</w:t>
      </w:r>
    </w:p>
    <w:p w14:paraId="558E6103" w14:textId="77777777" w:rsidR="002B2A30" w:rsidRPr="002B2A30" w:rsidRDefault="002B2A30" w:rsidP="002B2A30">
      <w:pPr>
        <w:numPr>
          <w:ilvl w:val="0"/>
          <w:numId w:val="15"/>
        </w:numPr>
        <w:spacing w:before="100" w:beforeAutospacing="1" w:after="100" w:afterAutospacing="1" w:line="240" w:lineRule="auto"/>
      </w:pPr>
      <w:proofErr w:type="spellStart"/>
      <w:r w:rsidRPr="002B2A30">
        <w:rPr>
          <w:rStyle w:val="Textoennegrita"/>
        </w:rPr>
        <w:t>datetime</w:t>
      </w:r>
      <w:proofErr w:type="spellEnd"/>
      <w:r w:rsidRPr="002B2A30">
        <w:t>: Proporciona clases para manipular fechas y horas.</w:t>
      </w:r>
    </w:p>
    <w:p w14:paraId="522C8BCD" w14:textId="77777777" w:rsidR="002B2A30" w:rsidRPr="002B2A30" w:rsidRDefault="002B2A30" w:rsidP="002B2A30">
      <w:pPr>
        <w:numPr>
          <w:ilvl w:val="0"/>
          <w:numId w:val="15"/>
        </w:numPr>
        <w:spacing w:before="100" w:beforeAutospacing="1" w:after="100" w:afterAutospacing="1" w:line="240" w:lineRule="auto"/>
      </w:pPr>
      <w:r w:rsidRPr="002B2A30">
        <w:rPr>
          <w:rStyle w:val="Textoennegrita"/>
        </w:rPr>
        <w:t>os</w:t>
      </w:r>
      <w:r w:rsidRPr="002B2A30">
        <w:t>: Permite interactuar con el sistema operativo, especialmente para manejar variables de entorno.</w:t>
      </w:r>
    </w:p>
    <w:p w14:paraId="11FC1DE7" w14:textId="77777777" w:rsidR="002B2A30" w:rsidRPr="002B2A30" w:rsidRDefault="002B2A30" w:rsidP="002B2A30">
      <w:pPr>
        <w:pStyle w:val="Ttulo3"/>
        <w:rPr>
          <w:b/>
          <w:bCs/>
          <w:color w:val="000000" w:themeColor="text1"/>
          <w:sz w:val="24"/>
          <w:szCs w:val="24"/>
        </w:rPr>
      </w:pPr>
      <w:r w:rsidRPr="002B2A30">
        <w:rPr>
          <w:b/>
          <w:bCs/>
          <w:color w:val="000000" w:themeColor="text1"/>
          <w:sz w:val="24"/>
          <w:szCs w:val="24"/>
        </w:rPr>
        <w:t>2. Autenticación</w:t>
      </w:r>
    </w:p>
    <w:p w14:paraId="1013E603" w14:textId="77777777" w:rsidR="002B2A30" w:rsidRPr="002B2A30" w:rsidRDefault="002B2A30" w:rsidP="002B2A30">
      <w:pPr>
        <w:pStyle w:val="NormalWeb"/>
        <w:rPr>
          <w:rFonts w:ascii="Arial" w:hAnsi="Arial" w:cs="Arial"/>
          <w:sz w:val="22"/>
          <w:szCs w:val="22"/>
        </w:rPr>
      </w:pPr>
      <w:r w:rsidRPr="002B2A30">
        <w:rPr>
          <w:rFonts w:ascii="Arial" w:hAnsi="Arial" w:cs="Arial"/>
          <w:sz w:val="22"/>
          <w:szCs w:val="22"/>
        </w:rPr>
        <w:t xml:space="preserve">Para autenticar la aplicación con Google Cloud, se debe establecer la variable de entorno </w:t>
      </w:r>
      <w:r w:rsidRPr="002B2A30">
        <w:rPr>
          <w:rStyle w:val="CdigoHTML"/>
          <w:rFonts w:ascii="Arial" w:hAnsi="Arial" w:cs="Arial"/>
          <w:sz w:val="22"/>
          <w:szCs w:val="22"/>
        </w:rPr>
        <w:t>GOOGLE_APPLICATION_CREDENTIALS</w:t>
      </w:r>
      <w:r w:rsidRPr="002B2A30">
        <w:rPr>
          <w:rFonts w:ascii="Arial" w:hAnsi="Arial" w:cs="Arial"/>
          <w:sz w:val="22"/>
          <w:szCs w:val="22"/>
        </w:rPr>
        <w:t xml:space="preserve"> con la ruta al archivo de credenciales de la cuenta de servicio. Este archivo contiene las credenciales necesarias para realizar operaciones en Google Cloud.</w:t>
      </w:r>
    </w:p>
    <w:p w14:paraId="666BB251" w14:textId="77777777" w:rsidR="002B2A30" w:rsidRPr="002B2A30" w:rsidRDefault="002B2A30" w:rsidP="002B2A30">
      <w:pPr>
        <w:pStyle w:val="Ttulo3"/>
        <w:rPr>
          <w:b/>
          <w:bCs/>
          <w:color w:val="000000" w:themeColor="text1"/>
          <w:sz w:val="24"/>
          <w:szCs w:val="24"/>
        </w:rPr>
      </w:pPr>
      <w:r w:rsidRPr="002B2A30">
        <w:rPr>
          <w:b/>
          <w:bCs/>
          <w:color w:val="000000" w:themeColor="text1"/>
          <w:sz w:val="24"/>
          <w:szCs w:val="24"/>
        </w:rPr>
        <w:t>3. Configuración de Variables</w:t>
      </w:r>
    </w:p>
    <w:p w14:paraId="4CA4B43A" w14:textId="77777777" w:rsidR="002B2A30" w:rsidRPr="002B2A30" w:rsidRDefault="002B2A30" w:rsidP="002B2A30">
      <w:pPr>
        <w:pStyle w:val="NormalWeb"/>
        <w:rPr>
          <w:rFonts w:ascii="Arial" w:hAnsi="Arial" w:cs="Arial"/>
          <w:sz w:val="22"/>
          <w:szCs w:val="22"/>
        </w:rPr>
      </w:pPr>
      <w:r w:rsidRPr="002B2A30">
        <w:rPr>
          <w:rFonts w:ascii="Arial" w:hAnsi="Arial" w:cs="Arial"/>
          <w:sz w:val="22"/>
          <w:szCs w:val="22"/>
        </w:rPr>
        <w:t>Se definen varias variables esenciales para el funcionamiento del script:</w:t>
      </w:r>
    </w:p>
    <w:p w14:paraId="65A2F700" w14:textId="77777777" w:rsidR="002B2A30" w:rsidRPr="002B2A30" w:rsidRDefault="002B2A30" w:rsidP="002B2A30">
      <w:pPr>
        <w:numPr>
          <w:ilvl w:val="0"/>
          <w:numId w:val="16"/>
        </w:numPr>
        <w:spacing w:before="100" w:beforeAutospacing="1" w:after="100" w:afterAutospacing="1" w:line="240" w:lineRule="auto"/>
      </w:pPr>
      <w:proofErr w:type="spellStart"/>
      <w:r w:rsidRPr="002B2A30">
        <w:rPr>
          <w:rStyle w:val="Textoennegrita"/>
        </w:rPr>
        <w:t>project_id</w:t>
      </w:r>
      <w:proofErr w:type="spellEnd"/>
      <w:r w:rsidRPr="002B2A30">
        <w:t>: ID del proyecto en Google Cloud.</w:t>
      </w:r>
    </w:p>
    <w:p w14:paraId="37EAA45A" w14:textId="77777777" w:rsidR="002B2A30" w:rsidRPr="002B2A30" w:rsidRDefault="002B2A30" w:rsidP="002B2A30">
      <w:pPr>
        <w:numPr>
          <w:ilvl w:val="0"/>
          <w:numId w:val="16"/>
        </w:numPr>
        <w:spacing w:before="100" w:beforeAutospacing="1" w:after="100" w:afterAutospacing="1" w:line="240" w:lineRule="auto"/>
      </w:pPr>
      <w:proofErr w:type="spellStart"/>
      <w:r w:rsidRPr="002B2A30">
        <w:rPr>
          <w:rStyle w:val="Textoennegrita"/>
        </w:rPr>
        <w:t>dataset_id</w:t>
      </w:r>
      <w:proofErr w:type="spellEnd"/>
      <w:r w:rsidRPr="002B2A30">
        <w:t xml:space="preserve">: ID del </w:t>
      </w:r>
      <w:proofErr w:type="spellStart"/>
      <w:r w:rsidRPr="002B2A30">
        <w:t>dataset</w:t>
      </w:r>
      <w:proofErr w:type="spellEnd"/>
      <w:r w:rsidRPr="002B2A30">
        <w:t xml:space="preserve"> en </w:t>
      </w:r>
      <w:proofErr w:type="spellStart"/>
      <w:r w:rsidRPr="002B2A30">
        <w:t>BigQuery</w:t>
      </w:r>
      <w:proofErr w:type="spellEnd"/>
      <w:r w:rsidRPr="002B2A30">
        <w:t xml:space="preserve"> que contiene las tablas a copiar y encriptar.</w:t>
      </w:r>
    </w:p>
    <w:p w14:paraId="3FAFD302" w14:textId="77777777" w:rsidR="002B2A30" w:rsidRPr="002B2A30" w:rsidRDefault="002B2A30" w:rsidP="002B2A30">
      <w:pPr>
        <w:numPr>
          <w:ilvl w:val="0"/>
          <w:numId w:val="16"/>
        </w:numPr>
        <w:spacing w:before="100" w:beforeAutospacing="1" w:after="100" w:afterAutospacing="1" w:line="240" w:lineRule="auto"/>
      </w:pPr>
      <w:proofErr w:type="spellStart"/>
      <w:r w:rsidRPr="002B2A30">
        <w:rPr>
          <w:rStyle w:val="Textoennegrita"/>
        </w:rPr>
        <w:t>location</w:t>
      </w:r>
      <w:proofErr w:type="spellEnd"/>
      <w:r w:rsidRPr="002B2A30">
        <w:t xml:space="preserve">: Ubicación geográfica del </w:t>
      </w:r>
      <w:proofErr w:type="spellStart"/>
      <w:r w:rsidRPr="002B2A30">
        <w:t>dataset</w:t>
      </w:r>
      <w:proofErr w:type="spellEnd"/>
      <w:r w:rsidRPr="002B2A30">
        <w:t>.</w:t>
      </w:r>
    </w:p>
    <w:p w14:paraId="573EC40C" w14:textId="77777777" w:rsidR="002B2A30" w:rsidRPr="002B2A30" w:rsidRDefault="002B2A30" w:rsidP="002B2A30">
      <w:pPr>
        <w:numPr>
          <w:ilvl w:val="0"/>
          <w:numId w:val="16"/>
        </w:numPr>
        <w:spacing w:before="100" w:beforeAutospacing="1" w:after="100" w:afterAutospacing="1" w:line="240" w:lineRule="auto"/>
      </w:pPr>
      <w:proofErr w:type="spellStart"/>
      <w:r w:rsidRPr="002B2A30">
        <w:rPr>
          <w:rStyle w:val="Textoennegrita"/>
        </w:rPr>
        <w:t>kms_key_name</w:t>
      </w:r>
      <w:proofErr w:type="spellEnd"/>
      <w:r w:rsidRPr="002B2A30">
        <w:t xml:space="preserve">: Nombre completo de la clave de KMS (Key Management </w:t>
      </w:r>
      <w:proofErr w:type="spellStart"/>
      <w:r w:rsidRPr="002B2A30">
        <w:t>Service</w:t>
      </w:r>
      <w:proofErr w:type="spellEnd"/>
      <w:r w:rsidRPr="002B2A30">
        <w:t>) utilizada para encriptar las tablas.</w:t>
      </w:r>
    </w:p>
    <w:p w14:paraId="1DF3F5C6" w14:textId="77777777" w:rsidR="002B2A30" w:rsidRPr="002B2A30" w:rsidRDefault="002B2A30" w:rsidP="002B2A30">
      <w:pPr>
        <w:numPr>
          <w:ilvl w:val="0"/>
          <w:numId w:val="16"/>
        </w:numPr>
        <w:spacing w:before="100" w:beforeAutospacing="1" w:after="100" w:afterAutospacing="1" w:line="240" w:lineRule="auto"/>
      </w:pPr>
      <w:proofErr w:type="spellStart"/>
      <w:r w:rsidRPr="002B2A30">
        <w:rPr>
          <w:rStyle w:val="Textoennegrita"/>
        </w:rPr>
        <w:t>logging_table_id</w:t>
      </w:r>
      <w:proofErr w:type="spellEnd"/>
      <w:r w:rsidRPr="002B2A30">
        <w:t xml:space="preserve">: ID completo de la tabla de </w:t>
      </w:r>
      <w:proofErr w:type="spellStart"/>
      <w:r w:rsidRPr="002B2A30">
        <w:t>logging</w:t>
      </w:r>
      <w:proofErr w:type="spellEnd"/>
      <w:r w:rsidRPr="002B2A30">
        <w:t xml:space="preserve"> donde se registrarán los errores.</w:t>
      </w:r>
    </w:p>
    <w:p w14:paraId="3328789C" w14:textId="77777777" w:rsidR="002B2A30" w:rsidRPr="002B2A30" w:rsidRDefault="002B2A30" w:rsidP="002B2A30">
      <w:pPr>
        <w:pStyle w:val="Ttulo3"/>
        <w:rPr>
          <w:b/>
          <w:bCs/>
          <w:color w:val="000000" w:themeColor="text1"/>
          <w:sz w:val="24"/>
          <w:szCs w:val="24"/>
        </w:rPr>
      </w:pPr>
      <w:r w:rsidRPr="002B2A30">
        <w:rPr>
          <w:b/>
          <w:bCs/>
          <w:color w:val="000000" w:themeColor="text1"/>
          <w:sz w:val="24"/>
          <w:szCs w:val="24"/>
        </w:rPr>
        <w:t>4. Listado de Tablas</w:t>
      </w:r>
    </w:p>
    <w:p w14:paraId="32A7BDAF" w14:textId="77777777" w:rsidR="002B2A30" w:rsidRPr="002B2A30" w:rsidRDefault="002B2A30" w:rsidP="002B2A30">
      <w:pPr>
        <w:pStyle w:val="NormalWeb"/>
        <w:rPr>
          <w:rFonts w:ascii="Arial" w:hAnsi="Arial" w:cs="Arial"/>
          <w:sz w:val="22"/>
          <w:szCs w:val="22"/>
        </w:rPr>
      </w:pPr>
      <w:r w:rsidRPr="002B2A30">
        <w:rPr>
          <w:rFonts w:ascii="Arial" w:hAnsi="Arial" w:cs="Arial"/>
          <w:sz w:val="22"/>
          <w:szCs w:val="22"/>
        </w:rPr>
        <w:t xml:space="preserve">El script obtiene una referencia al </w:t>
      </w:r>
      <w:proofErr w:type="spellStart"/>
      <w:r w:rsidRPr="002B2A30">
        <w:rPr>
          <w:rFonts w:ascii="Arial" w:hAnsi="Arial" w:cs="Arial"/>
          <w:sz w:val="22"/>
          <w:szCs w:val="22"/>
        </w:rPr>
        <w:t>dataset</w:t>
      </w:r>
      <w:proofErr w:type="spellEnd"/>
      <w:r w:rsidRPr="002B2A30">
        <w:rPr>
          <w:rFonts w:ascii="Arial" w:hAnsi="Arial" w:cs="Arial"/>
          <w:sz w:val="22"/>
          <w:szCs w:val="22"/>
        </w:rPr>
        <w:t xml:space="preserve"> especificado y luego lista todas las tablas dentro de dicho </w:t>
      </w:r>
      <w:proofErr w:type="spellStart"/>
      <w:r w:rsidRPr="002B2A30">
        <w:rPr>
          <w:rFonts w:ascii="Arial" w:hAnsi="Arial" w:cs="Arial"/>
          <w:sz w:val="22"/>
          <w:szCs w:val="22"/>
        </w:rPr>
        <w:t>dataset</w:t>
      </w:r>
      <w:proofErr w:type="spellEnd"/>
      <w:r w:rsidRPr="002B2A30">
        <w:rPr>
          <w:rFonts w:ascii="Arial" w:hAnsi="Arial" w:cs="Arial"/>
          <w:sz w:val="22"/>
          <w:szCs w:val="22"/>
        </w:rPr>
        <w:t>. Este paso es crucial para identificar todas las tablas que necesitan ser copiadas y encriptadas.</w:t>
      </w:r>
    </w:p>
    <w:p w14:paraId="6824A136" w14:textId="77777777" w:rsidR="002B2A30" w:rsidRPr="002B2A30" w:rsidRDefault="002B2A30" w:rsidP="002B2A30">
      <w:pPr>
        <w:pStyle w:val="Ttulo3"/>
        <w:rPr>
          <w:b/>
          <w:bCs/>
          <w:color w:val="000000" w:themeColor="text1"/>
          <w:sz w:val="24"/>
          <w:szCs w:val="24"/>
        </w:rPr>
      </w:pPr>
      <w:r w:rsidRPr="002B2A30">
        <w:rPr>
          <w:b/>
          <w:bCs/>
          <w:color w:val="000000" w:themeColor="text1"/>
          <w:sz w:val="24"/>
          <w:szCs w:val="24"/>
        </w:rPr>
        <w:t>5. Copia y Encriptación de Tablas</w:t>
      </w:r>
    </w:p>
    <w:p w14:paraId="60498F20" w14:textId="77777777" w:rsidR="002B2A30" w:rsidRPr="002B2A30" w:rsidRDefault="002B2A30" w:rsidP="002B2A30">
      <w:pPr>
        <w:pStyle w:val="NormalWeb"/>
        <w:rPr>
          <w:rFonts w:ascii="Arial" w:hAnsi="Arial" w:cs="Arial"/>
          <w:sz w:val="22"/>
          <w:szCs w:val="22"/>
        </w:rPr>
      </w:pPr>
      <w:r w:rsidRPr="002B2A30">
        <w:rPr>
          <w:rFonts w:ascii="Arial" w:hAnsi="Arial" w:cs="Arial"/>
          <w:sz w:val="22"/>
          <w:szCs w:val="22"/>
        </w:rPr>
        <w:t xml:space="preserve">Para cada tabla listada en el </w:t>
      </w:r>
      <w:proofErr w:type="spellStart"/>
      <w:r w:rsidRPr="002B2A30">
        <w:rPr>
          <w:rFonts w:ascii="Arial" w:hAnsi="Arial" w:cs="Arial"/>
          <w:sz w:val="22"/>
          <w:szCs w:val="22"/>
        </w:rPr>
        <w:t>dataset</w:t>
      </w:r>
      <w:proofErr w:type="spellEnd"/>
      <w:r w:rsidRPr="002B2A30">
        <w:rPr>
          <w:rFonts w:ascii="Arial" w:hAnsi="Arial" w:cs="Arial"/>
          <w:sz w:val="22"/>
          <w:szCs w:val="22"/>
        </w:rPr>
        <w:t>, el script:</w:t>
      </w:r>
    </w:p>
    <w:p w14:paraId="010497CB" w14:textId="77777777" w:rsidR="002B2A30" w:rsidRPr="002B2A30" w:rsidRDefault="002B2A30" w:rsidP="002B2A30">
      <w:pPr>
        <w:numPr>
          <w:ilvl w:val="0"/>
          <w:numId w:val="17"/>
        </w:numPr>
        <w:spacing w:before="100" w:beforeAutospacing="1" w:after="100" w:afterAutospacing="1" w:line="240" w:lineRule="auto"/>
      </w:pPr>
      <w:r w:rsidRPr="002B2A30">
        <w:t>Configura un trabajo de copia para sobrescribir la tabla existente y aplicar el cifrado KMS.</w:t>
      </w:r>
    </w:p>
    <w:p w14:paraId="28400011" w14:textId="77777777" w:rsidR="002B2A30" w:rsidRPr="002B2A30" w:rsidRDefault="002B2A30" w:rsidP="002B2A30">
      <w:pPr>
        <w:numPr>
          <w:ilvl w:val="0"/>
          <w:numId w:val="17"/>
        </w:numPr>
        <w:spacing w:before="100" w:beforeAutospacing="1" w:after="100" w:afterAutospacing="1" w:line="240" w:lineRule="auto"/>
      </w:pPr>
      <w:r w:rsidRPr="002B2A30">
        <w:t>Intenta ejecutar el trabajo de copia.</w:t>
      </w:r>
    </w:p>
    <w:p w14:paraId="3A4F644B" w14:textId="77777777" w:rsidR="002B2A30" w:rsidRPr="002B2A30" w:rsidRDefault="002B2A30" w:rsidP="002B2A30">
      <w:pPr>
        <w:numPr>
          <w:ilvl w:val="0"/>
          <w:numId w:val="17"/>
        </w:numPr>
        <w:spacing w:before="100" w:beforeAutospacing="1" w:after="100" w:afterAutospacing="1" w:line="240" w:lineRule="auto"/>
      </w:pPr>
      <w:r w:rsidRPr="002B2A30">
        <w:t>Si el trabajo de copia es exitoso, imprime un mensaje de éxito indicando que la tabla fue copiada y encriptada correctamente.</w:t>
      </w:r>
    </w:p>
    <w:p w14:paraId="12C7679B" w14:textId="77777777" w:rsidR="002B2A30" w:rsidRPr="002B2A30" w:rsidRDefault="002B2A30" w:rsidP="002B2A30">
      <w:pPr>
        <w:pStyle w:val="Ttulo3"/>
        <w:rPr>
          <w:b/>
          <w:bCs/>
          <w:color w:val="000000" w:themeColor="text1"/>
          <w:sz w:val="24"/>
          <w:szCs w:val="24"/>
        </w:rPr>
      </w:pPr>
      <w:r w:rsidRPr="002B2A30">
        <w:rPr>
          <w:b/>
          <w:bCs/>
          <w:color w:val="000000" w:themeColor="text1"/>
          <w:sz w:val="24"/>
          <w:szCs w:val="24"/>
        </w:rPr>
        <w:t>6. Manejo de Errores</w:t>
      </w:r>
    </w:p>
    <w:p w14:paraId="06DE52B8" w14:textId="77777777" w:rsidR="002B2A30" w:rsidRPr="002B2A30" w:rsidRDefault="002B2A30" w:rsidP="002B2A30">
      <w:pPr>
        <w:pStyle w:val="NormalWeb"/>
        <w:rPr>
          <w:rFonts w:ascii="Arial" w:hAnsi="Arial" w:cs="Arial"/>
          <w:sz w:val="22"/>
          <w:szCs w:val="22"/>
        </w:rPr>
      </w:pPr>
      <w:r w:rsidRPr="002B2A30">
        <w:rPr>
          <w:rFonts w:ascii="Arial" w:hAnsi="Arial" w:cs="Arial"/>
          <w:sz w:val="22"/>
          <w:szCs w:val="22"/>
        </w:rPr>
        <w:t>Si ocurre un error durante el proceso de copia y encriptación de una tabla:</w:t>
      </w:r>
    </w:p>
    <w:p w14:paraId="1A18132B" w14:textId="77777777" w:rsidR="002B2A30" w:rsidRPr="002B2A30" w:rsidRDefault="002B2A30" w:rsidP="002B2A30">
      <w:pPr>
        <w:numPr>
          <w:ilvl w:val="0"/>
          <w:numId w:val="18"/>
        </w:numPr>
        <w:spacing w:before="100" w:beforeAutospacing="1" w:after="100" w:afterAutospacing="1" w:line="240" w:lineRule="auto"/>
      </w:pPr>
      <w:r w:rsidRPr="002B2A30">
        <w:lastRenderedPageBreak/>
        <w:t>El script captura el error y lo imprime.</w:t>
      </w:r>
    </w:p>
    <w:p w14:paraId="28A4268C" w14:textId="77777777" w:rsidR="002B2A30" w:rsidRPr="002B2A30" w:rsidRDefault="002B2A30" w:rsidP="002B2A30">
      <w:pPr>
        <w:numPr>
          <w:ilvl w:val="0"/>
          <w:numId w:val="18"/>
        </w:numPr>
        <w:spacing w:before="100" w:beforeAutospacing="1" w:after="100" w:afterAutospacing="1" w:line="240" w:lineRule="auto"/>
      </w:pPr>
      <w:r w:rsidRPr="002B2A30">
        <w:t xml:space="preserve">Inserta un registro de error en la tabla de </w:t>
      </w:r>
      <w:proofErr w:type="spellStart"/>
      <w:r w:rsidRPr="002B2A30">
        <w:t>logging</w:t>
      </w:r>
      <w:proofErr w:type="spellEnd"/>
      <w:r w:rsidRPr="002B2A30">
        <w:t xml:space="preserve"> especificada. Este registro contiene información detallada sobre el error, incluyendo el proyecto, </w:t>
      </w:r>
      <w:proofErr w:type="spellStart"/>
      <w:r w:rsidRPr="002B2A30">
        <w:t>dataset</w:t>
      </w:r>
      <w:proofErr w:type="spellEnd"/>
      <w:r w:rsidRPr="002B2A30">
        <w:t>, tabla, hora del error y una descripción del error.</w:t>
      </w:r>
    </w:p>
    <w:p w14:paraId="3C679F1A" w14:textId="77777777" w:rsidR="002B2A30" w:rsidRPr="002B2A30" w:rsidRDefault="002B2A30" w:rsidP="002B2A30">
      <w:pPr>
        <w:numPr>
          <w:ilvl w:val="0"/>
          <w:numId w:val="18"/>
        </w:numPr>
        <w:spacing w:before="100" w:beforeAutospacing="1" w:after="100" w:afterAutospacing="1" w:line="240" w:lineRule="auto"/>
      </w:pPr>
      <w:r w:rsidRPr="002B2A30">
        <w:t xml:space="preserve">Si hay errores al intentar insertar el registro de error en la tabla de </w:t>
      </w:r>
      <w:proofErr w:type="spellStart"/>
      <w:r w:rsidRPr="002B2A30">
        <w:t>logging</w:t>
      </w:r>
      <w:proofErr w:type="spellEnd"/>
      <w:r w:rsidRPr="002B2A30">
        <w:t>, estos errores también se imprimen.</w:t>
      </w:r>
    </w:p>
    <w:p w14:paraId="6E4F84E8" w14:textId="77777777" w:rsidR="002B2A30" w:rsidRPr="002B2A30" w:rsidRDefault="002B2A30" w:rsidP="002B2A30">
      <w:pPr>
        <w:pStyle w:val="Ttulo3"/>
        <w:rPr>
          <w:b/>
          <w:bCs/>
          <w:color w:val="000000" w:themeColor="text1"/>
          <w:sz w:val="24"/>
          <w:szCs w:val="24"/>
        </w:rPr>
      </w:pPr>
      <w:r w:rsidRPr="002B2A30">
        <w:rPr>
          <w:b/>
          <w:bCs/>
          <w:color w:val="000000" w:themeColor="text1"/>
          <w:sz w:val="24"/>
          <w:szCs w:val="24"/>
        </w:rPr>
        <w:t>7. Conclusión</w:t>
      </w:r>
    </w:p>
    <w:p w14:paraId="7BAA97A9" w14:textId="77777777" w:rsidR="002B2A30" w:rsidRPr="002B2A30" w:rsidRDefault="002B2A30" w:rsidP="002B2A30">
      <w:pPr>
        <w:pStyle w:val="NormalWeb"/>
        <w:rPr>
          <w:rFonts w:ascii="Arial" w:hAnsi="Arial" w:cs="Arial"/>
          <w:sz w:val="22"/>
          <w:szCs w:val="22"/>
        </w:rPr>
      </w:pPr>
      <w:r w:rsidRPr="002B2A30">
        <w:rPr>
          <w:rFonts w:ascii="Arial" w:hAnsi="Arial" w:cs="Arial"/>
          <w:sz w:val="22"/>
          <w:szCs w:val="22"/>
        </w:rPr>
        <w:t>Al finalizar el proceso, el script imprime un mensaje indicando que el proceso completo ha sido finalizado, ya sea exitosamente o con errores manejados apropiadamente.</w:t>
      </w:r>
    </w:p>
    <w:p w14:paraId="5A893770" w14:textId="77777777" w:rsidR="002B2A30" w:rsidRPr="002B2A30" w:rsidRDefault="002B2A30" w:rsidP="002B2A30">
      <w:pPr>
        <w:pStyle w:val="NormalWeb"/>
        <w:rPr>
          <w:rFonts w:ascii="Arial" w:hAnsi="Arial" w:cs="Arial"/>
          <w:sz w:val="22"/>
          <w:szCs w:val="22"/>
        </w:rPr>
      </w:pPr>
      <w:r w:rsidRPr="002B2A30">
        <w:rPr>
          <w:rFonts w:ascii="Arial" w:hAnsi="Arial" w:cs="Arial"/>
          <w:sz w:val="22"/>
          <w:szCs w:val="22"/>
        </w:rPr>
        <w:t>Esta estructura asegura que cada paso del proceso está claramente definido y permite manejar errores de manera efectiva, registrando cualquier problema para su posterior revisión.</w:t>
      </w:r>
    </w:p>
    <w:p w14:paraId="5562C1EA" w14:textId="63A1A586" w:rsidR="002B2A30" w:rsidRPr="002B2A30" w:rsidRDefault="002B2A30" w:rsidP="002B2A30">
      <w:pPr>
        <w:jc w:val="both"/>
      </w:pPr>
    </w:p>
    <w:sectPr w:rsidR="002B2A30" w:rsidRPr="002B2A3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D660C4C-1E3B-4996-8011-3976AE460C6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F0263168-B27B-49C3-BF5C-B3C3A3D9F5F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D19A7"/>
    <w:multiLevelType w:val="multilevel"/>
    <w:tmpl w:val="A8345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39162B"/>
    <w:multiLevelType w:val="multilevel"/>
    <w:tmpl w:val="417A75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C90F91"/>
    <w:multiLevelType w:val="multilevel"/>
    <w:tmpl w:val="D388BE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FB630E"/>
    <w:multiLevelType w:val="multilevel"/>
    <w:tmpl w:val="BAEED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792BB7"/>
    <w:multiLevelType w:val="multilevel"/>
    <w:tmpl w:val="6FAE0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4D5C53"/>
    <w:multiLevelType w:val="multilevel"/>
    <w:tmpl w:val="331E6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4D5211"/>
    <w:multiLevelType w:val="multilevel"/>
    <w:tmpl w:val="2E3E7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933C80"/>
    <w:multiLevelType w:val="multilevel"/>
    <w:tmpl w:val="67B26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61710E"/>
    <w:multiLevelType w:val="multilevel"/>
    <w:tmpl w:val="FEEC5E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FC243C8"/>
    <w:multiLevelType w:val="multilevel"/>
    <w:tmpl w:val="2B2E1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4B4A21"/>
    <w:multiLevelType w:val="multilevel"/>
    <w:tmpl w:val="1408C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A457AE"/>
    <w:multiLevelType w:val="multilevel"/>
    <w:tmpl w:val="FCC81B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C830DC0"/>
    <w:multiLevelType w:val="multilevel"/>
    <w:tmpl w:val="8438FB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0A80C33"/>
    <w:multiLevelType w:val="multilevel"/>
    <w:tmpl w:val="82B03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2D001C5"/>
    <w:multiLevelType w:val="multilevel"/>
    <w:tmpl w:val="42E84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3E57CE"/>
    <w:multiLevelType w:val="multilevel"/>
    <w:tmpl w:val="6C1842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D227155"/>
    <w:multiLevelType w:val="multilevel"/>
    <w:tmpl w:val="465A7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F10942"/>
    <w:multiLevelType w:val="multilevel"/>
    <w:tmpl w:val="B7A857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57361145">
    <w:abstractNumId w:val="15"/>
  </w:num>
  <w:num w:numId="2" w16cid:durableId="1283684087">
    <w:abstractNumId w:val="11"/>
  </w:num>
  <w:num w:numId="3" w16cid:durableId="2134011427">
    <w:abstractNumId w:val="17"/>
  </w:num>
  <w:num w:numId="4" w16cid:durableId="244533144">
    <w:abstractNumId w:val="2"/>
  </w:num>
  <w:num w:numId="5" w16cid:durableId="500512799">
    <w:abstractNumId w:val="12"/>
  </w:num>
  <w:num w:numId="6" w16cid:durableId="1898975552">
    <w:abstractNumId w:val="1"/>
  </w:num>
  <w:num w:numId="7" w16cid:durableId="1071854289">
    <w:abstractNumId w:val="8"/>
  </w:num>
  <w:num w:numId="8" w16cid:durableId="1199440764">
    <w:abstractNumId w:val="6"/>
  </w:num>
  <w:num w:numId="9" w16cid:durableId="704839760">
    <w:abstractNumId w:val="14"/>
  </w:num>
  <w:num w:numId="10" w16cid:durableId="608658696">
    <w:abstractNumId w:val="3"/>
  </w:num>
  <w:num w:numId="11" w16cid:durableId="2087990897">
    <w:abstractNumId w:val="5"/>
  </w:num>
  <w:num w:numId="12" w16cid:durableId="941885756">
    <w:abstractNumId w:val="13"/>
  </w:num>
  <w:num w:numId="13" w16cid:durableId="642467668">
    <w:abstractNumId w:val="0"/>
  </w:num>
  <w:num w:numId="14" w16cid:durableId="993878258">
    <w:abstractNumId w:val="7"/>
  </w:num>
  <w:num w:numId="15" w16cid:durableId="929851985">
    <w:abstractNumId w:val="4"/>
  </w:num>
  <w:num w:numId="16" w16cid:durableId="236593512">
    <w:abstractNumId w:val="16"/>
  </w:num>
  <w:num w:numId="17" w16cid:durableId="1460490013">
    <w:abstractNumId w:val="10"/>
  </w:num>
  <w:num w:numId="18" w16cid:durableId="2372560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10CB"/>
    <w:rsid w:val="00121222"/>
    <w:rsid w:val="002B2A30"/>
    <w:rsid w:val="00AA1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9A568"/>
  <w15:docId w15:val="{9E9BF97D-C935-4232-A438-7D5478CCC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2B2A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character" w:styleId="Textoennegrita">
    <w:name w:val="Strong"/>
    <w:basedOn w:val="Fuentedeprrafopredeter"/>
    <w:uiPriority w:val="22"/>
    <w:qFormat/>
    <w:rsid w:val="002B2A30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2B2A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552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393</Words>
  <Characters>2162</Characters>
  <Application>Microsoft Office Word</Application>
  <DocSecurity>0</DocSecurity>
  <Lines>18</Lines>
  <Paragraphs>5</Paragraphs>
  <ScaleCrop>false</ScaleCrop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Kevin Jesus Fuentes Arroyo</cp:lastModifiedBy>
  <cp:revision>2</cp:revision>
  <dcterms:created xsi:type="dcterms:W3CDTF">2024-07-09T05:39:00Z</dcterms:created>
  <dcterms:modified xsi:type="dcterms:W3CDTF">2024-07-09T05:44:00Z</dcterms:modified>
</cp:coreProperties>
</file>