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Universidad Nacional Mayor de San Marcos — Facultad de Ingeniería de Sistemas</w:t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Análisis estadístico de la validación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Procesamiento de tiempos de respuesta, integridad, trazabilidad y disponibilidad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Fase 3 — Resultados (procesamiento estadístico) · Plan de validación, semana 6</w:t>
      </w:r>
    </w:p>
    <w:p>
      <w:pPr>
        <w:spacing w:before="1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Tesis: Diseño y prototipado de una arquitectura de referencia offline-first para la gestión logística de inventarios en empresas con operaciones en zonas de conectividad limitada: el caso de Marco Peruana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Autor: Príncipe Velásquez, Iván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Fecha de generación: 2026-10-06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Datos de entrada y método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análisis procesa los CSV de la Fase 3a: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60 corridas</w:t>
      </w:r>
      <w:r>
        <w:rPr>
          <w:rFonts w:ascii="Calibri" w:cs="Calibri" w:eastAsia="Calibri" w:hAnsi="Calibri"/>
          <w:sz w:val="21"/>
          <w:szCs w:val="21"/>
        </w:rPr>
        <w:t xml:space="preserve">, 600 lotes de 100 vales y 60,000 vales transmitidos. Se emplea un nivel de significación α = 0.05. El cálculo se realizó en Python (SciPy) y se acompaña del script analisis_reproducible.R y de los datos en datos_jamovi/ para replicarlo en R-Studio o Jamovi, tal como prevé el plan.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1.1 Unidades de análisis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Lote (n = 300 por condición): </w:t>
      </w:r>
      <w:r>
        <w:rPr>
          <w:rFonts w:ascii="Calibri" w:cs="Calibri" w:eastAsia="Calibri" w:hAnsi="Calibri"/>
          <w:sz w:val="21"/>
          <w:szCs w:val="21"/>
        </w:rPr>
        <w:t xml:space="preserve">describe la distribución del tiempo de conciliación y su desviación estándar, que es lo que pide el plan.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Corrida (n = 30 por condición): </w:t>
      </w:r>
      <w:r>
        <w:rPr>
          <w:rFonts w:ascii="Calibri" w:cs="Calibri" w:eastAsia="Calibri" w:hAnsi="Calibri"/>
          <w:sz w:val="21"/>
          <w:szCs w:val="21"/>
        </w:rPr>
        <w:t xml:space="preserve">los 10 lotes de una corrida compiten por el mismo servidor y no son independientes entre sí. Por eso las pruebas de hipótesis principales usan la media por corrida como observación independiente; el análisis por lote se informa como complemento.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1.2 Procedimientos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Proporciones (Id, Tr, Do): estimación puntual con intervalo de confianza exacto de Clopper-Pearson al 95 %. Cuando el resultado observado es del 100 %, el límite inferior del intervalo expresa la tasa mínima compatible con los datos.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Tiempo por lote (Tp): descriptivos completos, IC 95 % t de Student y bootstrap BCa (10,000 remuestreos), normalidad (Shapiro-Wilk y D'Agostino K²).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Contraste con la meta (&lt; 2.5 s por lote de 100 vales): H0: μ ≥ 2,500 ms frente a H1: μ &lt; 2,500 ms, mediante t de una muestra unilateral y Wilcoxon de rangos con signo unilateral (no paramétrico, por si falla la normalidad).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Efecto de los cortes (EP04): comparación pareada por repetición (mismo dataset), con t pareada y Wilcoxon pareado; tamaño del efecto dz de Cohen. Por lote: U de Mann-Whitney y δ de Cliff.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Indicadores de proporción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1. Integridad, trazabilidad y disponibilidad local (todas las corridas)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1665"/>
        <w:gridCol w:w="1784"/>
        <w:gridCol w:w="1070"/>
        <w:gridCol w:w="2260"/>
        <w:gridCol w:w="718"/>
      </w:tblGrid>
      <w:tr>
        <w:trPr>
          <w:tblHeader/>
        </w:trPr>
        <w:tc>
          <w:tcPr>
            <w:tcW w:type="dxa" w:w="214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66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Condición</w:t>
            </w:r>
          </w:p>
        </w:tc>
        <w:tc>
          <w:tcPr>
            <w:tcW w:type="dxa" w:w="178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Aciertos / total</w:t>
            </w:r>
          </w:p>
        </w:tc>
        <w:tc>
          <w:tcPr>
            <w:tcW w:type="dxa" w:w="107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22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IC 95 % (Clopper-Pearson)</w:t>
            </w:r>
          </w:p>
        </w:tc>
        <w:tc>
          <w:tcPr>
            <w:tcW w:type="dxa" w:w="7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Integridad (Id)</w:t>
            </w:r>
          </w:p>
        </w:tc>
        <w:tc>
          <w:tcPr>
            <w:tcW w:type="dxa" w:w="16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limpia</w:t>
            </w:r>
          </w:p>
        </w:tc>
        <w:tc>
          <w:tcPr>
            <w:tcW w:type="dxa" w:w="1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30,000 / 30,000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100.00 %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[99.988 %; 100 %]</w:t>
            </w:r>
          </w:p>
        </w:tc>
        <w:tc>
          <w:tcPr>
            <w:tcW w:type="dxa" w:w="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214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Integridad (Id)</w:t>
            </w:r>
          </w:p>
        </w:tc>
        <w:tc>
          <w:tcPr>
            <w:tcW w:type="dxa" w:w="166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 cortes (EP04)</w:t>
            </w:r>
          </w:p>
        </w:tc>
        <w:tc>
          <w:tcPr>
            <w:tcW w:type="dxa" w:w="178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30,000 / 30,000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100.00 %</w:t>
            </w:r>
          </w:p>
        </w:tc>
        <w:tc>
          <w:tcPr>
            <w:tcW w:type="dxa" w:w="22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[99.988 %; 100 %]</w:t>
            </w:r>
          </w:p>
        </w:tc>
        <w:tc>
          <w:tcPr>
            <w:tcW w:type="dxa" w:w="71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Integridad (Id)</w:t>
            </w:r>
          </w:p>
        </w:tc>
        <w:tc>
          <w:tcPr>
            <w:tcW w:type="dxa" w:w="16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Global</w:t>
            </w:r>
          </w:p>
        </w:tc>
        <w:tc>
          <w:tcPr>
            <w:tcW w:type="dxa" w:w="1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60,000 / 60,000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100.00 %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[99.994 %; 100 %]</w:t>
            </w:r>
          </w:p>
        </w:tc>
        <w:tc>
          <w:tcPr>
            <w:tcW w:type="dxa" w:w="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214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Trazabilidad (Tr)</w:t>
            </w:r>
          </w:p>
        </w:tc>
        <w:tc>
          <w:tcPr>
            <w:tcW w:type="dxa" w:w="166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limpia</w:t>
            </w:r>
          </w:p>
        </w:tc>
        <w:tc>
          <w:tcPr>
            <w:tcW w:type="dxa" w:w="178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27,900 / 27,900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100.00 %</w:t>
            </w:r>
          </w:p>
        </w:tc>
        <w:tc>
          <w:tcPr>
            <w:tcW w:type="dxa" w:w="22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[99.987 %; 100 %]</w:t>
            </w:r>
          </w:p>
        </w:tc>
        <w:tc>
          <w:tcPr>
            <w:tcW w:type="dxa" w:w="71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Trazabilidad (Tr)</w:t>
            </w:r>
          </w:p>
        </w:tc>
        <w:tc>
          <w:tcPr>
            <w:tcW w:type="dxa" w:w="16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 cortes (EP04)</w:t>
            </w:r>
          </w:p>
        </w:tc>
        <w:tc>
          <w:tcPr>
            <w:tcW w:type="dxa" w:w="1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27,900 / 27,900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100.00 %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[99.987 %; 100 %]</w:t>
            </w:r>
          </w:p>
        </w:tc>
        <w:tc>
          <w:tcPr>
            <w:tcW w:type="dxa" w:w="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214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Trazabilidad (Tr)</w:t>
            </w:r>
          </w:p>
        </w:tc>
        <w:tc>
          <w:tcPr>
            <w:tcW w:type="dxa" w:w="166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Global</w:t>
            </w:r>
          </w:p>
        </w:tc>
        <w:tc>
          <w:tcPr>
            <w:tcW w:type="dxa" w:w="178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55,800 / 55,800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100.00 %</w:t>
            </w:r>
          </w:p>
        </w:tc>
        <w:tc>
          <w:tcPr>
            <w:tcW w:type="dxa" w:w="22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[99.993 %; 100 %]</w:t>
            </w:r>
          </w:p>
        </w:tc>
        <w:tc>
          <w:tcPr>
            <w:tcW w:type="dxa" w:w="71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Disponibilidad local (Do)</w:t>
            </w:r>
          </w:p>
        </w:tc>
        <w:tc>
          <w:tcPr>
            <w:tcW w:type="dxa" w:w="16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limpia</w:t>
            </w:r>
          </w:p>
        </w:tc>
        <w:tc>
          <w:tcPr>
            <w:tcW w:type="dxa" w:w="1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30,000 / 30,000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100.00 %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[99.988 %; 100 %]</w:t>
            </w:r>
          </w:p>
        </w:tc>
        <w:tc>
          <w:tcPr>
            <w:tcW w:type="dxa" w:w="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214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Disponibilidad local (Do)</w:t>
            </w:r>
          </w:p>
        </w:tc>
        <w:tc>
          <w:tcPr>
            <w:tcW w:type="dxa" w:w="166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 cortes (EP04)</w:t>
            </w:r>
          </w:p>
        </w:tc>
        <w:tc>
          <w:tcPr>
            <w:tcW w:type="dxa" w:w="178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30,000 / 30,000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100.00 %</w:t>
            </w:r>
          </w:p>
        </w:tc>
        <w:tc>
          <w:tcPr>
            <w:tcW w:type="dxa" w:w="226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[99.988 %; 100 %]</w:t>
            </w:r>
          </w:p>
        </w:tc>
        <w:tc>
          <w:tcPr>
            <w:tcW w:type="dxa" w:w="71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Disponibilidad local (Do)</w:t>
            </w:r>
          </w:p>
        </w:tc>
        <w:tc>
          <w:tcPr>
            <w:tcW w:type="dxa" w:w="16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Global</w:t>
            </w:r>
          </w:p>
        </w:tc>
        <w:tc>
          <w:tcPr>
            <w:tcW w:type="dxa" w:w="1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60,000 / 60,000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100.00 %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[99.994 %; 100 %]</w:t>
            </w:r>
          </w:p>
        </w:tc>
        <w:tc>
          <w:tcPr>
            <w:tcW w:type="dxa" w:w="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Id: vales transmitidos cuyo evento se concilió una sola vez y cuyo estado final coincide con el oráculo y con las 5 réplicas. Tr: movimientos con registro en la bitácora y evento de origen. Do: registros sin red persistidos / intentos de registro.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 las tres dimensiones no se observó ningún fallo en ninguna corrida (desviación estándar entre corridas = 0). Con el tamaño de muestra alcanzado, el límite inferior del IC 95 % para la integridad 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99.994 %</w:t>
      </w:r>
      <w:r>
        <w:rPr>
          <w:rFonts w:ascii="Calibri" w:cs="Calibri" w:eastAsia="Calibri" w:hAnsi="Calibri"/>
          <w:sz w:val="21"/>
          <w:szCs w:val="21"/>
        </w:rPr>
        <w:t xml:space="preserve">, para la trazabilidad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99.993 %</w:t>
      </w:r>
      <w:r>
        <w:rPr>
          <w:rFonts w:ascii="Calibri" w:cs="Calibri" w:eastAsia="Calibri" w:hAnsi="Calibri"/>
          <w:sz w:val="21"/>
          <w:szCs w:val="21"/>
        </w:rPr>
        <w:t xml:space="preserve"> y para la disponibilidad local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99.994 %</w:t>
      </w:r>
      <w:r>
        <w:rPr>
          <w:rFonts w:ascii="Calibri" w:cs="Calibri" w:eastAsia="Calibri" w:hAnsi="Calibri"/>
          <w:sz w:val="21"/>
          <w:szCs w:val="21"/>
        </w:rPr>
        <w:t xml:space="preserve">. Es decir, con un 95 % de confianza, la tasa real de error del prototipo en estas condiciones de laboratorio es inferior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0.006 %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2. Verificaciones complementarias de consistencia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1606"/>
        <w:gridCol w:w="1607"/>
      </w:tblGrid>
      <w:tr>
        <w:trPr>
          <w:tblHeader/>
        </w:trPr>
        <w:tc>
          <w:tcPr>
            <w:tcW w:type="dxa" w:w="642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16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Limpia</w:t>
            </w:r>
          </w:p>
        </w:tc>
        <w:tc>
          <w:tcPr>
            <w:tcW w:type="dxa" w:w="16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 cortes</w:t>
            </w:r>
          </w:p>
        </w:tc>
      </w:tr>
      <w:tr>
        <w:trPr>
          <w:cantSplit/>
        </w:trPr>
        <w:tc>
          <w:tcPr>
            <w:tcW w:type="dxa" w:w="6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Réplicas convergentes con la central (hash idéntico)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150/150</w:t>
            </w:r>
          </w:p>
        </w:tc>
        <w:tc>
          <w:tcPr>
            <w:tcW w:type="dxa" w:w="1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150/150</w:t>
            </w:r>
          </w:p>
        </w:tc>
      </w:tr>
      <w:tr>
        <w:trPr>
          <w:cantSplit/>
        </w:trPr>
        <w:tc>
          <w:tcPr>
            <w:tcW w:type="dxa" w:w="642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Corridas sin eventos ni movimientos duplicados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30/30</w:t>
            </w:r>
          </w:p>
        </w:tc>
        <w:tc>
          <w:tcPr>
            <w:tcW w:type="dxa" w:w="1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30/30</w:t>
            </w:r>
          </w:p>
        </w:tc>
      </w:tr>
      <w:tr>
        <w:trPr>
          <w:cantSplit/>
        </w:trPr>
        <w:tc>
          <w:tcPr>
            <w:tcW w:type="dxa" w:w="6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Corridas con invariante Σ movimientos = saldo − referencia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30/30</w:t>
            </w:r>
          </w:p>
        </w:tc>
        <w:tc>
          <w:tcPr>
            <w:tcW w:type="dxa" w:w="1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30/30</w:t>
            </w:r>
          </w:p>
        </w:tc>
      </w:tr>
      <w:tr>
        <w:trPr>
          <w:cantSplit/>
        </w:trPr>
        <w:tc>
          <w:tcPr>
            <w:tcW w:type="dxa" w:w="642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Corridas con saldos iguales al oráculo en central y réplicas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30/30</w:t>
            </w:r>
          </w:p>
        </w:tc>
        <w:tc>
          <w:tcPr>
            <w:tcW w:type="dxa" w:w="1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30/30</w:t>
            </w:r>
          </w:p>
        </w:tc>
      </w:tr>
      <w:tr>
        <w:trPr>
          <w:cantSplit/>
        </w:trPr>
        <w:tc>
          <w:tcPr>
            <w:tcW w:type="dxa" w:w="6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Lotes confirmados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300/300</w:t>
            </w:r>
          </w:p>
        </w:tc>
        <w:tc>
          <w:tcPr>
            <w:tcW w:type="dxa" w:w="1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300/300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1. Integridad, trazabilidad y disponibilidad local con IC 95 % exacto</w:t>
      </w:r>
    </w:p>
    <w:p>
      <w:pPr>
        <w:keepNext/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f08_indicadores_ic.png" descr="Integridad, trazabilidad y disponibilidad local con IC 95 % exacto" title="Integridad, trazabilidad y disponibilidad local con IC 95 % exa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resultados/02_analisis_estadistico/figuras/f08_indicadores_ic.png. Elaboración propia.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Tiempo de conciliación por lote (Tp)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Estadística descriptiva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3. Descriptivos de la latencia extremo a extremo (ms)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516"/>
        <w:gridCol w:w="774"/>
        <w:gridCol w:w="774"/>
        <w:gridCol w:w="1376"/>
        <w:gridCol w:w="774"/>
        <w:gridCol w:w="688"/>
        <w:gridCol w:w="774"/>
        <w:gridCol w:w="688"/>
        <w:gridCol w:w="774"/>
        <w:gridCol w:w="607"/>
      </w:tblGrid>
      <w:tr>
        <w:trPr>
          <w:tblHeader/>
        </w:trPr>
        <w:tc>
          <w:tcPr>
            <w:tcW w:type="dxa" w:w="189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51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Media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</w:t>
            </w:r>
          </w:p>
        </w:tc>
        <w:tc>
          <w:tcPr>
            <w:tcW w:type="dxa" w:w="13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IC 95 % media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Mediana</w:t>
            </w:r>
          </w:p>
        </w:tc>
        <w:tc>
          <w:tcPr>
            <w:tcW w:type="dxa" w:w="6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RIQ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P95</w:t>
            </w:r>
          </w:p>
        </w:tc>
        <w:tc>
          <w:tcPr>
            <w:tcW w:type="dxa" w:w="6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Mín.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Máx.</w:t>
            </w:r>
          </w:p>
        </w:tc>
        <w:tc>
          <w:tcPr>
            <w:tcW w:type="dxa" w:w="6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CV %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Limpia — por lote</w:t>
            </w:r>
          </w:p>
        </w:tc>
        <w:tc>
          <w:tcPr>
            <w:tcW w:type="dxa" w:w="5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1,010.7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351.0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[970.8; 1,050.6]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1,195.2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508.8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1,321.6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261.8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1,479.5</w:t>
            </w:r>
          </w:p>
        </w:tc>
        <w:tc>
          <w:tcPr>
            <w:tcW w:type="dxa" w:w="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34.7</w:t>
            </w:r>
          </w:p>
        </w:tc>
      </w:tr>
      <w:tr>
        <w:trPr>
          <w:cantSplit/>
        </w:trPr>
        <w:tc>
          <w:tcPr>
            <w:tcW w:type="dxa" w:w="189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 cortes — por lote</w:t>
            </w:r>
          </w:p>
        </w:tc>
        <w:tc>
          <w:tcPr>
            <w:tcW w:type="dxa" w:w="51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1,186.5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392.7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[1,141.9; 1,231.1]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1,233.6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442.5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1,989.4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334.2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2,365.0</w:t>
            </w:r>
          </w:p>
        </w:tc>
        <w:tc>
          <w:tcPr>
            <w:tcW w:type="dxa" w:w="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33.1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Limpia — media por corrida</w:t>
            </w:r>
          </w:p>
        </w:tc>
        <w:tc>
          <w:tcPr>
            <w:tcW w:type="dxa" w:w="5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1,010.7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39.1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[996.1; 1,025.3]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1,002.5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40.9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1,065.0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942.5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1,146.1</w:t>
            </w:r>
          </w:p>
        </w:tc>
        <w:tc>
          <w:tcPr>
            <w:tcW w:type="dxa" w:w="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3.9</w:t>
            </w:r>
          </w:p>
        </w:tc>
      </w:tr>
      <w:tr>
        <w:trPr>
          <w:cantSplit/>
        </w:trPr>
        <w:tc>
          <w:tcPr>
            <w:tcW w:type="dxa" w:w="189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 cortes — media por corrida</w:t>
            </w:r>
          </w:p>
        </w:tc>
        <w:tc>
          <w:tcPr>
            <w:tcW w:type="dxa" w:w="51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1,186.5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57.0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[1,165.2; 1,207.8]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1,186.5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67.1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1,264.4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1,077.6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1,350.6</w:t>
            </w:r>
          </w:p>
        </w:tc>
        <w:tc>
          <w:tcPr>
            <w:tcW w:type="dxa" w:w="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4.8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Limpia — Tp por vale</w:t>
            </w:r>
          </w:p>
        </w:tc>
        <w:tc>
          <w:tcPr>
            <w:tcW w:type="dxa" w:w="5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10.1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[9.7; 10.5]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12.0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5.1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13.2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2.6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14.8</w:t>
            </w:r>
          </w:p>
        </w:tc>
        <w:tc>
          <w:tcPr>
            <w:tcW w:type="dxa" w:w="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34.7</w:t>
            </w:r>
          </w:p>
        </w:tc>
      </w:tr>
      <w:tr>
        <w:trPr>
          <w:cantSplit/>
        </w:trPr>
        <w:tc>
          <w:tcPr>
            <w:tcW w:type="dxa" w:w="189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 cortes — Tp por vale</w:t>
            </w:r>
          </w:p>
        </w:tc>
        <w:tc>
          <w:tcPr>
            <w:tcW w:type="dxa" w:w="51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11.9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3.9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[11.4; 12.3]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12.3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4.4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19.9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3.3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23.6</w:t>
            </w:r>
          </w:p>
        </w:tc>
        <w:tc>
          <w:tcPr>
            <w:tcW w:type="dxa" w:w="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33.1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DE: desviación estándar; RIQ: rango intercuartílico; P95: percentil 95; CV: coeficiente de variación. Tp por vale = latencia del lote / 100 (ms por vale).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la red limpia, un lote de 100 vales tardó en promedio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1,010.7 ms</w:t>
      </w:r>
      <w:r>
        <w:rPr>
          <w:rFonts w:ascii="Calibri" w:cs="Calibri" w:eastAsia="Calibri" w:hAnsi="Calibri"/>
          <w:sz w:val="21"/>
          <w:szCs w:val="21"/>
        </w:rPr>
        <w:t xml:space="preserve"> (DE = 351.0 ms; IC 95 % BCa de la media [968.0; 1,048.4] ms), y el peor lote observado tardó 1,479.5 ms. Con cortes inyectados, la media subió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1,186.5 ms</w:t>
      </w:r>
      <w:r>
        <w:rPr>
          <w:rFonts w:ascii="Calibri" w:cs="Calibri" w:eastAsia="Calibri" w:hAnsi="Calibri"/>
          <w:sz w:val="21"/>
          <w:szCs w:val="21"/>
        </w:rPr>
        <w:t xml:space="preserve"> (DE = 392.7 ms), con un máximo de 2,365.0 ms. La desviación estándar media de los lotes dentro de una corrida fue de 366.6 ms (limpia) y 393.5 ms (con cortes).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2. Distribución de la latencia por lote de 100 vales, por condición</w:t>
      </w:r>
    </w:p>
    <w:p>
      <w:pPr>
        <w:keepNext/>
        <w:jc w:val="center"/>
      </w:pPr>
      <w:r>
        <w:drawing>
          <wp:inline distT="0" distB="0" distL="0" distR="0">
            <wp:extent cx="5905500" cy="4219575"/>
            <wp:effectExtent t="0" r="0" b="0" l="0"/>
            <wp:docPr id="2" name="f01_histograma_latencia_lote.png" descr="Distribución de la latencia por lote de 100 vales, por condición" title="Distribución de la latencia por lote de 100 vales, por condi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resultados/02_analisis_estadistico/figuras/f01_histograma_latencia_lote.png. Elaboración propia.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3. Distribución acumulada (ECDF) de la latencia por lote frente a la meta</w:t>
      </w:r>
    </w:p>
    <w:p>
      <w:pPr>
        <w:keepNext/>
        <w:jc w:val="center"/>
      </w:pPr>
      <w:r>
        <w:drawing>
          <wp:inline distT="0" distB="0" distL="0" distR="0">
            <wp:extent cx="5905500" cy="3305175"/>
            <wp:effectExtent t="0" r="0" b="0" l="0"/>
            <wp:docPr id="3" name="f05_ecdf_latencia.png" descr="Distribución acumulada (ECDF) de la latencia por lote frente a la meta" title="Distribución acumulada (ECDF) de la latencia por lote frente a la m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resultados/02_analisis_estadistico/figuras/f05_ecdf_latencia.png. Elaboración propia.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Normalidad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4. Pruebas de normalidad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5"/>
        <w:gridCol w:w="713"/>
        <w:gridCol w:w="1308"/>
        <w:gridCol w:w="951"/>
        <w:gridCol w:w="1070"/>
        <w:gridCol w:w="1308"/>
        <w:gridCol w:w="1433"/>
      </w:tblGrid>
      <w:tr>
        <w:trPr>
          <w:tblHeader/>
        </w:trPr>
        <w:tc>
          <w:tcPr>
            <w:tcW w:type="dxa" w:w="285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Serie</w:t>
            </w:r>
          </w:p>
        </w:tc>
        <w:tc>
          <w:tcPr>
            <w:tcW w:type="dxa" w:w="7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130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Shapiro-Wilk W</w:t>
            </w:r>
          </w:p>
        </w:tc>
        <w:tc>
          <w:tcPr>
            <w:tcW w:type="dxa" w:w="95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107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Asimetría</w:t>
            </w:r>
          </w:p>
        </w:tc>
        <w:tc>
          <w:tcPr>
            <w:tcW w:type="dxa" w:w="130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Curtosis (exceso)</w:t>
            </w:r>
          </w:p>
        </w:tc>
        <w:tc>
          <w:tcPr>
            <w:tcW w:type="dxa" w:w="143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¿Normal (α = 0.05)?</w:t>
            </w:r>
          </w:p>
        </w:tc>
      </w:tr>
      <w:tr>
        <w:trPr>
          <w:cantSplit/>
        </w:trPr>
        <w:tc>
          <w:tcPr>
            <w:tcW w:type="dxa" w:w="2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limpia — lote</w:t>
            </w:r>
          </w:p>
        </w:tc>
        <w:tc>
          <w:tcPr>
            <w:tcW w:type="dxa" w:w="7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13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0.8086</w:t>
            </w:r>
          </w:p>
        </w:tc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&lt; 0.001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-1.010</w:t>
            </w:r>
          </w:p>
        </w:tc>
        <w:tc>
          <w:tcPr>
            <w:tcW w:type="dxa" w:w="13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-0.414</w:t>
            </w:r>
          </w:p>
        </w:tc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85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 cortes (EP04) — lote</w:t>
            </w:r>
          </w:p>
        </w:tc>
        <w:tc>
          <w:tcPr>
            <w:tcW w:type="dxa" w:w="71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130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0.9634</w:t>
            </w:r>
          </w:p>
        </w:tc>
        <w:tc>
          <w:tcPr>
            <w:tcW w:type="dxa" w:w="95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&lt; 0.001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0.525</w:t>
            </w:r>
          </w:p>
        </w:tc>
        <w:tc>
          <w:tcPr>
            <w:tcW w:type="dxa" w:w="130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0.573</w:t>
            </w:r>
          </w:p>
        </w:tc>
        <w:tc>
          <w:tcPr>
            <w:tcW w:type="dxa" w:w="143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limpia — corrida</w:t>
            </w:r>
          </w:p>
        </w:tc>
        <w:tc>
          <w:tcPr>
            <w:tcW w:type="dxa" w:w="7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3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0.9060</w:t>
            </w:r>
          </w:p>
        </w:tc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0.012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1.343</w:t>
            </w:r>
          </w:p>
        </w:tc>
        <w:tc>
          <w:tcPr>
            <w:tcW w:type="dxa" w:w="13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3.011</w:t>
            </w:r>
          </w:p>
        </w:tc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85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 cortes (EP04) — corrida</w:t>
            </w:r>
          </w:p>
        </w:tc>
        <w:tc>
          <w:tcPr>
            <w:tcW w:type="dxa" w:w="71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30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0.9679</w:t>
            </w:r>
          </w:p>
        </w:tc>
        <w:tc>
          <w:tcPr>
            <w:tcW w:type="dxa" w:w="95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0.484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0.475</w:t>
            </w:r>
          </w:p>
        </w:tc>
        <w:tc>
          <w:tcPr>
            <w:tcW w:type="dxa" w:w="130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0.916</w:t>
            </w:r>
          </w:p>
        </w:tc>
        <w:tc>
          <w:tcPr>
            <w:tcW w:type="dxa" w:w="143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Cuando se rechaza la normalidad, la conclusión se apoya también en la prueba de Wilcoxon y en los intervalos bootstrap, que no la presuponen. La forma de la distribución por lote refleja la cola de espera: en una reconexión simultánea, los lotes se concilian uno tras otro en el escritor único de la central, y los que llegan últimos acumulan la espera de los anteriores (ver sección 3.4).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4. Gráficos Q-Q de normalidad de la latencia por lote</w:t>
      </w:r>
    </w:p>
    <w:p>
      <w:pPr>
        <w:keepNext/>
        <w:jc w:val="center"/>
      </w:pPr>
      <w:r>
        <w:drawing>
          <wp:inline distT="0" distB="0" distL="0" distR="0">
            <wp:extent cx="5905500" cy="3095625"/>
            <wp:effectExtent t="0" r="0" b="0" l="0"/>
            <wp:docPr id="4" name="f03_qq_normalidad.png" descr="Gráficos Q-Q de normalidad de la latencia por lote" title="Gráficos Q-Q de normalidad de la latencia por l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resultados/02_analisis_estadistico/figuras/f03_qq_normalidad.png. Elaboración propia.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Contraste con la meta de rendimiento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5. H0: μ ≥ 2,500 ms frente a H1: μ &lt; 2,500 ms (unilateral)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755"/>
        <w:gridCol w:w="472"/>
        <w:gridCol w:w="850"/>
        <w:gridCol w:w="944"/>
        <w:gridCol w:w="944"/>
        <w:gridCol w:w="661"/>
        <w:gridCol w:w="755"/>
        <w:gridCol w:w="661"/>
        <w:gridCol w:w="1322"/>
        <w:gridCol w:w="1141"/>
      </w:tblGrid>
      <w:tr>
        <w:trPr>
          <w:tblHeader/>
        </w:trPr>
        <w:tc>
          <w:tcPr>
            <w:tcW w:type="dxa" w:w="113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Condición</w:t>
            </w:r>
          </w:p>
        </w:tc>
        <w:tc>
          <w:tcPr>
            <w:tcW w:type="dxa" w:w="75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Unidad</w:t>
            </w:r>
          </w:p>
        </w:tc>
        <w:tc>
          <w:tcPr>
            <w:tcW w:type="dxa" w:w="47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</w:t>
            </w:r>
          </w:p>
        </w:tc>
        <w:tc>
          <w:tcPr>
            <w:tcW w:type="dxa" w:w="8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Media (ms)</w:t>
            </w:r>
          </w:p>
        </w:tc>
        <w:tc>
          <w:tcPr>
            <w:tcW w:type="dxa" w:w="9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Lím. sup. 95 % (ms)</w:t>
            </w:r>
          </w:p>
        </w:tc>
        <w:tc>
          <w:tcPr>
            <w:tcW w:type="dxa" w:w="9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 (gl)</w:t>
            </w:r>
          </w:p>
        </w:tc>
        <w:tc>
          <w:tcPr>
            <w:tcW w:type="dxa" w:w="66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 (t)</w:t>
            </w:r>
          </w:p>
        </w:tc>
        <w:tc>
          <w:tcPr>
            <w:tcW w:type="dxa" w:w="75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 (Wilcoxon)</w:t>
            </w:r>
          </w:p>
        </w:tc>
        <w:tc>
          <w:tcPr>
            <w:tcW w:type="dxa" w:w="66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 de Cohen</w:t>
            </w:r>
          </w:p>
        </w:tc>
        <w:tc>
          <w:tcPr>
            <w:tcW w:type="dxa" w:w="132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% lotes &lt; meta [IC inf.]</w:t>
            </w:r>
          </w:p>
        </w:tc>
        <w:tc>
          <w:tcPr>
            <w:tcW w:type="dxa" w:w="114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11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 limpia</w:t>
            </w:r>
          </w:p>
        </w:tc>
        <w:tc>
          <w:tcPr>
            <w:tcW w:type="dxa" w:w="7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lote</w:t>
            </w:r>
          </w:p>
        </w:tc>
        <w:tc>
          <w:tcPr>
            <w:tcW w:type="dxa" w:w="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1,010.7</w:t>
            </w:r>
          </w:p>
        </w:tc>
        <w:tc>
          <w:tcPr>
            <w:tcW w:type="dxa" w:w="9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1,044.1</w:t>
            </w:r>
          </w:p>
        </w:tc>
        <w:tc>
          <w:tcPr>
            <w:tcW w:type="dxa" w:w="9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-73.49 (299)</w:t>
            </w:r>
          </w:p>
        </w:tc>
        <w:tc>
          <w:tcPr>
            <w:tcW w:type="dxa" w:w="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&lt; 0.001</w:t>
            </w:r>
          </w:p>
        </w:tc>
        <w:tc>
          <w:tcPr>
            <w:tcW w:type="dxa" w:w="7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&lt; 0.001</w:t>
            </w:r>
          </w:p>
        </w:tc>
        <w:tc>
          <w:tcPr>
            <w:tcW w:type="dxa" w:w="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-4.24</w:t>
            </w:r>
          </w:p>
        </w:tc>
        <w:tc>
          <w:tcPr>
            <w:tcW w:type="dxa" w:w="13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100.0 % [98.8 %]</w:t>
            </w:r>
          </w:p>
        </w:tc>
        <w:tc>
          <w:tcPr>
            <w:tcW w:type="dxa" w:w="11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 rechaza H0</w:t>
            </w:r>
          </w:p>
        </w:tc>
      </w:tr>
      <w:tr>
        <w:trPr>
          <w:cantSplit/>
        </w:trPr>
        <w:tc>
          <w:tcPr>
            <w:tcW w:type="dxa" w:w="113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 limpia</w:t>
            </w:r>
          </w:p>
        </w:tc>
        <w:tc>
          <w:tcPr>
            <w:tcW w:type="dxa" w:w="75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corrida</w:t>
            </w:r>
          </w:p>
        </w:tc>
        <w:tc>
          <w:tcPr>
            <w:tcW w:type="dxa" w:w="47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85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1,010.7</w:t>
            </w:r>
          </w:p>
        </w:tc>
        <w:tc>
          <w:tcPr>
            <w:tcW w:type="dxa" w:w="94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1,022.8</w:t>
            </w:r>
          </w:p>
        </w:tc>
        <w:tc>
          <w:tcPr>
            <w:tcW w:type="dxa" w:w="94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-208.58 (29)</w:t>
            </w:r>
          </w:p>
        </w:tc>
        <w:tc>
          <w:tcPr>
            <w:tcW w:type="dxa" w:w="66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&lt; 0.001</w:t>
            </w:r>
          </w:p>
        </w:tc>
        <w:tc>
          <w:tcPr>
            <w:tcW w:type="dxa" w:w="75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&lt; 0.001</w:t>
            </w:r>
          </w:p>
        </w:tc>
        <w:tc>
          <w:tcPr>
            <w:tcW w:type="dxa" w:w="66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-38.08</w:t>
            </w:r>
          </w:p>
        </w:tc>
        <w:tc>
          <w:tcPr>
            <w:tcW w:type="dxa" w:w="132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100.0 % [88.4 %]</w:t>
            </w:r>
          </w:p>
        </w:tc>
        <w:tc>
          <w:tcPr>
            <w:tcW w:type="dxa" w:w="114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 rechaza H0</w:t>
            </w:r>
          </w:p>
        </w:tc>
      </w:tr>
      <w:tr>
        <w:trPr>
          <w:cantSplit/>
        </w:trPr>
        <w:tc>
          <w:tcPr>
            <w:tcW w:type="dxa" w:w="11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 cortes (EP04)</w:t>
            </w:r>
          </w:p>
        </w:tc>
        <w:tc>
          <w:tcPr>
            <w:tcW w:type="dxa" w:w="7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lote</w:t>
            </w:r>
          </w:p>
        </w:tc>
        <w:tc>
          <w:tcPr>
            <w:tcW w:type="dxa" w:w="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1,186.5</w:t>
            </w:r>
          </w:p>
        </w:tc>
        <w:tc>
          <w:tcPr>
            <w:tcW w:type="dxa" w:w="9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1,223.9</w:t>
            </w:r>
          </w:p>
        </w:tc>
        <w:tc>
          <w:tcPr>
            <w:tcW w:type="dxa" w:w="9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-57.94 (299)</w:t>
            </w:r>
          </w:p>
        </w:tc>
        <w:tc>
          <w:tcPr>
            <w:tcW w:type="dxa" w:w="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&lt; 0.001</w:t>
            </w:r>
          </w:p>
        </w:tc>
        <w:tc>
          <w:tcPr>
            <w:tcW w:type="dxa" w:w="7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&lt; 0.001</w:t>
            </w:r>
          </w:p>
        </w:tc>
        <w:tc>
          <w:tcPr>
            <w:tcW w:type="dxa" w:w="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-3.34</w:t>
            </w:r>
          </w:p>
        </w:tc>
        <w:tc>
          <w:tcPr>
            <w:tcW w:type="dxa" w:w="13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100.0 % [98.8 %]</w:t>
            </w:r>
          </w:p>
        </w:tc>
        <w:tc>
          <w:tcPr>
            <w:tcW w:type="dxa" w:w="11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 rechaza H0</w:t>
            </w:r>
          </w:p>
        </w:tc>
      </w:tr>
      <w:tr>
        <w:trPr>
          <w:cantSplit/>
        </w:trPr>
        <w:tc>
          <w:tcPr>
            <w:tcW w:type="dxa" w:w="113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 cortes (EP04)</w:t>
            </w:r>
          </w:p>
        </w:tc>
        <w:tc>
          <w:tcPr>
            <w:tcW w:type="dxa" w:w="75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corrida</w:t>
            </w:r>
          </w:p>
        </w:tc>
        <w:tc>
          <w:tcPr>
            <w:tcW w:type="dxa" w:w="47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85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1,186.5</w:t>
            </w:r>
          </w:p>
        </w:tc>
        <w:tc>
          <w:tcPr>
            <w:tcW w:type="dxa" w:w="94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1,204.2</w:t>
            </w:r>
          </w:p>
        </w:tc>
        <w:tc>
          <w:tcPr>
            <w:tcW w:type="dxa" w:w="94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-126.17 (29)</w:t>
            </w:r>
          </w:p>
        </w:tc>
        <w:tc>
          <w:tcPr>
            <w:tcW w:type="dxa" w:w="66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&lt; 0.001</w:t>
            </w:r>
          </w:p>
        </w:tc>
        <w:tc>
          <w:tcPr>
            <w:tcW w:type="dxa" w:w="75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&lt; 0.001</w:t>
            </w:r>
          </w:p>
        </w:tc>
        <w:tc>
          <w:tcPr>
            <w:tcW w:type="dxa" w:w="66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-23.04</w:t>
            </w:r>
          </w:p>
        </w:tc>
        <w:tc>
          <w:tcPr>
            <w:tcW w:type="dxa" w:w="132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100.0 % [88.4 %]</w:t>
            </w:r>
          </w:p>
        </w:tc>
        <w:tc>
          <w:tcPr>
            <w:tcW w:type="dxa" w:w="114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 rechaza H0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 ambas condiciones y en ambas unidades de análisis se rechaza H0: el tiempo medio por lote de 100 vales es significativamente menor que 2.5 s. Con la unidad más conservadora (media por corrida), el límite superior unilateral al 95 % 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1,022.8 ms</w:t>
      </w:r>
      <w:r>
        <w:rPr>
          <w:rFonts w:ascii="Calibri" w:cs="Calibri" w:eastAsia="Calibri" w:hAnsi="Calibri"/>
          <w:sz w:val="21"/>
          <w:szCs w:val="21"/>
        </w:rPr>
        <w:t xml:space="preserve"> con red limpia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1,204.2 ms</w:t>
      </w:r>
      <w:r>
        <w:rPr>
          <w:rFonts w:ascii="Calibri" w:cs="Calibri" w:eastAsia="Calibri" w:hAnsi="Calibri"/>
          <w:sz w:val="21"/>
          <w:szCs w:val="21"/>
        </w:rPr>
        <w:t xml:space="preserve"> con cortes. </w:t>
      </w:r>
      <w:r>
        <w:rPr>
          <w:rFonts w:ascii="Calibri" w:cs="Calibri" w:eastAsia="Calibri" w:hAnsi="Calibri"/>
          <w:sz w:val="21"/>
          <w:szCs w:val="21"/>
        </w:rPr>
        <w:t xml:space="preserve">El 100.0 % de los lotes con red limpia y el 100.0 % de los lotes con cortes quedaron individualmente por debajo de la meta.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5. Latencia media por corrida (10 lotes) con IC 95 %</w:t>
      </w:r>
    </w:p>
    <w:p>
      <w:pPr>
        <w:keepNext/>
        <w:jc w:val="center"/>
      </w:pPr>
      <w:r>
        <w:drawing>
          <wp:inline distT="0" distB="0" distL="0" distR="0">
            <wp:extent cx="5905500" cy="3743325"/>
            <wp:effectExtent t="0" r="0" b="0" l="0"/>
            <wp:docPr id="5" name="f04_medias_por_corrida.png" descr="Latencia media por corrida (10 lotes) con IC 95 %" title="Latencia media por corrida (10 lotes) con IC 95 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resultados/02_analisis_estadistico/figuras/f04_medias_por_corrida.png. Elaboración propia.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Composición del tiempo y efecto del orden de llegada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6. Componentes medios del tiempo por lote (ms)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1376"/>
        <w:gridCol w:w="1376"/>
        <w:gridCol w:w="1376"/>
        <w:gridCol w:w="1380"/>
      </w:tblGrid>
      <w:tr>
        <w:trPr>
          <w:tblHeader/>
        </w:trPr>
        <w:tc>
          <w:tcPr>
            <w:tcW w:type="dxa" w:w="413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3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Limpia: media</w:t>
            </w:r>
          </w:p>
        </w:tc>
        <w:tc>
          <w:tcPr>
            <w:tcW w:type="dxa" w:w="13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Limpia: DE</w:t>
            </w:r>
          </w:p>
        </w:tc>
        <w:tc>
          <w:tcPr>
            <w:tcW w:type="dxa" w:w="13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 cortes: media</w:t>
            </w:r>
          </w:p>
        </w:tc>
        <w:tc>
          <w:tcPr>
            <w:tcW w:type="dxa" w:w="13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 cortes: DE</w:t>
            </w:r>
          </w:p>
        </w:tc>
      </w:tr>
      <w:tr>
        <w:trPr>
          <w:cantSplit/>
        </w:trPr>
        <w:tc>
          <w:tcPr>
            <w:tcW w:type="dxa" w:w="41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Conciliación CRDT + commit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251.2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20.8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166.1</w:t>
            </w:r>
          </w:p>
        </w:tc>
        <w:tc>
          <w:tcPr>
            <w:tcW w:type="dxa" w:w="13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110.1</w:t>
            </w:r>
          </w:p>
        </w:tc>
      </w:tr>
      <w:tr>
        <w:trPr>
          <w:cantSplit/>
        </w:trPr>
        <w:tc>
          <w:tcPr>
            <w:tcW w:type="dxa" w:w="413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Espera en cola del escritor único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735.7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349.6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575.0</w:t>
            </w:r>
          </w:p>
        </w:tc>
        <w:tc>
          <w:tcPr>
            <w:tcW w:type="dxa" w:w="138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266.3</w:t>
            </w:r>
          </w:p>
        </w:tc>
      </w:tr>
      <w:tr>
        <w:trPr>
          <w:cantSplit/>
        </w:trPr>
        <w:tc>
          <w:tcPr>
            <w:tcW w:type="dxa" w:w="41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 + serialización JSON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22.1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10.6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18.1</w:t>
            </w:r>
          </w:p>
        </w:tc>
        <w:tc>
          <w:tcPr>
            <w:tcW w:type="dxa" w:w="13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9.9</w:t>
            </w:r>
          </w:p>
        </w:tc>
      </w:tr>
      <w:tr>
        <w:trPr>
          <w:cantSplit/>
        </w:trPr>
        <w:tc>
          <w:tcPr>
            <w:tcW w:type="dxa" w:w="413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Reintentos (intentos fallidos + backoff)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426.4</w:t>
            </w:r>
          </w:p>
        </w:tc>
        <w:tc>
          <w:tcPr>
            <w:tcW w:type="dxa" w:w="138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466.2</w:t>
            </w:r>
          </w:p>
        </w:tc>
      </w:tr>
      <w:tr>
        <w:trPr>
          <w:cantSplit/>
        </w:trPr>
        <w:tc>
          <w:tcPr>
            <w:tcW w:type="dxa" w:w="41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 dentro del servidor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987.7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351.4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742.0</w:t>
            </w:r>
          </w:p>
        </w:tc>
        <w:tc>
          <w:tcPr>
            <w:tcW w:type="dxa" w:w="13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289.3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6. Descomposición del tiempo medio por lote</w:t>
      </w:r>
    </w:p>
    <w:p>
      <w:pPr>
        <w:keepNext/>
        <w:jc w:val="center"/>
      </w:pPr>
      <w:r>
        <w:drawing>
          <wp:inline distT="0" distB="0" distL="0" distR="0">
            <wp:extent cx="5905500" cy="2933700"/>
            <wp:effectExtent t="0" r="0" b="0" l="0"/>
            <wp:docPr id="6" name="f06_descomposicion_tiempo.png" descr="Descomposición del tiempo medio por lote" title="Descomposición del tiempo medio por l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resultados/02_analisis_estadistico/figuras/f06_descomposicion_tiempo.png. Elaboración propia.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conciliación propiamente dicha de 100 vales (join CRDT, movimientos, bitácora y commit) toma en promedio 251.2 ms; la mayor parte del resto es espera en cola, porque los 10 lotes llegan en el mismo instante y la central SQLite admite un solo escritor. El segundo lote de cada nodo tardó más que el primero (mediana 1,246.0 frente a 754.7 ms con red limpia; U de Mann-Whitney, p = &lt; 0.001; δ de Cliff = -0.73). No hubo diferencias atribuibles a un nodo en particular (Kruskal-Wallis H = 0.98, p = 0.913).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cortes, el efecto del orden desaparece (p = 0.833; δ de Cliff = -0.01): los intentos fallidos y el backoff escalonan la llegada de los lotes a la central. Por la misma razón, la espera en cola y la conciliación promedio son menores en esa condición: los 130 reenvíos de lotes ya confirmados se resuelven solo con la verificación de evento_id (100 duplicados, sin escrituras), y el tiempo adicional se traslada a los reintentos del cliente.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7. Latencia por condición y orden de envío del lote</w:t>
      </w:r>
    </w:p>
    <w:p>
      <w:pPr>
        <w:keepNext/>
        <w:jc w:val="center"/>
      </w:pPr>
      <w:r>
        <w:drawing>
          <wp:inline distT="0" distB="0" distL="0" distR="0">
            <wp:extent cx="5905500" cy="3362325"/>
            <wp:effectExtent t="0" r="0" b="0" l="0"/>
            <wp:docPr id="7" name="f02_boxplot_condicion_orden.png" descr="Latencia por condición y orden de envío del lote" title="Latencia por condición y orden de envío del l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resultados/02_analisis_estadistico/figuras/f02_boxplot_condicion_orden.png. Elaboración propia.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Efecto de los cortes de red (EP04)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7. Comparación pareada por repetición (mismo dataset en ambas condiciones)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tblHeader/>
        </w:trPr>
        <w:tc>
          <w:tcPr>
            <w:tcW w:type="dxa" w:w="578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Estadístico</w:t>
            </w:r>
          </w:p>
        </w:tc>
        <w:tc>
          <w:tcPr>
            <w:tcW w:type="dxa" w:w="385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Pares (repeticiones)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Diferencia media (con cortes − limpia), ms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175.8 (DE 66.0)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IC 95 % BCa de la diferencia, ms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[152.4; 198.5]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 pareada; p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14.583; &lt; 0.001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Wilcoxon pareado W; p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0.0; &lt; 0.001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dz de Cohen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2.66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Por lote: U de Mann-Whitney; p; δ de Cliff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55,758; &lt; 0.001; 0.239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Variación de la mediana por lote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3.2 %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8. Comparación pareada por repetición: red limpia frente a cortes</w:t>
      </w:r>
    </w:p>
    <w:p>
      <w:pPr>
        <w:keepNext/>
        <w:jc w:val="center"/>
      </w:pPr>
      <w:r>
        <w:drawing>
          <wp:inline distT="0" distB="0" distL="0" distR="0">
            <wp:extent cx="5905500" cy="2933700"/>
            <wp:effectExtent t="0" r="0" b="0" l="0"/>
            <wp:docPr id="8" name="f10_pareado_condiciones.png" descr="Comparación pareada por repetición: red limpia frente a cortes" title="Comparación pareada por repetición: red limpia frente a c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resultados/02_analisis_estadistico/figuras/f10_pareado_condiciones.png. Elaboración propia.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8. Resiliencia ante cortes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tblHeader/>
        </w:trPr>
        <w:tc>
          <w:tcPr>
            <w:tcW w:type="dxa" w:w="578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Medida</w:t>
            </w:r>
          </w:p>
        </w:tc>
        <w:tc>
          <w:tcPr>
            <w:tcW w:type="dxa" w:w="385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Cortes inyectados (total)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397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 · PRE_ENVIO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137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 · CORTE_MITAD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 · POST_CONFIRMACION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Lotes afectados por al menos un corte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 de 300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Lotes finalmente confirmados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 de 300 (100.00 %)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Reintentos totales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397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Intentos por lote: media (máx.)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2.32 (3)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Eventos reenviados reconocidos como duplicados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11,800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Eventos duplicados almacenados en la central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Movimientos duplicados en la central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Tasa de duplicación por reintento [IC 95 % sup.]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0.00 % [0.92 %]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Eventos pendientes al final</w:t>
            </w:r>
          </w:p>
        </w:tc>
        <w:tc>
          <w:tcPr>
            <w:tcW w:type="dxa" w:w="38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78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Sobrecosto medio de recuperación por lote, ms</w:t>
            </w:r>
          </w:p>
        </w:tc>
        <w:tc>
          <w:tcPr>
            <w:tcW w:type="dxa" w:w="385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426.4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9. Latencia según el primer corte sufrido por el lote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2"/>
        <w:gridCol w:w="876"/>
        <w:gridCol w:w="1251"/>
        <w:gridCol w:w="1251"/>
        <w:gridCol w:w="1251"/>
        <w:gridCol w:w="1502"/>
        <w:gridCol w:w="1505"/>
      </w:tblGrid>
      <w:tr>
        <w:trPr>
          <w:tblHeader/>
        </w:trPr>
        <w:tc>
          <w:tcPr>
            <w:tcW w:type="dxa" w:w="200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Primer corte</w:t>
            </w:r>
          </w:p>
        </w:tc>
        <w:tc>
          <w:tcPr>
            <w:tcW w:type="dxa" w:w="8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Lotes</w:t>
            </w:r>
          </w:p>
        </w:tc>
        <w:tc>
          <w:tcPr>
            <w:tcW w:type="dxa" w:w="125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Media (ms)</w:t>
            </w:r>
          </w:p>
        </w:tc>
        <w:tc>
          <w:tcPr>
            <w:tcW w:type="dxa" w:w="125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 (ms)</w:t>
            </w:r>
          </w:p>
        </w:tc>
        <w:tc>
          <w:tcPr>
            <w:tcW w:type="dxa" w:w="125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Mediana (ms)</w:t>
            </w:r>
          </w:p>
        </w:tc>
        <w:tc>
          <w:tcPr>
            <w:tcW w:type="dxa" w:w="150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Sobrecosto medio (ms)</w:t>
            </w:r>
          </w:p>
        </w:tc>
        <w:tc>
          <w:tcPr>
            <w:tcW w:type="dxa" w:w="15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Duplicados reconocidos</w:t>
            </w:r>
          </w:p>
        </w:tc>
      </w:tr>
      <w:tr>
        <w:trPr>
          <w:cantSplit/>
        </w:trPr>
        <w:tc>
          <w:tcPr>
            <w:tcW w:type="dxa" w:w="20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CORTE_MITAD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2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997.7</w:t>
            </w:r>
          </w:p>
        </w:tc>
        <w:tc>
          <w:tcPr>
            <w:tcW w:type="dxa" w:w="12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295.6</w:t>
            </w:r>
          </w:p>
        </w:tc>
        <w:tc>
          <w:tcPr>
            <w:tcW w:type="dxa" w:w="12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1,015.5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186.1</w:t>
            </w:r>
          </w:p>
        </w:tc>
        <w:tc>
          <w:tcPr>
            <w:tcW w:type="dxa" w:w="15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200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POST_CONFIRMACION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25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1,527.0</w:t>
            </w:r>
          </w:p>
        </w:tc>
        <w:tc>
          <w:tcPr>
            <w:tcW w:type="dxa" w:w="125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322.7</w:t>
            </w:r>
          </w:p>
        </w:tc>
        <w:tc>
          <w:tcPr>
            <w:tcW w:type="dxa" w:w="125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1,362.6</w:t>
            </w:r>
          </w:p>
        </w:tc>
        <w:tc>
          <w:tcPr>
            <w:tcW w:type="dxa" w:w="150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865.1</w:t>
            </w:r>
          </w:p>
        </w:tc>
        <w:tc>
          <w:tcPr>
            <w:tcW w:type="dxa" w:w="150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10,000</w:t>
            </w:r>
          </w:p>
        </w:tc>
      </w:tr>
      <w:tr>
        <w:trPr>
          <w:cantSplit/>
        </w:trPr>
        <w:tc>
          <w:tcPr>
            <w:tcW w:type="dxa" w:w="20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PRE_ENVIO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2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1,034.8</w:t>
            </w:r>
          </w:p>
        </w:tc>
        <w:tc>
          <w:tcPr>
            <w:tcW w:type="dxa" w:w="12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312.9</w:t>
            </w:r>
          </w:p>
        </w:tc>
        <w:tc>
          <w:tcPr>
            <w:tcW w:type="dxa" w:w="12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1,039.2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228.1</w:t>
            </w:r>
          </w:p>
        </w:tc>
        <w:tc>
          <w:tcPr>
            <w:tcW w:type="dxa" w:w="15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Kruskal-Wallis entre tipos de corte: H = 130.71, p = &lt; 0.001. Todos los reenvíos tras un corte post-confirmación (130 casos) fueron reconocidos por evento_id y ninguno generó un movimiento adicional.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9. EP04: latencia según el número de intentos hasta la confirmación</w:t>
      </w:r>
    </w:p>
    <w:p>
      <w:pPr>
        <w:keepNext/>
        <w:jc w:val="center"/>
      </w:pPr>
      <w:r>
        <w:drawing>
          <wp:inline distT="0" distB="0" distL="0" distR="0">
            <wp:extent cx="5905500" cy="3067050"/>
            <wp:effectExtent t="0" r="0" b="0" l="0"/>
            <wp:docPr id="9" name="f07_latencia_por_intentos.png" descr="EP04: latencia según el número de intentos hasta la confirmación" title="EP04: latencia según el número de intentos hasta la confirm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resultados/02_analisis_estadistico/figuras/f07_latencia_por_intentos.png. Elaboración propia.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Operación sin red (EP01)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10. Latencia de registro local sin red (ms)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516"/>
        <w:gridCol w:w="774"/>
        <w:gridCol w:w="774"/>
        <w:gridCol w:w="1376"/>
        <w:gridCol w:w="774"/>
        <w:gridCol w:w="688"/>
        <w:gridCol w:w="774"/>
        <w:gridCol w:w="688"/>
        <w:gridCol w:w="774"/>
        <w:gridCol w:w="607"/>
      </w:tblGrid>
      <w:tr>
        <w:trPr>
          <w:tblHeader/>
        </w:trPr>
        <w:tc>
          <w:tcPr>
            <w:tcW w:type="dxa" w:w="189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51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Media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</w:t>
            </w:r>
          </w:p>
        </w:tc>
        <w:tc>
          <w:tcPr>
            <w:tcW w:type="dxa" w:w="13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IC 95 % media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Mediana</w:t>
            </w:r>
          </w:p>
        </w:tc>
        <w:tc>
          <w:tcPr>
            <w:tcW w:type="dxa" w:w="6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RIQ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P95</w:t>
            </w:r>
          </w:p>
        </w:tc>
        <w:tc>
          <w:tcPr>
            <w:tcW w:type="dxa" w:w="6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Mín.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Máx.</w:t>
            </w:r>
          </w:p>
        </w:tc>
        <w:tc>
          <w:tcPr>
            <w:tcW w:type="dxa" w:w="6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CV %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ANULAR</w:t>
            </w:r>
          </w:p>
        </w:tc>
        <w:tc>
          <w:tcPr>
            <w:tcW w:type="dxa" w:w="5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2,400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1.2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[1.2; 1.2]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1.5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20.9</w:t>
            </w:r>
          </w:p>
        </w:tc>
        <w:tc>
          <w:tcPr>
            <w:tcW w:type="dxa" w:w="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40.7</w:t>
            </w:r>
          </w:p>
        </w:tc>
      </w:tr>
      <w:tr>
        <w:trPr>
          <w:cantSplit/>
        </w:trPr>
        <w:tc>
          <w:tcPr>
            <w:tcW w:type="dxa" w:w="189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OBSERVAR</w:t>
            </w:r>
          </w:p>
        </w:tc>
        <w:tc>
          <w:tcPr>
            <w:tcW w:type="dxa" w:w="51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3,600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1.2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[1.2; 1.2]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1.5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7.6</w:t>
            </w:r>
          </w:p>
        </w:tc>
        <w:tc>
          <w:tcPr>
            <w:tcW w:type="dxa" w:w="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24.2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REASIGNAR</w:t>
            </w:r>
          </w:p>
        </w:tc>
        <w:tc>
          <w:tcPr>
            <w:tcW w:type="dxa" w:w="5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3,000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1.2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[1.2; 1.2]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1.5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10.3</w:t>
            </w:r>
          </w:p>
        </w:tc>
        <w:tc>
          <w:tcPr>
            <w:tcW w:type="dxa" w:w="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26.2</w:t>
            </w:r>
          </w:p>
        </w:tc>
      </w:tr>
      <w:tr>
        <w:trPr>
          <w:cantSplit/>
        </w:trPr>
        <w:tc>
          <w:tcPr>
            <w:tcW w:type="dxa" w:w="189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REGISTRAR</w:t>
            </w:r>
          </w:p>
        </w:tc>
        <w:tc>
          <w:tcPr>
            <w:tcW w:type="dxa" w:w="51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51,000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1.2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[1.2; 1.2]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21.6</w:t>
            </w:r>
          </w:p>
        </w:tc>
        <w:tc>
          <w:tcPr>
            <w:tcW w:type="dxa" w:w="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33.3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TODAS</w:t>
            </w:r>
          </w:p>
        </w:tc>
        <w:tc>
          <w:tcPr>
            <w:tcW w:type="dxa" w:w="5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60,000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1.2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[1.2; 1.2]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1.5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21.6</w:t>
            </w:r>
          </w:p>
        </w:tc>
        <w:tc>
          <w:tcPr>
            <w:tcW w:type="dxa" w:w="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32.9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Las 1,200 sondas de conectividad realizadas durante EP01 resultaron «SIN_RED» en el 100.00 % de los casos, lo que confirma que los registros se hicieron efectivamente sin red. La mediana del registro local fue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1.14 ms</w:t>
      </w:r>
      <w:r>
        <w:rPr>
          <w:rFonts w:ascii="Calibri" w:cs="Calibri" w:eastAsia="Calibri" w:hAnsi="Calibri"/>
          <w:sz w:val="21"/>
          <w:szCs w:val="21"/>
        </w:rPr>
        <w:t xml:space="preserve"> (P95 = 1.54 ms), incluida la escritura durable (synchronous=FULL) del vale, el saldo y el evento en una sola transacción.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Figura 10. EP01: latencia de registro local sin red</w:t>
      </w:r>
    </w:p>
    <w:p>
      <w:pPr>
        <w:keepNext/>
        <w:jc w:val="center"/>
      </w:pPr>
      <w:r>
        <w:drawing>
          <wp:inline distT="0" distB="0" distL="0" distR="0">
            <wp:extent cx="5905500" cy="3057525"/>
            <wp:effectExtent t="0" r="0" b="0" l="0"/>
            <wp:docPr id="10" name="f09_ep01_registro_local.png" descr="EP01: latencia de registro local sin red" title="EP01: latencia de registro local sin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Fuente: resultados/02_analisis_estadistico/figuras/f09_ep01_registro_local.png. Elaboración propia.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Convergencia eventual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11. Tiempo desde la reconexión simultánea hasta la convergencia de las 5 réplicas (ms)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516"/>
        <w:gridCol w:w="774"/>
        <w:gridCol w:w="774"/>
        <w:gridCol w:w="1376"/>
        <w:gridCol w:w="774"/>
        <w:gridCol w:w="688"/>
        <w:gridCol w:w="774"/>
        <w:gridCol w:w="688"/>
        <w:gridCol w:w="774"/>
        <w:gridCol w:w="607"/>
      </w:tblGrid>
      <w:tr>
        <w:trPr>
          <w:tblHeader/>
        </w:trPr>
        <w:tc>
          <w:tcPr>
            <w:tcW w:type="dxa" w:w="189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51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Media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</w:t>
            </w:r>
          </w:p>
        </w:tc>
        <w:tc>
          <w:tcPr>
            <w:tcW w:type="dxa" w:w="13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IC 95 % media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Mediana</w:t>
            </w:r>
          </w:p>
        </w:tc>
        <w:tc>
          <w:tcPr>
            <w:tcW w:type="dxa" w:w="6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RIQ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P95</w:t>
            </w:r>
          </w:p>
        </w:tc>
        <w:tc>
          <w:tcPr>
            <w:tcW w:type="dxa" w:w="6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Mín.</w:t>
            </w:r>
          </w:p>
        </w:tc>
        <w:tc>
          <w:tcPr>
            <w:tcW w:type="dxa" w:w="7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Máx.</w:t>
            </w:r>
          </w:p>
        </w:tc>
        <w:tc>
          <w:tcPr>
            <w:tcW w:type="dxa" w:w="6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CV %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Limpia — convergencia</w:t>
            </w:r>
          </w:p>
        </w:tc>
        <w:tc>
          <w:tcPr>
            <w:tcW w:type="dxa" w:w="5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3,815.2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118.4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[3,771.0; 3,859.4]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3,788.1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177.9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3,968.7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3,624.6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4,172.9</w:t>
            </w:r>
          </w:p>
        </w:tc>
        <w:tc>
          <w:tcPr>
            <w:tcW w:type="dxa" w:w="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189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 cortes — convergencia</w:t>
            </w:r>
          </w:p>
        </w:tc>
        <w:tc>
          <w:tcPr>
            <w:tcW w:type="dxa" w:w="51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4,022.7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103.6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[3,984.0; 4,061.4]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4,037.0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146.8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4,176.1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3,837.5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4,223.7</w:t>
            </w:r>
          </w:p>
        </w:tc>
        <w:tc>
          <w:tcPr>
            <w:tcW w:type="dxa" w:w="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2.6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Limpia — fin del push</w:t>
            </w:r>
          </w:p>
        </w:tc>
        <w:tc>
          <w:tcPr>
            <w:tcW w:type="dxa" w:w="5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2,538.9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102.0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[2,500.8; 2,577.0]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2,538.3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131.8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2,672.8</w:t>
            </w:r>
          </w:p>
        </w:tc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2,390.9</w:t>
            </w:r>
          </w:p>
        </w:tc>
        <w:tc>
          <w:tcPr>
            <w:tcW w:type="dxa" w:w="7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2,848.3</w:t>
            </w:r>
          </w:p>
        </w:tc>
        <w:tc>
          <w:tcPr>
            <w:tcW w:type="dxa" w:w="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189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 cortes — fin del push</w:t>
            </w:r>
          </w:p>
        </w:tc>
        <w:tc>
          <w:tcPr>
            <w:tcW w:type="dxa" w:w="51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2,739.0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95.0</w:t>
            </w:r>
          </w:p>
        </w:tc>
        <w:tc>
          <w:tcPr>
            <w:tcW w:type="dxa" w:w="13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[2,703.5; 2,774.5]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2,745.9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146.4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2,888.9</w:t>
            </w:r>
          </w:p>
        </w:tc>
        <w:tc>
          <w:tcPr>
            <w:tcW w:type="dxa" w:w="6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2,589.0</w:t>
            </w:r>
          </w:p>
        </w:tc>
        <w:tc>
          <w:tcPr>
            <w:tcW w:type="dxa" w:w="77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2,914.1</w:t>
            </w:r>
          </w:p>
        </w:tc>
        <w:tc>
          <w:tcPr>
            <w:tcW w:type="dxa" w:w="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3.5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 cada corrida, el motor CRDT resolvió en promedio 100 actualizaciones concurrentes (eventos con version_vector concurrente con el estado central: anulaciones dobles, reasignaciones y observaciones simultáneas sobre los vales compartidos) sin intervención manual, y se registraron 0 conflictos de hechos físicos. Los saldos de los 360 pares ítem-corrida cumplieron la invariante en 360 casos y coincidieron con el oráculo en 360.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Archivos del análisis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tablas/t01 a t08: tablas de esta sección en CSV.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figuras/f01 a f10: figuras en PNG (150 ppp).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resultados_estadisticos.json: todos los valores calculados, con la precisión completa.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datos_jamovi/: lotes.csv, corridas.csv y pareado_por_repeticion.csv, listos para Jamovi o 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analisis_reproducible.R: reproduce en R base las pruebas de las tablas 1, 5 y 7.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Página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77777"/>
        <w:sz w:val="16"/>
        <w:szCs w:val="16"/>
      </w:rPr>
      <w:t xml:space="preserve">Fase 3b — Análisis estadístico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617275b3aaf1c9024ceb9e60e3ac02523ee7690.png"/><Relationship Id="rId10" Type="http://schemas.openxmlformats.org/officeDocument/2006/relationships/image" Target="media/5b2d9ef78958006e6909d23e497929e000b871ca.png"/><Relationship Id="rId11" Type="http://schemas.openxmlformats.org/officeDocument/2006/relationships/image" Target="media/0b70979b0af3e74f94339e0463251f50ac6d3ff4.png"/><Relationship Id="rId12" Type="http://schemas.openxmlformats.org/officeDocument/2006/relationships/image" Target="media/fc32d298893420767e5ed727ac0c77155ef4fd6a.png"/><Relationship Id="rId13" Type="http://schemas.openxmlformats.org/officeDocument/2006/relationships/image" Target="media/3f74f3ee080c045dbada40ee2e8f9f416cf4bfb6.png"/><Relationship Id="rId14" Type="http://schemas.openxmlformats.org/officeDocument/2006/relationships/image" Target="media/a1719eb4255b537ce95d0c0cae73ec7f5cbe2a16.png"/><Relationship Id="rId15" Type="http://schemas.openxmlformats.org/officeDocument/2006/relationships/image" Target="media/5476e66bf6c499276964ebf49a693cf2e78dd0e3.png"/><Relationship Id="rId16" Type="http://schemas.openxmlformats.org/officeDocument/2006/relationships/image" Target="media/4aaf0acc43a1f6660602d810717b2da317ff2d7b.png"/><Relationship Id="rId17" Type="http://schemas.openxmlformats.org/officeDocument/2006/relationships/image" Target="media/66f0865c632fac711610948c1dc637daea80d722.png"/><Relationship Id="rId18" Type="http://schemas.openxmlformats.org/officeDocument/2006/relationships/image" Target="media/388062c7a8e547e2f6005f55cad8e540ecba27e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3b — Análisis estadístico</dc:title>
  <dc:creator>Príncipe Velásquez, Iván</dc:creator>
  <cp:lastModifiedBy>Un-named</cp:lastModifiedBy>
  <cp:revision>1</cp:revision>
  <dcterms:created xsi:type="dcterms:W3CDTF">2026-10-06T13:10:19.684Z</dcterms:created>
  <dcterms:modified xsi:type="dcterms:W3CDTF">2026-10-06T13:10:19.684Z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