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Calibri" w:cs="Calibri" w:eastAsia="Calibri" w:hAnsi="Calibri"/>
          <w:color w:val="555555"/>
          <w:sz w:val="20"/>
          <w:szCs w:val="20"/>
        </w:rPr>
        <w:t xml:space="preserve">Universidad Nacional Mayor de San Marcos — Facultad de Ingeniería de Sistemas</w:t>
      </w:r>
    </w:p>
    <w:p>
      <w:pPr>
        <w:spacing w:after="200" w:before="600"/>
        <w:jc w:val="center"/>
      </w:pPr>
      <w:r>
        <w:rPr>
          <w:rFonts w:ascii="Calibri" w:cs="Calibri" w:eastAsia="Calibri" w:hAnsi="Calibri"/>
          <w:b/>
          <w:bCs/>
          <w:color w:val="1F3864"/>
          <w:sz w:val="40"/>
          <w:szCs w:val="40"/>
        </w:rPr>
        <w:t xml:space="preserve">Reporte de validación del artefacto</w:t>
      </w:r>
    </w:p>
    <w:p>
      <w:pPr>
        <w:spacing w:after="400"/>
        <w:jc w:val="center"/>
      </w:pPr>
      <w:r>
        <w:rPr>
          <w:rFonts w:ascii="Calibri" w:cs="Calibri" w:eastAsia="Calibri" w:hAnsi="Calibri"/>
          <w:sz w:val="26"/>
          <w:szCs w:val="26"/>
        </w:rPr>
        <w:t xml:space="preserve">Arquitectura de referencia offline-first (ARDPOL) — prototipo funcional</w:t>
      </w:r>
    </w:p>
    <w:p>
      <w:pPr>
        <w:jc w:val="center"/>
      </w:pPr>
      <w:r>
        <w:rPr>
          <w:rFonts w:ascii="Calibri" w:cs="Calibri" w:eastAsia="Calibri" w:hAnsi="Calibri"/>
          <w:i/>
          <w:iCs/>
          <w:sz w:val="22"/>
          <w:szCs w:val="22"/>
        </w:rPr>
        <w:t xml:space="preserve">Fase 4 — Análisis y cierre · Evaluación DSRM (OE5)</w:t>
      </w:r>
    </w:p>
    <w:p>
      <w:pPr>
        <w:spacing w:before="1200"/>
        <w:jc w:val="center"/>
      </w:pPr>
      <w:r>
        <w:rPr>
          <w:rFonts w:ascii="Calibri" w:cs="Calibri" w:eastAsia="Calibri" w:hAnsi="Calibri"/>
          <w:sz w:val="20"/>
          <w:szCs w:val="20"/>
        </w:rPr>
        <w:t xml:space="preserve">Tesis: Diseño y prototipado de una arquitectura de referencia offline-first para la gestión logística de inventarios en empresas con operaciones en zonas de conectividad limitada: el caso de Marco Peruana</w:t>
      </w:r>
    </w:p>
    <w:p>
      <w:pPr>
        <w:spacing w:before="200"/>
        <w:jc w:val="center"/>
      </w:pPr>
      <w:r>
        <w:rPr>
          <w:rFonts w:ascii="Calibri" w:cs="Calibri" w:eastAsia="Calibri" w:hAnsi="Calibri"/>
          <w:sz w:val="20"/>
          <w:szCs w:val="20"/>
        </w:rPr>
        <w:t xml:space="preserve">Autor: Príncipe Velásquez, Iván</w:t>
      </w:r>
    </w:p>
    <w:p>
      <w:pPr>
        <w:spacing w:before="200"/>
        <w:jc w:val="center"/>
      </w:pPr>
      <w:r>
        <w:rPr>
          <w:rFonts w:ascii="Calibri" w:cs="Calibri" w:eastAsia="Calibri" w:hAnsi="Calibri"/>
          <w:sz w:val="20"/>
          <w:szCs w:val="20"/>
        </w:rPr>
        <w:t xml:space="preserve">Fecha de generación: 2026-10-06</w:t>
      </w:r>
    </w:p>
    <w:p>
      <w:r>
        <w:br w:type="page"/>
      </w:r>
    </w:p>
    <w:p>
      <w:pPr>
        <w:pStyle w:val="Heading1"/>
        <w:spacing w:after="140" w:before="280"/>
      </w:pPr>
      <w:r>
        <w:rPr>
          <w:rFonts w:ascii="Calibri" w:cs="Calibri" w:eastAsia="Calibri" w:hAnsi="Calibri"/>
          <w:b/>
          <w:bCs/>
          <w:color w:val="1F3864"/>
          <w:sz w:val="28"/>
          <w:szCs w:val="28"/>
        </w:rPr>
        <w:t xml:space="preserve">1. Resumen ejecutivo</w:t>
      </w:r>
    </w:p>
    <w:p>
      <w:pPr>
        <w:spacing w:after="120" w:line="276"/>
        <w:jc w:val="both"/>
      </w:pPr>
      <w:r>
        <w:rPr>
          <w:rFonts w:ascii="Calibri" w:cs="Calibri" w:eastAsia="Calibri" w:hAnsi="Calibri"/>
          <w:sz w:val="21"/>
          <w:szCs w:val="21"/>
        </w:rPr>
        <w:t xml:space="preserve">Se evaluó experimentalmente el prototipo de la arquitectura offline-first mediante </w:t>
      </w:r>
      <w:r>
        <w:rPr>
          <w:rFonts w:ascii="Calibri" w:cs="Calibri" w:eastAsia="Calibri" w:hAnsi="Calibri"/>
          <w:b/>
          <w:bCs/>
          <w:sz w:val="21"/>
          <w:szCs w:val="21"/>
        </w:rPr>
        <w:t xml:space="preserve">60 corridas de laboratorio</w:t>
      </w:r>
      <w:r>
        <w:rPr>
          <w:rFonts w:ascii="Calibri" w:cs="Calibri" w:eastAsia="Calibri" w:hAnsi="Calibri"/>
          <w:sz w:val="21"/>
          <w:szCs w:val="21"/>
        </w:rPr>
        <w:t xml:space="preserve"> (30 con red limpia y 30 con cortes REST inyectados), 60,000 vales transmitidos desde 5 nodos de campo ejecutados como procesos paralelos y 600 lotes de 100 vales. </w:t>
      </w:r>
      <w:r>
        <w:rPr>
          <w:rFonts w:ascii="Calibri" w:cs="Calibri" w:eastAsia="Calibri" w:hAnsi="Calibri"/>
          <w:b/>
          <w:bCs/>
          <w:sz w:val="21"/>
          <w:szCs w:val="21"/>
        </w:rPr>
        <w:t xml:space="preserve">El artefacto cumple las cuatro metas del plan de validación en el ambiente de laboratorio.</w:t>
      </w:r>
      <w:r>
        <w:rPr>
          <w:rFonts w:ascii="Calibri" w:cs="Calibri" w:eastAsia="Calibri" w:hAnsi="Calibri"/>
          <w:sz w:val="21"/>
          <w:szCs w:val="21"/>
        </w:rPr>
        <w:t xml:space="preserve"> La integridad, la trazabilidad y la disponibilidad local fueron del 100 % en todas las corridas (límite inferior del IC 95 % ≥ 99.993 %), y el tiempo medio por lote de 100 vales fue de 1,011 ms con red limpia y de 1,186 ms con cortes, significativamente menor que la meta de 2,500 ms (p &lt; 0.001).</w:t>
      </w:r>
    </w:p>
    <w:p>
      <w:pPr>
        <w:keepNext/>
        <w:spacing w:after="80" w:before="200"/>
      </w:pPr>
      <w:r>
        <w:rPr>
          <w:rFonts w:ascii="Calibri" w:cs="Calibri" w:eastAsia="Calibri" w:hAnsi="Calibri"/>
          <w:b/>
          <w:bCs/>
          <w:i/>
          <w:iCs/>
          <w:sz w:val="19"/>
          <w:szCs w:val="19"/>
        </w:rPr>
        <w:t xml:space="preserve">Tabla 1. Cumplimiento de las metas del plan (Tabla 1 del Plan de Validación)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9"/>
        <w:gridCol w:w="1865"/>
        <w:gridCol w:w="1139"/>
        <w:gridCol w:w="2694"/>
        <w:gridCol w:w="1865"/>
        <w:gridCol w:w="936"/>
      </w:tblGrid>
      <w:tr>
        <w:trPr>
          <w:tblHeader/>
        </w:trPr>
        <w:tc>
          <w:tcPr>
            <w:tcW w:type="dxa" w:w="1139"/>
            <w:shd w:fill="1F3864" w:color="auto" w:val="clear"/>
            <w:tcMar>
              <w:top w:type="dxa" w:w="50"/>
              <w:left w:type="dxa" w:w="80"/>
              <w:bottom w:type="dxa" w:w="50"/>
              <w:right w:type="dxa" w:w="80"/>
            </w:tcMar>
            <w:vAlign w:val="center"/>
          </w:tcPr>
          <w:p>
            <w:pPr>
              <w:jc w:val="left"/>
            </w:pPr>
            <w:r>
              <w:rPr>
                <w:rFonts w:ascii="Calibri" w:cs="Calibri" w:eastAsia="Calibri" w:hAnsi="Calibri"/>
                <w:b/>
                <w:bCs/>
                <w:color w:val="FFFFFF"/>
                <w:sz w:val="15"/>
                <w:szCs w:val="15"/>
              </w:rPr>
              <w:t xml:space="preserve">Dimensión</w:t>
            </w:r>
          </w:p>
        </w:tc>
        <w:tc>
          <w:tcPr>
            <w:tcW w:type="dxa" w:w="1865"/>
            <w:shd w:fill="1F3864" w:color="auto" w:val="clear"/>
            <w:tcMar>
              <w:top w:type="dxa" w:w="50"/>
              <w:left w:type="dxa" w:w="80"/>
              <w:bottom w:type="dxa" w:w="50"/>
              <w:right w:type="dxa" w:w="80"/>
            </w:tcMar>
            <w:vAlign w:val="center"/>
          </w:tcPr>
          <w:p>
            <w:pPr>
              <w:jc w:val="left"/>
            </w:pPr>
            <w:r>
              <w:rPr>
                <w:rFonts w:ascii="Calibri" w:cs="Calibri" w:eastAsia="Calibri" w:hAnsi="Calibri"/>
                <w:b/>
                <w:bCs/>
                <w:color w:val="FFFFFF"/>
                <w:sz w:val="15"/>
                <w:szCs w:val="15"/>
              </w:rPr>
              <w:t xml:space="preserve">Indicador</w:t>
            </w:r>
          </w:p>
        </w:tc>
        <w:tc>
          <w:tcPr>
            <w:tcW w:type="dxa" w:w="1139"/>
            <w:shd w:fill="1F3864" w:color="auto" w:val="clear"/>
            <w:tcMar>
              <w:top w:type="dxa" w:w="50"/>
              <w:left w:type="dxa" w:w="80"/>
              <w:bottom w:type="dxa" w:w="50"/>
              <w:right w:type="dxa" w:w="80"/>
            </w:tcMar>
            <w:vAlign w:val="center"/>
          </w:tcPr>
          <w:p>
            <w:pPr>
              <w:jc w:val="center"/>
            </w:pPr>
            <w:r>
              <w:rPr>
                <w:rFonts w:ascii="Calibri" w:cs="Calibri" w:eastAsia="Calibri" w:hAnsi="Calibri"/>
                <w:b/>
                <w:bCs/>
                <w:color w:val="FFFFFF"/>
                <w:sz w:val="15"/>
                <w:szCs w:val="15"/>
              </w:rPr>
              <w:t xml:space="preserve">Meta</w:t>
            </w:r>
          </w:p>
        </w:tc>
        <w:tc>
          <w:tcPr>
            <w:tcW w:type="dxa" w:w="2694"/>
            <w:shd w:fill="1F3864" w:color="auto" w:val="clear"/>
            <w:tcMar>
              <w:top w:type="dxa" w:w="50"/>
              <w:left w:type="dxa" w:w="80"/>
              <w:bottom w:type="dxa" w:w="50"/>
              <w:right w:type="dxa" w:w="80"/>
            </w:tcMar>
            <w:vAlign w:val="center"/>
          </w:tcPr>
          <w:p>
            <w:pPr>
              <w:jc w:val="left"/>
            </w:pPr>
            <w:r>
              <w:rPr>
                <w:rFonts w:ascii="Calibri" w:cs="Calibri" w:eastAsia="Calibri" w:hAnsi="Calibri"/>
                <w:b/>
                <w:bCs/>
                <w:color w:val="FFFFFF"/>
                <w:sz w:val="15"/>
                <w:szCs w:val="15"/>
              </w:rPr>
              <w:t xml:space="preserve">Resultado (IC 95 %)</w:t>
            </w:r>
          </w:p>
        </w:tc>
        <w:tc>
          <w:tcPr>
            <w:tcW w:type="dxa" w:w="1865"/>
            <w:shd w:fill="1F3864" w:color="auto" w:val="clear"/>
            <w:tcMar>
              <w:top w:type="dxa" w:w="50"/>
              <w:left w:type="dxa" w:w="80"/>
              <w:bottom w:type="dxa" w:w="50"/>
              <w:right w:type="dxa" w:w="80"/>
            </w:tcMar>
            <w:vAlign w:val="center"/>
          </w:tcPr>
          <w:p>
            <w:pPr>
              <w:jc w:val="left"/>
            </w:pPr>
            <w:r>
              <w:rPr>
                <w:rFonts w:ascii="Calibri" w:cs="Calibri" w:eastAsia="Calibri" w:hAnsi="Calibri"/>
                <w:b/>
                <w:bCs/>
                <w:color w:val="FFFFFF"/>
                <w:sz w:val="15"/>
                <w:szCs w:val="15"/>
              </w:rPr>
              <w:t xml:space="preserve">Base estadística</w:t>
            </w:r>
          </w:p>
        </w:tc>
        <w:tc>
          <w:tcPr>
            <w:tcW w:type="dxa" w:w="936"/>
            <w:shd w:fill="1F3864" w:color="auto" w:val="clear"/>
            <w:tcMar>
              <w:top w:type="dxa" w:w="50"/>
              <w:left w:type="dxa" w:w="80"/>
              <w:bottom w:type="dxa" w:w="50"/>
              <w:right w:type="dxa" w:w="80"/>
            </w:tcMar>
            <w:vAlign w:val="center"/>
          </w:tcPr>
          <w:p>
            <w:pPr>
              <w:jc w:val="center"/>
            </w:pPr>
            <w:r>
              <w:rPr>
                <w:rFonts w:ascii="Calibri" w:cs="Calibri" w:eastAsia="Calibri" w:hAnsi="Calibri"/>
                <w:b/>
                <w:bCs/>
                <w:color w:val="FFFFFF"/>
                <w:sz w:val="15"/>
                <w:szCs w:val="15"/>
              </w:rPr>
              <w:t xml:space="preserve">Veredicto</w:t>
            </w:r>
          </w:p>
        </w:tc>
      </w:tr>
      <w:tr>
        <w:trPr>
          <w:cantSplit/>
        </w:trPr>
        <w:tc>
          <w:tcPr>
            <w:tcW w:type="dxa" w:w="1139"/>
            <w:tcMar>
              <w:top w:type="dxa" w:w="50"/>
              <w:left w:type="dxa" w:w="80"/>
              <w:bottom w:type="dxa" w:w="50"/>
              <w:right w:type="dxa" w:w="80"/>
            </w:tcMar>
            <w:vAlign w:val="center"/>
          </w:tcPr>
          <w:p>
            <w:pPr>
              <w:jc w:val="left"/>
            </w:pPr>
            <w:r>
              <w:rPr>
                <w:rFonts w:ascii="Calibri" w:cs="Calibri" w:eastAsia="Calibri" w:hAnsi="Calibri"/>
                <w:b w:val="false"/>
                <w:bCs w:val="false"/>
                <w:sz w:val="15"/>
                <w:szCs w:val="15"/>
              </w:rPr>
              <w:t xml:space="preserve">Integridad</w:t>
            </w:r>
          </w:p>
        </w:tc>
        <w:tc>
          <w:tcPr>
            <w:tcW w:type="dxa" w:w="1865"/>
            <w:tcMar>
              <w:top w:type="dxa" w:w="50"/>
              <w:left w:type="dxa" w:w="80"/>
              <w:bottom w:type="dxa" w:w="50"/>
              <w:right w:type="dxa" w:w="80"/>
            </w:tcMar>
            <w:vAlign w:val="center"/>
          </w:tcPr>
          <w:p>
            <w:pPr>
              <w:jc w:val="left"/>
            </w:pPr>
            <w:r>
              <w:rPr>
                <w:rFonts w:ascii="Calibri" w:cs="Calibri" w:eastAsia="Calibri" w:hAnsi="Calibri"/>
                <w:b w:val="false"/>
                <w:bCs w:val="false"/>
                <w:sz w:val="15"/>
                <w:szCs w:val="15"/>
              </w:rPr>
              <w:t xml:space="preserve">Id = conciliados sin error / transmitidos</w:t>
            </w:r>
          </w:p>
        </w:tc>
        <w:tc>
          <w:tcPr>
            <w:tcW w:type="dxa" w:w="1139"/>
            <w:tcMar>
              <w:top w:type="dxa" w:w="50"/>
              <w:left w:type="dxa" w:w="80"/>
              <w:bottom w:type="dxa" w:w="50"/>
              <w:right w:type="dxa" w:w="80"/>
            </w:tcMar>
            <w:vAlign w:val="center"/>
          </w:tcPr>
          <w:p>
            <w:pPr>
              <w:jc w:val="center"/>
            </w:pPr>
            <w:r>
              <w:rPr>
                <w:rFonts w:ascii="Calibri" w:cs="Calibri" w:eastAsia="Calibri" w:hAnsi="Calibri"/>
                <w:b w:val="false"/>
                <w:bCs w:val="false"/>
                <w:sz w:val="15"/>
                <w:szCs w:val="15"/>
              </w:rPr>
              <w:t xml:space="preserve">100 %</w:t>
            </w:r>
          </w:p>
        </w:tc>
        <w:tc>
          <w:tcPr>
            <w:tcW w:type="dxa" w:w="2694"/>
            <w:tcMar>
              <w:top w:type="dxa" w:w="50"/>
              <w:left w:type="dxa" w:w="80"/>
              <w:bottom w:type="dxa" w:w="50"/>
              <w:right w:type="dxa" w:w="80"/>
            </w:tcMar>
            <w:vAlign w:val="center"/>
          </w:tcPr>
          <w:p>
            <w:pPr>
              <w:jc w:val="left"/>
            </w:pPr>
            <w:r>
              <w:rPr>
                <w:rFonts w:ascii="Calibri" w:cs="Calibri" w:eastAsia="Calibri" w:hAnsi="Calibri"/>
                <w:b w:val="false"/>
                <w:bCs w:val="false"/>
                <w:sz w:val="15"/>
                <w:szCs w:val="15"/>
              </w:rPr>
              <w:t xml:space="preserve">100.00 % (60,000/60,000; IC inf. 99.994 %)</w:t>
            </w:r>
          </w:p>
        </w:tc>
        <w:tc>
          <w:tcPr>
            <w:tcW w:type="dxa" w:w="1865"/>
            <w:tcMar>
              <w:top w:type="dxa" w:w="50"/>
              <w:left w:type="dxa" w:w="80"/>
              <w:bottom w:type="dxa" w:w="50"/>
              <w:right w:type="dxa" w:w="80"/>
            </w:tcMar>
            <w:vAlign w:val="center"/>
          </w:tcPr>
          <w:p>
            <w:pPr>
              <w:jc w:val="left"/>
            </w:pPr>
            <w:r>
              <w:rPr>
                <w:rFonts w:ascii="Calibri" w:cs="Calibri" w:eastAsia="Calibri" w:hAnsi="Calibri"/>
                <w:b w:val="false"/>
                <w:bCs w:val="false"/>
                <w:sz w:val="15"/>
                <w:szCs w:val="15"/>
              </w:rPr>
              <w:t xml:space="preserve">Clopper-Pearson exacto</w:t>
            </w:r>
          </w:p>
        </w:tc>
        <w:tc>
          <w:tcPr>
            <w:tcW w:type="dxa" w:w="936"/>
            <w:tcMar>
              <w:top w:type="dxa" w:w="50"/>
              <w:left w:type="dxa" w:w="80"/>
              <w:bottom w:type="dxa" w:w="50"/>
              <w:right w:type="dxa" w:w="80"/>
            </w:tcMar>
            <w:vAlign w:val="center"/>
          </w:tcPr>
          <w:p>
            <w:pPr>
              <w:jc w:val="center"/>
            </w:pPr>
            <w:r>
              <w:rPr>
                <w:rFonts w:ascii="Calibri" w:cs="Calibri" w:eastAsia="Calibri" w:hAnsi="Calibri"/>
                <w:b w:val="false"/>
                <w:bCs w:val="false"/>
                <w:sz w:val="15"/>
                <w:szCs w:val="15"/>
              </w:rPr>
              <w:t xml:space="preserve">Cumple</w:t>
            </w:r>
          </w:p>
        </w:tc>
      </w:tr>
      <w:tr>
        <w:trPr>
          <w:cantSplit/>
        </w:trPr>
        <w:tc>
          <w:tcPr>
            <w:tcW w:type="dxa" w:w="1139"/>
            <w:shd w:fill="EEF3FA" w:color="auto" w:val="clear"/>
            <w:tcMar>
              <w:top w:type="dxa" w:w="50"/>
              <w:left w:type="dxa" w:w="80"/>
              <w:bottom w:type="dxa" w:w="50"/>
              <w:right w:type="dxa" w:w="80"/>
            </w:tcMar>
            <w:vAlign w:val="center"/>
          </w:tcPr>
          <w:p>
            <w:pPr>
              <w:jc w:val="left"/>
            </w:pPr>
            <w:r>
              <w:rPr>
                <w:rFonts w:ascii="Calibri" w:cs="Calibri" w:eastAsia="Calibri" w:hAnsi="Calibri"/>
                <w:b w:val="false"/>
                <w:bCs w:val="false"/>
                <w:sz w:val="15"/>
                <w:szCs w:val="15"/>
              </w:rPr>
              <w:t xml:space="preserve">Rendimiento</w:t>
            </w:r>
          </w:p>
        </w:tc>
        <w:tc>
          <w:tcPr>
            <w:tcW w:type="dxa" w:w="1865"/>
            <w:shd w:fill="EEF3FA" w:color="auto" w:val="clear"/>
            <w:tcMar>
              <w:top w:type="dxa" w:w="50"/>
              <w:left w:type="dxa" w:w="80"/>
              <w:bottom w:type="dxa" w:w="50"/>
              <w:right w:type="dxa" w:w="80"/>
            </w:tcMar>
            <w:vAlign w:val="center"/>
          </w:tcPr>
          <w:p>
            <w:pPr>
              <w:jc w:val="left"/>
            </w:pPr>
            <w:r>
              <w:rPr>
                <w:rFonts w:ascii="Calibri" w:cs="Calibri" w:eastAsia="Calibri" w:hAnsi="Calibri"/>
                <w:b w:val="false"/>
                <w:bCs w:val="false"/>
                <w:sz w:val="15"/>
                <w:szCs w:val="15"/>
              </w:rPr>
              <w:t xml:space="preserve">Tp = tiempo de conciliación del lote</w:t>
            </w:r>
          </w:p>
        </w:tc>
        <w:tc>
          <w:tcPr>
            <w:tcW w:type="dxa" w:w="1139"/>
            <w:shd w:fill="EEF3FA" w:color="auto" w:val="clear"/>
            <w:tcMar>
              <w:top w:type="dxa" w:w="50"/>
              <w:left w:type="dxa" w:w="80"/>
              <w:bottom w:type="dxa" w:w="50"/>
              <w:right w:type="dxa" w:w="80"/>
            </w:tcMar>
            <w:vAlign w:val="center"/>
          </w:tcPr>
          <w:p>
            <w:pPr>
              <w:jc w:val="center"/>
            </w:pPr>
            <w:r>
              <w:rPr>
                <w:rFonts w:ascii="Calibri" w:cs="Calibri" w:eastAsia="Calibri" w:hAnsi="Calibri"/>
                <w:b w:val="false"/>
                <w:bCs w:val="false"/>
                <w:sz w:val="15"/>
                <w:szCs w:val="15"/>
              </w:rPr>
              <w:t xml:space="preserve">&lt; 2.5 s por lote de 100 vales</w:t>
            </w:r>
          </w:p>
        </w:tc>
        <w:tc>
          <w:tcPr>
            <w:tcW w:type="dxa" w:w="2694"/>
            <w:shd w:fill="EEF3FA" w:color="auto" w:val="clear"/>
            <w:tcMar>
              <w:top w:type="dxa" w:w="50"/>
              <w:left w:type="dxa" w:w="80"/>
              <w:bottom w:type="dxa" w:w="50"/>
              <w:right w:type="dxa" w:w="80"/>
            </w:tcMar>
            <w:vAlign w:val="center"/>
          </w:tcPr>
          <w:p>
            <w:pPr>
              <w:jc w:val="left"/>
            </w:pPr>
            <w:r>
              <w:rPr>
                <w:rFonts w:ascii="Calibri" w:cs="Calibri" w:eastAsia="Calibri" w:hAnsi="Calibri"/>
                <w:b w:val="false"/>
                <w:bCs w:val="false"/>
                <w:sz w:val="15"/>
                <w:szCs w:val="15"/>
              </w:rPr>
              <w:t xml:space="preserve">Limpia 1,011 ms (lím. sup. 95 % 1,023); con cortes 1,186 ms (lím. sup. 1,204); máx. observado 2,365 ms</w:t>
            </w:r>
          </w:p>
        </w:tc>
        <w:tc>
          <w:tcPr>
            <w:tcW w:type="dxa" w:w="1865"/>
            <w:shd w:fill="EEF3FA" w:color="auto" w:val="clear"/>
            <w:tcMar>
              <w:top w:type="dxa" w:w="50"/>
              <w:left w:type="dxa" w:w="80"/>
              <w:bottom w:type="dxa" w:w="50"/>
              <w:right w:type="dxa" w:w="80"/>
            </w:tcMar>
            <w:vAlign w:val="center"/>
          </w:tcPr>
          <w:p>
            <w:pPr>
              <w:jc w:val="left"/>
            </w:pPr>
            <w:r>
              <w:rPr>
                <w:rFonts w:ascii="Calibri" w:cs="Calibri" w:eastAsia="Calibri" w:hAnsi="Calibri"/>
                <w:b w:val="false"/>
                <w:bCs w:val="false"/>
                <w:sz w:val="15"/>
                <w:szCs w:val="15"/>
              </w:rPr>
              <w:t xml:space="preserve">t unilateral y Wilcoxon (n = 30 corridas y n = 300 lotes por condición); p &lt; 0.001</w:t>
            </w:r>
          </w:p>
        </w:tc>
        <w:tc>
          <w:tcPr>
            <w:tcW w:type="dxa" w:w="936"/>
            <w:shd w:fill="EEF3FA" w:color="auto" w:val="clear"/>
            <w:tcMar>
              <w:top w:type="dxa" w:w="50"/>
              <w:left w:type="dxa" w:w="80"/>
              <w:bottom w:type="dxa" w:w="50"/>
              <w:right w:type="dxa" w:w="80"/>
            </w:tcMar>
            <w:vAlign w:val="center"/>
          </w:tcPr>
          <w:p>
            <w:pPr>
              <w:jc w:val="center"/>
            </w:pPr>
            <w:r>
              <w:rPr>
                <w:rFonts w:ascii="Calibri" w:cs="Calibri" w:eastAsia="Calibri" w:hAnsi="Calibri"/>
                <w:b w:val="false"/>
                <w:bCs w:val="false"/>
                <w:sz w:val="15"/>
                <w:szCs w:val="15"/>
              </w:rPr>
              <w:t xml:space="preserve">Cumple</w:t>
            </w:r>
          </w:p>
        </w:tc>
      </w:tr>
      <w:tr>
        <w:trPr>
          <w:cantSplit/>
        </w:trPr>
        <w:tc>
          <w:tcPr>
            <w:tcW w:type="dxa" w:w="1139"/>
            <w:tcMar>
              <w:top w:type="dxa" w:w="50"/>
              <w:left w:type="dxa" w:w="80"/>
              <w:bottom w:type="dxa" w:w="50"/>
              <w:right w:type="dxa" w:w="80"/>
            </w:tcMar>
            <w:vAlign w:val="center"/>
          </w:tcPr>
          <w:p>
            <w:pPr>
              <w:jc w:val="left"/>
            </w:pPr>
            <w:r>
              <w:rPr>
                <w:rFonts w:ascii="Calibri" w:cs="Calibri" w:eastAsia="Calibri" w:hAnsi="Calibri"/>
                <w:b w:val="false"/>
                <w:bCs w:val="false"/>
                <w:sz w:val="15"/>
                <w:szCs w:val="15"/>
              </w:rPr>
              <w:t xml:space="preserve">Trazabilidad</w:t>
            </w:r>
          </w:p>
        </w:tc>
        <w:tc>
          <w:tcPr>
            <w:tcW w:type="dxa" w:w="1865"/>
            <w:tcMar>
              <w:top w:type="dxa" w:w="50"/>
              <w:left w:type="dxa" w:w="80"/>
              <w:bottom w:type="dxa" w:w="50"/>
              <w:right w:type="dxa" w:w="80"/>
            </w:tcMar>
            <w:vAlign w:val="center"/>
          </w:tcPr>
          <w:p>
            <w:pPr>
              <w:jc w:val="left"/>
            </w:pPr>
            <w:r>
              <w:rPr>
                <w:rFonts w:ascii="Calibri" w:cs="Calibri" w:eastAsia="Calibri" w:hAnsi="Calibri"/>
                <w:b w:val="false"/>
                <w:bCs w:val="false"/>
                <w:sz w:val="15"/>
                <w:szCs w:val="15"/>
              </w:rPr>
              <w:t xml:space="preserve">Tr = movimientos con registro inmutable / total</w:t>
            </w:r>
          </w:p>
        </w:tc>
        <w:tc>
          <w:tcPr>
            <w:tcW w:type="dxa" w:w="1139"/>
            <w:tcMar>
              <w:top w:type="dxa" w:w="50"/>
              <w:left w:type="dxa" w:w="80"/>
              <w:bottom w:type="dxa" w:w="50"/>
              <w:right w:type="dxa" w:w="80"/>
            </w:tcMar>
            <w:vAlign w:val="center"/>
          </w:tcPr>
          <w:p>
            <w:pPr>
              <w:jc w:val="center"/>
            </w:pPr>
            <w:r>
              <w:rPr>
                <w:rFonts w:ascii="Calibri" w:cs="Calibri" w:eastAsia="Calibri" w:hAnsi="Calibri"/>
                <w:b w:val="false"/>
                <w:bCs w:val="false"/>
                <w:sz w:val="15"/>
                <w:szCs w:val="15"/>
              </w:rPr>
              <w:t xml:space="preserve">100 %</w:t>
            </w:r>
          </w:p>
        </w:tc>
        <w:tc>
          <w:tcPr>
            <w:tcW w:type="dxa" w:w="2694"/>
            <w:tcMar>
              <w:top w:type="dxa" w:w="50"/>
              <w:left w:type="dxa" w:w="80"/>
              <w:bottom w:type="dxa" w:w="50"/>
              <w:right w:type="dxa" w:w="80"/>
            </w:tcMar>
            <w:vAlign w:val="center"/>
          </w:tcPr>
          <w:p>
            <w:pPr>
              <w:jc w:val="left"/>
            </w:pPr>
            <w:r>
              <w:rPr>
                <w:rFonts w:ascii="Calibri" w:cs="Calibri" w:eastAsia="Calibri" w:hAnsi="Calibri"/>
                <w:b w:val="false"/>
                <w:bCs w:val="false"/>
                <w:sz w:val="15"/>
                <w:szCs w:val="15"/>
              </w:rPr>
              <w:t xml:space="preserve">100.00 % (55,800/55,800; IC inf. 99.993 %)</w:t>
            </w:r>
          </w:p>
        </w:tc>
        <w:tc>
          <w:tcPr>
            <w:tcW w:type="dxa" w:w="1865"/>
            <w:tcMar>
              <w:top w:type="dxa" w:w="50"/>
              <w:left w:type="dxa" w:w="80"/>
              <w:bottom w:type="dxa" w:w="50"/>
              <w:right w:type="dxa" w:w="80"/>
            </w:tcMar>
            <w:vAlign w:val="center"/>
          </w:tcPr>
          <w:p>
            <w:pPr>
              <w:jc w:val="left"/>
            </w:pPr>
            <w:r>
              <w:rPr>
                <w:rFonts w:ascii="Calibri" w:cs="Calibri" w:eastAsia="Calibri" w:hAnsi="Calibri"/>
                <w:b w:val="false"/>
                <w:bCs w:val="false"/>
                <w:sz w:val="15"/>
                <w:szCs w:val="15"/>
              </w:rPr>
              <w:t xml:space="preserve">Clopper-Pearson exacto</w:t>
            </w:r>
          </w:p>
        </w:tc>
        <w:tc>
          <w:tcPr>
            <w:tcW w:type="dxa" w:w="936"/>
            <w:tcMar>
              <w:top w:type="dxa" w:w="50"/>
              <w:left w:type="dxa" w:w="80"/>
              <w:bottom w:type="dxa" w:w="50"/>
              <w:right w:type="dxa" w:w="80"/>
            </w:tcMar>
            <w:vAlign w:val="center"/>
          </w:tcPr>
          <w:p>
            <w:pPr>
              <w:jc w:val="center"/>
            </w:pPr>
            <w:r>
              <w:rPr>
                <w:rFonts w:ascii="Calibri" w:cs="Calibri" w:eastAsia="Calibri" w:hAnsi="Calibri"/>
                <w:b w:val="false"/>
                <w:bCs w:val="false"/>
                <w:sz w:val="15"/>
                <w:szCs w:val="15"/>
              </w:rPr>
              <w:t xml:space="preserve">Cumple</w:t>
            </w:r>
          </w:p>
        </w:tc>
      </w:tr>
      <w:tr>
        <w:trPr>
          <w:cantSplit/>
        </w:trPr>
        <w:tc>
          <w:tcPr>
            <w:tcW w:type="dxa" w:w="1139"/>
            <w:shd w:fill="EEF3FA" w:color="auto" w:val="clear"/>
            <w:tcMar>
              <w:top w:type="dxa" w:w="50"/>
              <w:left w:type="dxa" w:w="80"/>
              <w:bottom w:type="dxa" w:w="50"/>
              <w:right w:type="dxa" w:w="80"/>
            </w:tcMar>
            <w:vAlign w:val="center"/>
          </w:tcPr>
          <w:p>
            <w:pPr>
              <w:jc w:val="left"/>
            </w:pPr>
            <w:r>
              <w:rPr>
                <w:rFonts w:ascii="Calibri" w:cs="Calibri" w:eastAsia="Calibri" w:hAnsi="Calibri"/>
                <w:b w:val="false"/>
                <w:bCs w:val="false"/>
                <w:sz w:val="15"/>
                <w:szCs w:val="15"/>
              </w:rPr>
              <w:t xml:space="preserve">Operatividad</w:t>
            </w:r>
          </w:p>
        </w:tc>
        <w:tc>
          <w:tcPr>
            <w:tcW w:type="dxa" w:w="1865"/>
            <w:shd w:fill="EEF3FA" w:color="auto" w:val="clear"/>
            <w:tcMar>
              <w:top w:type="dxa" w:w="50"/>
              <w:left w:type="dxa" w:w="80"/>
              <w:bottom w:type="dxa" w:w="50"/>
              <w:right w:type="dxa" w:w="80"/>
            </w:tcMar>
            <w:vAlign w:val="center"/>
          </w:tcPr>
          <w:p>
            <w:pPr>
              <w:jc w:val="left"/>
            </w:pPr>
            <w:r>
              <w:rPr>
                <w:rFonts w:ascii="Calibri" w:cs="Calibri" w:eastAsia="Calibri" w:hAnsi="Calibri"/>
                <w:b w:val="false"/>
                <w:bCs w:val="false"/>
                <w:sz w:val="15"/>
                <w:szCs w:val="15"/>
              </w:rPr>
              <w:t xml:space="preserve">Do = registros offline exitosos / intentos</w:t>
            </w:r>
          </w:p>
        </w:tc>
        <w:tc>
          <w:tcPr>
            <w:tcW w:type="dxa" w:w="1139"/>
            <w:shd w:fill="EEF3FA" w:color="auto" w:val="clear"/>
            <w:tcMar>
              <w:top w:type="dxa" w:w="50"/>
              <w:left w:type="dxa" w:w="80"/>
              <w:bottom w:type="dxa" w:w="50"/>
              <w:right w:type="dxa" w:w="80"/>
            </w:tcMar>
            <w:vAlign w:val="center"/>
          </w:tcPr>
          <w:p>
            <w:pPr>
              <w:jc w:val="center"/>
            </w:pPr>
            <w:r>
              <w:rPr>
                <w:rFonts w:ascii="Calibri" w:cs="Calibri" w:eastAsia="Calibri" w:hAnsi="Calibri"/>
                <w:b w:val="false"/>
                <w:bCs w:val="false"/>
                <w:sz w:val="15"/>
                <w:szCs w:val="15"/>
              </w:rPr>
              <w:t xml:space="preserve">100 %</w:t>
            </w:r>
          </w:p>
        </w:tc>
        <w:tc>
          <w:tcPr>
            <w:tcW w:type="dxa" w:w="2694"/>
            <w:shd w:fill="EEF3FA" w:color="auto" w:val="clear"/>
            <w:tcMar>
              <w:top w:type="dxa" w:w="50"/>
              <w:left w:type="dxa" w:w="80"/>
              <w:bottom w:type="dxa" w:w="50"/>
              <w:right w:type="dxa" w:w="80"/>
            </w:tcMar>
            <w:vAlign w:val="center"/>
          </w:tcPr>
          <w:p>
            <w:pPr>
              <w:jc w:val="left"/>
            </w:pPr>
            <w:r>
              <w:rPr>
                <w:rFonts w:ascii="Calibri" w:cs="Calibri" w:eastAsia="Calibri" w:hAnsi="Calibri"/>
                <w:b w:val="false"/>
                <w:bCs w:val="false"/>
                <w:sz w:val="15"/>
                <w:szCs w:val="15"/>
              </w:rPr>
              <w:t xml:space="preserve">100.00 % (60,000/60,000; IC inf. 99.994 %)</w:t>
            </w:r>
          </w:p>
        </w:tc>
        <w:tc>
          <w:tcPr>
            <w:tcW w:type="dxa" w:w="1865"/>
            <w:shd w:fill="EEF3FA" w:color="auto" w:val="clear"/>
            <w:tcMar>
              <w:top w:type="dxa" w:w="50"/>
              <w:left w:type="dxa" w:w="80"/>
              <w:bottom w:type="dxa" w:w="50"/>
              <w:right w:type="dxa" w:w="80"/>
            </w:tcMar>
            <w:vAlign w:val="center"/>
          </w:tcPr>
          <w:p>
            <w:pPr>
              <w:jc w:val="left"/>
            </w:pPr>
            <w:r>
              <w:rPr>
                <w:rFonts w:ascii="Calibri" w:cs="Calibri" w:eastAsia="Calibri" w:hAnsi="Calibri"/>
                <w:b w:val="false"/>
                <w:bCs w:val="false"/>
                <w:sz w:val="15"/>
                <w:szCs w:val="15"/>
              </w:rPr>
              <w:t xml:space="preserve">Clopper-Pearson exacto</w:t>
            </w:r>
          </w:p>
        </w:tc>
        <w:tc>
          <w:tcPr>
            <w:tcW w:type="dxa" w:w="936"/>
            <w:shd w:fill="EEF3FA" w:color="auto" w:val="clear"/>
            <w:tcMar>
              <w:top w:type="dxa" w:w="50"/>
              <w:left w:type="dxa" w:w="80"/>
              <w:bottom w:type="dxa" w:w="50"/>
              <w:right w:type="dxa" w:w="80"/>
            </w:tcMar>
            <w:vAlign w:val="center"/>
          </w:tcPr>
          <w:p>
            <w:pPr>
              <w:jc w:val="center"/>
            </w:pPr>
            <w:r>
              <w:rPr>
                <w:rFonts w:ascii="Calibri" w:cs="Calibri" w:eastAsia="Calibri" w:hAnsi="Calibri"/>
                <w:b w:val="false"/>
                <w:bCs w:val="false"/>
                <w:sz w:val="15"/>
                <w:szCs w:val="15"/>
              </w:rPr>
              <w:t xml:space="preserve">Cumple</w:t>
            </w:r>
          </w:p>
        </w:tc>
      </w:tr>
      <w:tr>
        <w:trPr>
          <w:cantSplit/>
        </w:trPr>
        <w:tc>
          <w:tcPr>
            <w:tcW w:type="dxa" w:w="1139"/>
            <w:tcMar>
              <w:top w:type="dxa" w:w="50"/>
              <w:left w:type="dxa" w:w="80"/>
              <w:bottom w:type="dxa" w:w="50"/>
              <w:right w:type="dxa" w:w="80"/>
            </w:tcMar>
            <w:vAlign w:val="center"/>
          </w:tcPr>
          <w:p>
            <w:pPr>
              <w:jc w:val="left"/>
            </w:pPr>
            <w:r>
              <w:rPr>
                <w:rFonts w:ascii="Calibri" w:cs="Calibri" w:eastAsia="Calibri" w:hAnsi="Calibri"/>
                <w:b w:val="false"/>
                <w:bCs w:val="false"/>
                <w:sz w:val="15"/>
                <w:szCs w:val="15"/>
              </w:rPr>
              <w:t xml:space="preserve">Resiliencia (EP04)</w:t>
            </w:r>
          </w:p>
        </w:tc>
        <w:tc>
          <w:tcPr>
            <w:tcW w:type="dxa" w:w="1865"/>
            <w:tcMar>
              <w:top w:type="dxa" w:w="50"/>
              <w:left w:type="dxa" w:w="80"/>
              <w:bottom w:type="dxa" w:w="50"/>
              <w:right w:type="dxa" w:w="80"/>
            </w:tcMar>
            <w:vAlign w:val="center"/>
          </w:tcPr>
          <w:p>
            <w:pPr>
              <w:jc w:val="left"/>
            </w:pPr>
            <w:r>
              <w:rPr>
                <w:rFonts w:ascii="Calibri" w:cs="Calibri" w:eastAsia="Calibri" w:hAnsi="Calibri"/>
                <w:b w:val="false"/>
                <w:bCs w:val="false"/>
                <w:sz w:val="15"/>
                <w:szCs w:val="15"/>
              </w:rPr>
              <w:t xml:space="preserve">Duplicidad tras reintentos</w:t>
            </w:r>
          </w:p>
        </w:tc>
        <w:tc>
          <w:tcPr>
            <w:tcW w:type="dxa" w:w="1139"/>
            <w:tcMar>
              <w:top w:type="dxa" w:w="50"/>
              <w:left w:type="dxa" w:w="80"/>
              <w:bottom w:type="dxa" w:w="50"/>
              <w:right w:type="dxa" w:w="80"/>
            </w:tcMar>
            <w:vAlign w:val="center"/>
          </w:tcPr>
          <w:p>
            <w:pPr>
              <w:jc w:val="center"/>
            </w:pPr>
            <w:r>
              <w:rPr>
                <w:rFonts w:ascii="Calibri" w:cs="Calibri" w:eastAsia="Calibri" w:hAnsi="Calibri"/>
                <w:b w:val="false"/>
                <w:bCs w:val="false"/>
                <w:sz w:val="15"/>
                <w:szCs w:val="15"/>
              </w:rPr>
              <w:t xml:space="preserve">0 duplicados</w:t>
            </w:r>
          </w:p>
        </w:tc>
        <w:tc>
          <w:tcPr>
            <w:tcW w:type="dxa" w:w="2694"/>
            <w:tcMar>
              <w:top w:type="dxa" w:w="50"/>
              <w:left w:type="dxa" w:w="80"/>
              <w:bottom w:type="dxa" w:w="50"/>
              <w:right w:type="dxa" w:w="80"/>
            </w:tcMar>
            <w:vAlign w:val="center"/>
          </w:tcPr>
          <w:p>
            <w:pPr>
              <w:jc w:val="left"/>
            </w:pPr>
            <w:r>
              <w:rPr>
                <w:rFonts w:ascii="Calibri" w:cs="Calibri" w:eastAsia="Calibri" w:hAnsi="Calibri"/>
                <w:b w:val="false"/>
                <w:bCs w:val="false"/>
                <w:sz w:val="15"/>
                <w:szCs w:val="15"/>
              </w:rPr>
              <w:t xml:space="preserve">0 movimientos duplicados en 397 reintentos; 300/300 lotes recuperados</w:t>
            </w:r>
          </w:p>
        </w:tc>
        <w:tc>
          <w:tcPr>
            <w:tcW w:type="dxa" w:w="1865"/>
            <w:tcMar>
              <w:top w:type="dxa" w:w="50"/>
              <w:left w:type="dxa" w:w="80"/>
              <w:bottom w:type="dxa" w:w="50"/>
              <w:right w:type="dxa" w:w="80"/>
            </w:tcMar>
            <w:vAlign w:val="center"/>
          </w:tcPr>
          <w:p>
            <w:pPr>
              <w:jc w:val="left"/>
            </w:pPr>
            <w:r>
              <w:rPr>
                <w:rFonts w:ascii="Calibri" w:cs="Calibri" w:eastAsia="Calibri" w:hAnsi="Calibri"/>
                <w:b w:val="false"/>
                <w:bCs w:val="false"/>
                <w:sz w:val="15"/>
                <w:szCs w:val="15"/>
              </w:rPr>
              <w:t xml:space="preserve">Conteo exhaustivo frente al oráculo</w:t>
            </w:r>
          </w:p>
        </w:tc>
        <w:tc>
          <w:tcPr>
            <w:tcW w:type="dxa" w:w="936"/>
            <w:tcMar>
              <w:top w:type="dxa" w:w="50"/>
              <w:left w:type="dxa" w:w="80"/>
              <w:bottom w:type="dxa" w:w="50"/>
              <w:right w:type="dxa" w:w="80"/>
            </w:tcMar>
            <w:vAlign w:val="center"/>
          </w:tcPr>
          <w:p>
            <w:pPr>
              <w:jc w:val="center"/>
            </w:pPr>
            <w:r>
              <w:rPr>
                <w:rFonts w:ascii="Calibri" w:cs="Calibri" w:eastAsia="Calibri" w:hAnsi="Calibri"/>
                <w:b w:val="false"/>
                <w:bCs w:val="false"/>
                <w:sz w:val="15"/>
                <w:szCs w:val="15"/>
              </w:rPr>
              <w:t xml:space="preserve">Cumple</w:t>
            </w:r>
          </w:p>
        </w:tc>
      </w:tr>
    </w:tbl>
    <w:p>
      <w:pPr>
        <w:pStyle w:val="Heading1"/>
        <w:spacing w:after="140" w:before="280"/>
      </w:pPr>
      <w:r>
        <w:rPr>
          <w:rFonts w:ascii="Calibri" w:cs="Calibri" w:eastAsia="Calibri" w:hAnsi="Calibri"/>
          <w:b/>
          <w:bCs/>
          <w:color w:val="1F3864"/>
          <w:sz w:val="28"/>
          <w:szCs w:val="28"/>
        </w:rPr>
        <w:t xml:space="preserve">2. Objetivo y marco de la validación</w:t>
      </w:r>
    </w:p>
    <w:p>
      <w:pPr>
        <w:spacing w:after="120" w:line="276"/>
        <w:jc w:val="both"/>
      </w:pPr>
      <w:r>
        <w:rPr>
          <w:rFonts w:ascii="Calibri" w:cs="Calibri" w:eastAsia="Calibri" w:hAnsi="Calibri"/>
          <w:sz w:val="21"/>
          <w:szCs w:val="21"/>
        </w:rPr>
        <w:t xml:space="preserve">De acuerdo con el objetivo específico OE5 y con la actividad de evaluación de la metodología DSRM (Peffers et al., 2007), se busca determinar si el artefacto —la arquitectura de referencia instanciada en un prototipo funcional— preserva la integridad transaccional, la trazabilidad y la disponibilidad operativa, con un tiempo de procesamiento aceptable, cuando varios nodos de campo operan desconectados y luego se sincronizan con la capa central. La forma de validación es la experimental técnica de laboratorio (simulación de estrés operacional) definida en el Plan de Validación.</w:t>
      </w:r>
    </w:p>
    <w:p>
      <w:pPr>
        <w:pStyle w:val="Heading1"/>
        <w:spacing w:after="140" w:before="280"/>
      </w:pPr>
      <w:r>
        <w:rPr>
          <w:rFonts w:ascii="Calibri" w:cs="Calibri" w:eastAsia="Calibri" w:hAnsi="Calibri"/>
          <w:b/>
          <w:bCs/>
          <w:color w:val="1F3864"/>
          <w:sz w:val="28"/>
          <w:szCs w:val="28"/>
        </w:rPr>
        <w:t xml:space="preserve">3. Artefacto evaluado</w:t>
      </w:r>
    </w:p>
    <w:p>
      <w:pPr>
        <w:pStyle w:val="Heading2"/>
        <w:spacing w:after="100" w:before="220"/>
      </w:pPr>
      <w:r>
        <w:rPr>
          <w:rFonts w:ascii="Calibri" w:cs="Calibri" w:eastAsia="Calibri" w:hAnsi="Calibri"/>
          <w:b/>
          <w:bCs/>
          <w:color w:val="1F3864"/>
          <w:sz w:val="24"/>
          <w:szCs w:val="24"/>
        </w:rPr>
        <w:t xml:space="preserve">3.1 Instanciación de la arquitectura</w:t>
      </w:r>
    </w:p>
    <w:p>
      <w:pPr>
        <w:pStyle w:val="ListParagraph"/>
        <w:numPr>
          <w:ilvl w:val="0"/>
          <w:numId w:val="2"/>
        </w:numPr>
        <w:spacing w:after="60" w:line="264"/>
      </w:pPr>
      <w:r>
        <w:rPr>
          <w:rFonts w:ascii="Calibri" w:cs="Calibri" w:eastAsia="Calibri" w:hAnsi="Calibri"/>
          <w:b/>
          <w:bCs/>
          <w:sz w:val="21"/>
          <w:szCs w:val="21"/>
        </w:rPr>
        <w:t xml:space="preserve">Capa de campo: </w:t>
      </w:r>
      <w:r>
        <w:rPr>
          <w:rFonts w:ascii="Calibri" w:cs="Calibri" w:eastAsia="Calibri" w:hAnsi="Calibri"/>
          <w:sz w:val="21"/>
          <w:szCs w:val="21"/>
        </w:rPr>
        <w:t xml:space="preserve">SQLite local por nodo. Cada operación (vale, saldo y evento en la cola) se confirma en una sola transacción ACID local (principio P1).</w:t>
      </w:r>
    </w:p>
    <w:p>
      <w:pPr>
        <w:pStyle w:val="ListParagraph"/>
        <w:numPr>
          <w:ilvl w:val="0"/>
          <w:numId w:val="2"/>
        </w:numPr>
        <w:spacing w:after="60" w:line="264"/>
      </w:pPr>
      <w:r>
        <w:rPr>
          <w:rFonts w:ascii="Calibri" w:cs="Calibri" w:eastAsia="Calibri" w:hAnsi="Calibri"/>
          <w:b/>
          <w:bCs/>
          <w:sz w:val="21"/>
          <w:szCs w:val="21"/>
        </w:rPr>
        <w:t xml:space="preserve">Capa de sincronización: </w:t>
      </w:r>
      <w:r>
        <w:rPr>
          <w:rFonts w:ascii="Calibri" w:cs="Calibri" w:eastAsia="Calibri" w:hAnsi="Calibri"/>
          <w:sz w:val="21"/>
          <w:szCs w:val="21"/>
        </w:rPr>
        <w:t xml:space="preserve">motor push/pull por lotes de 100 vales sobre REST (P5/P7), con reintentos con backoff exponencial y jitter. El mismo join CRDT se ejecuta en el campo y en la central.</w:t>
      </w:r>
    </w:p>
    <w:p>
      <w:pPr>
        <w:pStyle w:val="ListParagraph"/>
        <w:numPr>
          <w:ilvl w:val="0"/>
          <w:numId w:val="2"/>
        </w:numPr>
        <w:spacing w:after="60" w:line="264"/>
      </w:pPr>
      <w:r>
        <w:rPr>
          <w:rFonts w:ascii="Calibri" w:cs="Calibri" w:eastAsia="Calibri" w:hAnsi="Calibri"/>
          <w:b/>
          <w:bCs/>
          <w:sz w:val="21"/>
          <w:szCs w:val="21"/>
        </w:rPr>
        <w:t xml:space="preserve">Motor CRDT: </w:t>
      </w:r>
      <w:r>
        <w:rPr>
          <w:rFonts w:ascii="Calibri" w:cs="Calibri" w:eastAsia="Calibri" w:hAnsi="Calibri"/>
          <w:sz w:val="21"/>
          <w:szCs w:val="21"/>
        </w:rPr>
        <w:t xml:space="preserve">el saldo de cada ítem es un PN-Counter cuyos componentes se indexan por movimiento; el vale es un CRDT compuesto: hechos físicos inmutables (tipo, ítem, cantidad, unidad), estado monótono ACTIVO &lt; ANULADO (la anulación prevalece y es idempotente) y registros LWW por campo para proyecto y observación, con un sello lógico de Lamport derivado del version_vector y desempate determinista por nodo.</w:t>
      </w:r>
    </w:p>
    <w:p>
      <w:pPr>
        <w:pStyle w:val="ListParagraph"/>
        <w:numPr>
          <w:ilvl w:val="0"/>
          <w:numId w:val="2"/>
        </w:numPr>
        <w:spacing w:after="60" w:line="264"/>
      </w:pPr>
      <w:r>
        <w:rPr>
          <w:rFonts w:ascii="Calibri" w:cs="Calibri" w:eastAsia="Calibri" w:hAnsi="Calibri"/>
          <w:b/>
          <w:bCs/>
          <w:sz w:val="21"/>
          <w:szCs w:val="21"/>
        </w:rPr>
        <w:t xml:space="preserve">Capa central: </w:t>
      </w:r>
      <w:r>
        <w:rPr>
          <w:rFonts w:ascii="Calibri" w:cs="Calibri" w:eastAsia="Calibri" w:hAnsi="Calibri"/>
          <w:sz w:val="21"/>
          <w:szCs w:val="21"/>
        </w:rPr>
        <w:t xml:space="preserve">event sourcing en evento_sincronizacion (append-only), movimiento_inventario y bitacora_auditoria (también append-only, con triggers SQL). Cada lote se concilia en una única transacción, de modo que un corte nunca deja un lote a medias.</w:t>
      </w:r>
    </w:p>
    <w:p>
      <w:pPr>
        <w:pStyle w:val="ListParagraph"/>
        <w:numPr>
          <w:ilvl w:val="0"/>
          <w:numId w:val="2"/>
        </w:numPr>
        <w:spacing w:after="60" w:line="264"/>
      </w:pPr>
      <w:r>
        <w:rPr>
          <w:rFonts w:ascii="Calibri" w:cs="Calibri" w:eastAsia="Calibri" w:hAnsi="Calibri"/>
          <w:b/>
          <w:bCs/>
          <w:sz w:val="21"/>
          <w:szCs w:val="21"/>
        </w:rPr>
        <w:t xml:space="preserve">Modelo de información: </w:t>
      </w:r>
      <w:r>
        <w:rPr>
          <w:rFonts w:ascii="Calibri" w:cs="Calibri" w:eastAsia="Calibri" w:hAnsi="Calibri"/>
          <w:sz w:val="21"/>
          <w:szCs w:val="21"/>
        </w:rPr>
        <w:t xml:space="preserve">tablas alineadas con la Figura 7 de la tesis (actor con atributos_abac, nodo_campo, item_inventario, vale_inventario, evento_sincronizacion, movimiento_inventario, bitacora_auditoria).</w:t>
      </w:r>
    </w:p>
    <w:p>
      <w:pPr>
        <w:pStyle w:val="Heading2"/>
        <w:spacing w:after="100" w:before="220"/>
      </w:pPr>
      <w:r>
        <w:rPr>
          <w:rFonts w:ascii="Calibri" w:cs="Calibri" w:eastAsia="Calibri" w:hAnsi="Calibri"/>
          <w:b/>
          <w:bCs/>
          <w:color w:val="1F3864"/>
          <w:sz w:val="24"/>
          <w:szCs w:val="24"/>
        </w:rPr>
        <w:t xml:space="preserve">3.2 Depuración previa a la validación</w:t>
      </w:r>
    </w:p>
    <w:p>
      <w:pPr>
        <w:spacing w:after="120" w:line="276"/>
        <w:jc w:val="both"/>
      </w:pPr>
      <w:r>
        <w:rPr>
          <w:rFonts w:ascii="Calibri" w:cs="Calibri" w:eastAsia="Calibri" w:hAnsi="Calibri"/>
          <w:sz w:val="21"/>
          <w:szCs w:val="21"/>
        </w:rPr>
        <w:t xml:space="preserve">Antes de la campaña se revisó el código contra el marco teórico. Se corrigieron los defectos de la Tabla 2. Dentro del ciclo DSRM, esta revisión constituye una iteración de diseño-evaluación: las pruebas de laboratorio se ejecutaron sobre la versión corregida.</w:t>
      </w:r>
    </w:p>
    <w:p>
      <w:pPr>
        <w:keepNext/>
        <w:spacing w:after="80" w:before="200"/>
      </w:pPr>
      <w:r>
        <w:rPr>
          <w:rFonts w:ascii="Calibri" w:cs="Calibri" w:eastAsia="Calibri" w:hAnsi="Calibri"/>
          <w:b/>
          <w:bCs/>
          <w:i/>
          <w:iCs/>
          <w:sz w:val="19"/>
          <w:szCs w:val="19"/>
        </w:rPr>
        <w:t xml:space="preserve">Tabla 2. Defectos detectados y correcciones aplicadas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6"/>
        <w:gridCol w:w="3168"/>
        <w:gridCol w:w="2904"/>
        <w:gridCol w:w="3170"/>
      </w:tblGrid>
      <w:tr>
        <w:trPr>
          <w:tblHeader/>
        </w:trPr>
        <w:tc>
          <w:tcPr>
            <w:tcW w:type="dxa" w:w="396"/>
            <w:shd w:fill="1F3864" w:color="auto" w:val="clear"/>
            <w:tcMar>
              <w:top w:type="dxa" w:w="50"/>
              <w:left w:type="dxa" w:w="80"/>
              <w:bottom w:type="dxa" w:w="50"/>
              <w:right w:type="dxa" w:w="80"/>
            </w:tcMar>
            <w:vAlign w:val="center"/>
          </w:tcPr>
          <w:p>
            <w:pPr>
              <w:jc w:val="center"/>
            </w:pPr>
            <w:r>
              <w:rPr>
                <w:rFonts w:ascii="Calibri" w:cs="Calibri" w:eastAsia="Calibri" w:hAnsi="Calibri"/>
                <w:b/>
                <w:bCs/>
                <w:color w:val="FFFFFF"/>
                <w:sz w:val="15"/>
                <w:szCs w:val="15"/>
              </w:rPr>
              <w:t xml:space="preserve">#</w:t>
            </w:r>
          </w:p>
        </w:tc>
        <w:tc>
          <w:tcPr>
            <w:tcW w:type="dxa" w:w="3168"/>
            <w:shd w:fill="1F3864" w:color="auto" w:val="clear"/>
            <w:tcMar>
              <w:top w:type="dxa" w:w="50"/>
              <w:left w:type="dxa" w:w="80"/>
              <w:bottom w:type="dxa" w:w="50"/>
              <w:right w:type="dxa" w:w="80"/>
            </w:tcMar>
            <w:vAlign w:val="center"/>
          </w:tcPr>
          <w:p>
            <w:pPr>
              <w:jc w:val="left"/>
            </w:pPr>
            <w:r>
              <w:rPr>
                <w:rFonts w:ascii="Calibri" w:cs="Calibri" w:eastAsia="Calibri" w:hAnsi="Calibri"/>
                <w:b/>
                <w:bCs/>
                <w:color w:val="FFFFFF"/>
                <w:sz w:val="15"/>
                <w:szCs w:val="15"/>
              </w:rPr>
              <w:t xml:space="preserve">Defecto en la versión anterior</w:t>
            </w:r>
          </w:p>
        </w:tc>
        <w:tc>
          <w:tcPr>
            <w:tcW w:type="dxa" w:w="2904"/>
            <w:shd w:fill="1F3864" w:color="auto" w:val="clear"/>
            <w:tcMar>
              <w:top w:type="dxa" w:w="50"/>
              <w:left w:type="dxa" w:w="80"/>
              <w:bottom w:type="dxa" w:w="50"/>
              <w:right w:type="dxa" w:w="80"/>
            </w:tcMar>
            <w:vAlign w:val="center"/>
          </w:tcPr>
          <w:p>
            <w:pPr>
              <w:jc w:val="left"/>
            </w:pPr>
            <w:r>
              <w:rPr>
                <w:rFonts w:ascii="Calibri" w:cs="Calibri" w:eastAsia="Calibri" w:hAnsi="Calibri"/>
                <w:b/>
                <w:bCs/>
                <w:color w:val="FFFFFF"/>
                <w:sz w:val="15"/>
                <w:szCs w:val="15"/>
              </w:rPr>
              <w:t xml:space="preserve">Riesgo para la tesis</w:t>
            </w:r>
          </w:p>
        </w:tc>
        <w:tc>
          <w:tcPr>
            <w:tcW w:type="dxa" w:w="3170"/>
            <w:shd w:fill="1F3864" w:color="auto" w:val="clear"/>
            <w:tcMar>
              <w:top w:type="dxa" w:w="50"/>
              <w:left w:type="dxa" w:w="80"/>
              <w:bottom w:type="dxa" w:w="50"/>
              <w:right w:type="dxa" w:w="80"/>
            </w:tcMar>
            <w:vAlign w:val="center"/>
          </w:tcPr>
          <w:p>
            <w:pPr>
              <w:jc w:val="left"/>
            </w:pPr>
            <w:r>
              <w:rPr>
                <w:rFonts w:ascii="Calibri" w:cs="Calibri" w:eastAsia="Calibri" w:hAnsi="Calibri"/>
                <w:b/>
                <w:bCs/>
                <w:color w:val="FFFFFF"/>
                <w:sz w:val="15"/>
                <w:szCs w:val="15"/>
              </w:rPr>
              <w:t xml:space="preserve">Corrección</w:t>
            </w:r>
          </w:p>
        </w:tc>
      </w:tr>
      <w:tr>
        <w:trPr>
          <w:cantSplit/>
        </w:trPr>
        <w:tc>
          <w:tcPr>
            <w:tcW w:type="dxa" w:w="396"/>
            <w:tcMar>
              <w:top w:type="dxa" w:w="50"/>
              <w:left w:type="dxa" w:w="80"/>
              <w:bottom w:type="dxa" w:w="50"/>
              <w:right w:type="dxa" w:w="80"/>
            </w:tcMar>
            <w:vAlign w:val="center"/>
          </w:tcPr>
          <w:p>
            <w:pPr>
              <w:jc w:val="center"/>
            </w:pPr>
            <w:r>
              <w:rPr>
                <w:rFonts w:ascii="Calibri" w:cs="Calibri" w:eastAsia="Calibri" w:hAnsi="Calibri"/>
                <w:b w:val="false"/>
                <w:bCs w:val="false"/>
                <w:sz w:val="15"/>
                <w:szCs w:val="15"/>
              </w:rPr>
              <w:t xml:space="preserve">1</w:t>
            </w:r>
          </w:p>
        </w:tc>
        <w:tc>
          <w:tcPr>
            <w:tcW w:type="dxa" w:w="3168"/>
            <w:tcMar>
              <w:top w:type="dxa" w:w="50"/>
              <w:left w:type="dxa" w:w="80"/>
              <w:bottom w:type="dxa" w:w="50"/>
              <w:right w:type="dxa" w:w="80"/>
            </w:tcMar>
            <w:vAlign w:val="center"/>
          </w:tcPr>
          <w:p>
            <w:pPr>
              <w:jc w:val="left"/>
            </w:pPr>
            <w:r>
              <w:rPr>
                <w:rFonts w:ascii="Calibri" w:cs="Calibri" w:eastAsia="Calibri" w:hAnsi="Calibri"/>
                <w:b w:val="false"/>
                <w:bCs w:val="false"/>
                <w:sz w:val="15"/>
                <w:szCs w:val="15"/>
              </w:rPr>
              <w:t xml:space="preserve">El PN-Counter vivía en la cantidad de cada vale: dos ediciones concurrentes de un mismo vale (10 y 18) daban 28.</w:t>
            </w:r>
          </w:p>
        </w:tc>
        <w:tc>
          <w:tcPr>
            <w:tcW w:type="dxa" w:w="2904"/>
            <w:tcMar>
              <w:top w:type="dxa" w:w="50"/>
              <w:left w:type="dxa" w:w="80"/>
              <w:bottom w:type="dxa" w:w="50"/>
              <w:right w:type="dxa" w:w="80"/>
            </w:tcMar>
            <w:vAlign w:val="center"/>
          </w:tcPr>
          <w:p>
            <w:pPr>
              <w:jc w:val="left"/>
            </w:pPr>
            <w:r>
              <w:rPr>
                <w:rFonts w:ascii="Calibri" w:cs="Calibri" w:eastAsia="Calibri" w:hAnsi="Calibri"/>
                <w:b w:val="false"/>
                <w:bCs w:val="false"/>
                <w:sz w:val="15"/>
                <w:szCs w:val="15"/>
              </w:rPr>
              <w:t xml:space="preserve">Saldo físico falso; contradice la secc. 4.8 y el informe de avance (PN-Counter para saldos).</w:t>
            </w:r>
          </w:p>
        </w:tc>
        <w:tc>
          <w:tcPr>
            <w:tcW w:type="dxa" w:w="3170"/>
            <w:tcMar>
              <w:top w:type="dxa" w:w="50"/>
              <w:left w:type="dxa" w:w="80"/>
              <w:bottom w:type="dxa" w:w="50"/>
              <w:right w:type="dxa" w:w="80"/>
            </w:tcMar>
            <w:vAlign w:val="center"/>
          </w:tcPr>
          <w:p>
            <w:pPr>
              <w:jc w:val="left"/>
            </w:pPr>
            <w:r>
              <w:rPr>
                <w:rFonts w:ascii="Calibri" w:cs="Calibri" w:eastAsia="Calibri" w:hAnsi="Calibri"/>
                <w:b w:val="false"/>
                <w:bCs w:val="false"/>
                <w:sz w:val="15"/>
                <w:szCs w:val="15"/>
              </w:rPr>
              <w:t xml:space="preserve">PN-Counter sobre el saldo del ítem; el vale es un documento con hechos físicos inmutables.</w:t>
            </w:r>
          </w:p>
        </w:tc>
      </w:tr>
      <w:tr>
        <w:trPr>
          <w:cantSplit/>
        </w:trPr>
        <w:tc>
          <w:tcPr>
            <w:tcW w:type="dxa" w:w="396"/>
            <w:shd w:fill="EEF3FA" w:color="auto" w:val="clear"/>
            <w:tcMar>
              <w:top w:type="dxa" w:w="50"/>
              <w:left w:type="dxa" w:w="80"/>
              <w:bottom w:type="dxa" w:w="50"/>
              <w:right w:type="dxa" w:w="80"/>
            </w:tcMar>
            <w:vAlign w:val="center"/>
          </w:tcPr>
          <w:p>
            <w:pPr>
              <w:jc w:val="center"/>
            </w:pPr>
            <w:r>
              <w:rPr>
                <w:rFonts w:ascii="Calibri" w:cs="Calibri" w:eastAsia="Calibri" w:hAnsi="Calibri"/>
                <w:b w:val="false"/>
                <w:bCs w:val="false"/>
                <w:sz w:val="15"/>
                <w:szCs w:val="15"/>
              </w:rPr>
              <w:t xml:space="preserve">2</w:t>
            </w:r>
          </w:p>
        </w:tc>
        <w:tc>
          <w:tcPr>
            <w:tcW w:type="dxa" w:w="3168"/>
            <w:shd w:fill="EEF3FA" w:color="auto" w:val="clear"/>
            <w:tcMar>
              <w:top w:type="dxa" w:w="50"/>
              <w:left w:type="dxa" w:w="80"/>
              <w:bottom w:type="dxa" w:w="50"/>
              <w:right w:type="dxa" w:w="80"/>
            </w:tcMar>
            <w:vAlign w:val="center"/>
          </w:tcPr>
          <w:p>
            <w:pPr>
              <w:jc w:val="left"/>
            </w:pPr>
            <w:r>
              <w:rPr>
                <w:rFonts w:ascii="Calibri" w:cs="Calibri" w:eastAsia="Calibri" w:hAnsi="Calibri"/>
                <w:b w:val="false"/>
                <w:bCs w:val="false"/>
                <w:sz w:val="15"/>
                <w:szCs w:val="15"/>
              </w:rPr>
              <w:t xml:space="preserve">LWW ordenado por reloj de pared del dispositivo.</w:t>
            </w:r>
          </w:p>
        </w:tc>
        <w:tc>
          <w:tcPr>
            <w:tcW w:type="dxa" w:w="2904"/>
            <w:shd w:fill="EEF3FA" w:color="auto" w:val="clear"/>
            <w:tcMar>
              <w:top w:type="dxa" w:w="50"/>
              <w:left w:type="dxa" w:w="80"/>
              <w:bottom w:type="dxa" w:w="50"/>
              <w:right w:type="dxa" w:w="80"/>
            </w:tcMar>
            <w:vAlign w:val="center"/>
          </w:tcPr>
          <w:p>
            <w:pPr>
              <w:jc w:val="left"/>
            </w:pPr>
            <w:r>
              <w:rPr>
                <w:rFonts w:ascii="Calibri" w:cs="Calibri" w:eastAsia="Calibri" w:hAnsi="Calibri"/>
                <w:b w:val="false"/>
                <w:bCs w:val="false"/>
                <w:sz w:val="15"/>
                <w:szCs w:val="15"/>
              </w:rPr>
              <w:t xml:space="preserve">Dispositivos offline con relojes desfasados deciden mal al ganador.</w:t>
            </w:r>
          </w:p>
        </w:tc>
        <w:tc>
          <w:tcPr>
            <w:tcW w:type="dxa" w:w="3170"/>
            <w:shd w:fill="EEF3FA" w:color="auto" w:val="clear"/>
            <w:tcMar>
              <w:top w:type="dxa" w:w="50"/>
              <w:left w:type="dxa" w:w="80"/>
              <w:bottom w:type="dxa" w:w="50"/>
              <w:right w:type="dxa" w:w="80"/>
            </w:tcMar>
            <w:vAlign w:val="center"/>
          </w:tcPr>
          <w:p>
            <w:pPr>
              <w:jc w:val="left"/>
            </w:pPr>
            <w:r>
              <w:rPr>
                <w:rFonts w:ascii="Calibri" w:cs="Calibri" w:eastAsia="Calibri" w:hAnsi="Calibri"/>
                <w:b w:val="false"/>
                <w:bCs w:val="false"/>
                <w:sz w:val="15"/>
                <w:szCs w:val="15"/>
              </w:rPr>
              <w:t xml:space="preserve">Sello lógico de Lamport derivado del version_vector + desempate por nodo y evento.</w:t>
            </w:r>
          </w:p>
        </w:tc>
      </w:tr>
      <w:tr>
        <w:trPr>
          <w:cantSplit/>
        </w:trPr>
        <w:tc>
          <w:tcPr>
            <w:tcW w:type="dxa" w:w="396"/>
            <w:tcMar>
              <w:top w:type="dxa" w:w="50"/>
              <w:left w:type="dxa" w:w="80"/>
              <w:bottom w:type="dxa" w:w="50"/>
              <w:right w:type="dxa" w:w="80"/>
            </w:tcMar>
            <w:vAlign w:val="center"/>
          </w:tcPr>
          <w:p>
            <w:pPr>
              <w:jc w:val="center"/>
            </w:pPr>
            <w:r>
              <w:rPr>
                <w:rFonts w:ascii="Calibri" w:cs="Calibri" w:eastAsia="Calibri" w:hAnsi="Calibri"/>
                <w:b w:val="false"/>
                <w:bCs w:val="false"/>
                <w:sz w:val="15"/>
                <w:szCs w:val="15"/>
              </w:rPr>
              <w:t xml:space="preserve">3</w:t>
            </w:r>
          </w:p>
        </w:tc>
        <w:tc>
          <w:tcPr>
            <w:tcW w:type="dxa" w:w="3168"/>
            <w:tcMar>
              <w:top w:type="dxa" w:w="50"/>
              <w:left w:type="dxa" w:w="80"/>
              <w:bottom w:type="dxa" w:w="50"/>
              <w:right w:type="dxa" w:w="80"/>
            </w:tcMar>
            <w:vAlign w:val="center"/>
          </w:tcPr>
          <w:p>
            <w:pPr>
              <w:jc w:val="left"/>
            </w:pPr>
            <w:r>
              <w:rPr>
                <w:rFonts w:ascii="Calibri" w:cs="Calibri" w:eastAsia="Calibri" w:hAnsi="Calibri"/>
                <w:b w:val="false"/>
                <w:bCs w:val="false"/>
                <w:sz w:val="15"/>
                <w:szCs w:val="15"/>
              </w:rPr>
              <w:t xml:space="preserve">Vales sin tipo SALIDA/INGRESO, sin ítem ni stock de referencia.</w:t>
            </w:r>
          </w:p>
        </w:tc>
        <w:tc>
          <w:tcPr>
            <w:tcW w:type="dxa" w:w="2904"/>
            <w:tcMar>
              <w:top w:type="dxa" w:w="50"/>
              <w:left w:type="dxa" w:w="80"/>
              <w:bottom w:type="dxa" w:w="50"/>
              <w:right w:type="dxa" w:w="80"/>
            </w:tcMar>
            <w:vAlign w:val="center"/>
          </w:tcPr>
          <w:p>
            <w:pPr>
              <w:jc w:val="left"/>
            </w:pPr>
            <w:r>
              <w:rPr>
                <w:rFonts w:ascii="Calibri" w:cs="Calibri" w:eastAsia="Calibri" w:hAnsi="Calibri"/>
                <w:b w:val="false"/>
                <w:bCs w:val="false"/>
                <w:sz w:val="15"/>
                <w:szCs w:val="15"/>
              </w:rPr>
              <w:t xml:space="preserve">No se podía verificar la invariante de la secc. 4.3.</w:t>
            </w:r>
          </w:p>
        </w:tc>
        <w:tc>
          <w:tcPr>
            <w:tcW w:type="dxa" w:w="3170"/>
            <w:tcMar>
              <w:top w:type="dxa" w:w="50"/>
              <w:left w:type="dxa" w:w="80"/>
              <w:bottom w:type="dxa" w:w="50"/>
              <w:right w:type="dxa" w:w="80"/>
            </w:tcMar>
            <w:vAlign w:val="center"/>
          </w:tcPr>
          <w:p>
            <w:pPr>
              <w:jc w:val="left"/>
            </w:pPr>
            <w:r>
              <w:rPr>
                <w:rFonts w:ascii="Calibri" w:cs="Calibri" w:eastAsia="Calibri" w:hAnsi="Calibri"/>
                <w:b w:val="false"/>
                <w:bCs w:val="false"/>
                <w:sz w:val="15"/>
                <w:szCs w:val="15"/>
              </w:rPr>
              <w:t xml:space="preserve">item_inventario, tipo y unidad; invariante Σ movimientos = saldo − referencia.</w:t>
            </w:r>
          </w:p>
        </w:tc>
      </w:tr>
      <w:tr>
        <w:trPr>
          <w:cantSplit/>
        </w:trPr>
        <w:tc>
          <w:tcPr>
            <w:tcW w:type="dxa" w:w="396"/>
            <w:shd w:fill="EEF3FA" w:color="auto" w:val="clear"/>
            <w:tcMar>
              <w:top w:type="dxa" w:w="50"/>
              <w:left w:type="dxa" w:w="80"/>
              <w:bottom w:type="dxa" w:w="50"/>
              <w:right w:type="dxa" w:w="80"/>
            </w:tcMar>
            <w:vAlign w:val="center"/>
          </w:tcPr>
          <w:p>
            <w:pPr>
              <w:jc w:val="center"/>
            </w:pPr>
            <w:r>
              <w:rPr>
                <w:rFonts w:ascii="Calibri" w:cs="Calibri" w:eastAsia="Calibri" w:hAnsi="Calibri"/>
                <w:b w:val="false"/>
                <w:bCs w:val="false"/>
                <w:sz w:val="15"/>
                <w:szCs w:val="15"/>
              </w:rPr>
              <w:t xml:space="preserve">4</w:t>
            </w:r>
          </w:p>
        </w:tc>
        <w:tc>
          <w:tcPr>
            <w:tcW w:type="dxa" w:w="3168"/>
            <w:shd w:fill="EEF3FA" w:color="auto" w:val="clear"/>
            <w:tcMar>
              <w:top w:type="dxa" w:w="50"/>
              <w:left w:type="dxa" w:w="80"/>
              <w:bottom w:type="dxa" w:w="50"/>
              <w:right w:type="dxa" w:w="80"/>
            </w:tcMar>
            <w:vAlign w:val="center"/>
          </w:tcPr>
          <w:p>
            <w:pPr>
              <w:jc w:val="left"/>
            </w:pPr>
            <w:r>
              <w:rPr>
                <w:rFonts w:ascii="Calibri" w:cs="Calibri" w:eastAsia="Calibri" w:hAnsi="Calibri"/>
                <w:b w:val="false"/>
                <w:bCs w:val="false"/>
                <w:sz w:val="15"/>
                <w:szCs w:val="15"/>
              </w:rPr>
              <w:t xml:space="preserve">En el cliente, el vale y su evento se guardaban en transacciones separadas.</w:t>
            </w:r>
          </w:p>
        </w:tc>
        <w:tc>
          <w:tcPr>
            <w:tcW w:type="dxa" w:w="2904"/>
            <w:shd w:fill="EEF3FA" w:color="auto" w:val="clear"/>
            <w:tcMar>
              <w:top w:type="dxa" w:w="50"/>
              <w:left w:type="dxa" w:w="80"/>
              <w:bottom w:type="dxa" w:w="50"/>
              <w:right w:type="dxa" w:w="80"/>
            </w:tcMar>
            <w:vAlign w:val="center"/>
          </w:tcPr>
          <w:p>
            <w:pPr>
              <w:jc w:val="left"/>
            </w:pPr>
            <w:r>
              <w:rPr>
                <w:rFonts w:ascii="Calibri" w:cs="Calibri" w:eastAsia="Calibri" w:hAnsi="Calibri"/>
                <w:b w:val="false"/>
                <w:bCs w:val="false"/>
                <w:sz w:val="15"/>
                <w:szCs w:val="15"/>
              </w:rPr>
              <w:t xml:space="preserve">Una caída podía dejar un vale sin evento que sincronizar.</w:t>
            </w:r>
          </w:p>
        </w:tc>
        <w:tc>
          <w:tcPr>
            <w:tcW w:type="dxa" w:w="3170"/>
            <w:shd w:fill="EEF3FA" w:color="auto" w:val="clear"/>
            <w:tcMar>
              <w:top w:type="dxa" w:w="50"/>
              <w:left w:type="dxa" w:w="80"/>
              <w:bottom w:type="dxa" w:w="50"/>
              <w:right w:type="dxa" w:w="80"/>
            </w:tcMar>
            <w:vAlign w:val="center"/>
          </w:tcPr>
          <w:p>
            <w:pPr>
              <w:jc w:val="left"/>
            </w:pPr>
            <w:r>
              <w:rPr>
                <w:rFonts w:ascii="Calibri" w:cs="Calibri" w:eastAsia="Calibri" w:hAnsi="Calibri"/>
                <w:b w:val="false"/>
                <w:bCs w:val="false"/>
                <w:sz w:val="15"/>
                <w:szCs w:val="15"/>
              </w:rPr>
              <w:t xml:space="preserve">Una sola transacción por operación.</w:t>
            </w:r>
          </w:p>
        </w:tc>
      </w:tr>
      <w:tr>
        <w:trPr>
          <w:cantSplit/>
        </w:trPr>
        <w:tc>
          <w:tcPr>
            <w:tcW w:type="dxa" w:w="396"/>
            <w:tcMar>
              <w:top w:type="dxa" w:w="50"/>
              <w:left w:type="dxa" w:w="80"/>
              <w:bottom w:type="dxa" w:w="50"/>
              <w:right w:type="dxa" w:w="80"/>
            </w:tcMar>
            <w:vAlign w:val="center"/>
          </w:tcPr>
          <w:p>
            <w:pPr>
              <w:jc w:val="center"/>
            </w:pPr>
            <w:r>
              <w:rPr>
                <w:rFonts w:ascii="Calibri" w:cs="Calibri" w:eastAsia="Calibri" w:hAnsi="Calibri"/>
                <w:b w:val="false"/>
                <w:bCs w:val="false"/>
                <w:sz w:val="15"/>
                <w:szCs w:val="15"/>
              </w:rPr>
              <w:t xml:space="preserve">5</w:t>
            </w:r>
          </w:p>
        </w:tc>
        <w:tc>
          <w:tcPr>
            <w:tcW w:type="dxa" w:w="3168"/>
            <w:tcMar>
              <w:top w:type="dxa" w:w="50"/>
              <w:left w:type="dxa" w:w="80"/>
              <w:bottom w:type="dxa" w:w="50"/>
              <w:right w:type="dxa" w:w="80"/>
            </w:tcMar>
            <w:vAlign w:val="center"/>
          </w:tcPr>
          <w:p>
            <w:pPr>
              <w:jc w:val="left"/>
            </w:pPr>
            <w:r>
              <w:rPr>
                <w:rFonts w:ascii="Calibri" w:cs="Calibri" w:eastAsia="Calibri" w:hAnsi="Calibri"/>
                <w:b w:val="false"/>
                <w:bCs w:val="false"/>
                <w:sz w:val="15"/>
                <w:szCs w:val="15"/>
              </w:rPr>
              <w:t xml:space="preserve">La central confirmaba (commit) evento por evento.</w:t>
            </w:r>
          </w:p>
        </w:tc>
        <w:tc>
          <w:tcPr>
            <w:tcW w:type="dxa" w:w="2904"/>
            <w:tcMar>
              <w:top w:type="dxa" w:w="50"/>
              <w:left w:type="dxa" w:w="80"/>
              <w:bottom w:type="dxa" w:w="50"/>
              <w:right w:type="dxa" w:w="80"/>
            </w:tcMar>
            <w:vAlign w:val="center"/>
          </w:tcPr>
          <w:p>
            <w:pPr>
              <w:jc w:val="left"/>
            </w:pPr>
            <w:r>
              <w:rPr>
                <w:rFonts w:ascii="Calibri" w:cs="Calibri" w:eastAsia="Calibri" w:hAnsi="Calibri"/>
                <w:b w:val="false"/>
                <w:bCs w:val="false"/>
                <w:sz w:val="15"/>
                <w:szCs w:val="15"/>
              </w:rPr>
              <w:t xml:space="preserve">Un corte a mitad del lote dejaba lotes parciales.</w:t>
            </w:r>
          </w:p>
        </w:tc>
        <w:tc>
          <w:tcPr>
            <w:tcW w:type="dxa" w:w="3170"/>
            <w:tcMar>
              <w:top w:type="dxa" w:w="50"/>
              <w:left w:type="dxa" w:w="80"/>
              <w:bottom w:type="dxa" w:w="50"/>
              <w:right w:type="dxa" w:w="80"/>
            </w:tcMar>
            <w:vAlign w:val="center"/>
          </w:tcPr>
          <w:p>
            <w:pPr>
              <w:jc w:val="left"/>
            </w:pPr>
            <w:r>
              <w:rPr>
                <w:rFonts w:ascii="Calibri" w:cs="Calibri" w:eastAsia="Calibri" w:hAnsi="Calibri"/>
                <w:b w:val="false"/>
                <w:bCs w:val="false"/>
                <w:sz w:val="15"/>
                <w:szCs w:val="15"/>
              </w:rPr>
              <w:t xml:space="preserve">Lote = una transacción ACID; escritor único serializado.</w:t>
            </w:r>
          </w:p>
        </w:tc>
      </w:tr>
      <w:tr>
        <w:trPr>
          <w:cantSplit/>
        </w:trPr>
        <w:tc>
          <w:tcPr>
            <w:tcW w:type="dxa" w:w="396"/>
            <w:shd w:fill="EEF3FA" w:color="auto" w:val="clear"/>
            <w:tcMar>
              <w:top w:type="dxa" w:w="50"/>
              <w:left w:type="dxa" w:w="80"/>
              <w:bottom w:type="dxa" w:w="50"/>
              <w:right w:type="dxa" w:w="80"/>
            </w:tcMar>
            <w:vAlign w:val="center"/>
          </w:tcPr>
          <w:p>
            <w:pPr>
              <w:jc w:val="center"/>
            </w:pPr>
            <w:r>
              <w:rPr>
                <w:rFonts w:ascii="Calibri" w:cs="Calibri" w:eastAsia="Calibri" w:hAnsi="Calibri"/>
                <w:b w:val="false"/>
                <w:bCs w:val="false"/>
                <w:sz w:val="15"/>
                <w:szCs w:val="15"/>
              </w:rPr>
              <w:t xml:space="preserve">6</w:t>
            </w:r>
          </w:p>
        </w:tc>
        <w:tc>
          <w:tcPr>
            <w:tcW w:type="dxa" w:w="3168"/>
            <w:shd w:fill="EEF3FA" w:color="auto" w:val="clear"/>
            <w:tcMar>
              <w:top w:type="dxa" w:w="50"/>
              <w:left w:type="dxa" w:w="80"/>
              <w:bottom w:type="dxa" w:w="50"/>
              <w:right w:type="dxa" w:w="80"/>
            </w:tcMar>
            <w:vAlign w:val="center"/>
          </w:tcPr>
          <w:p>
            <w:pPr>
              <w:jc w:val="left"/>
            </w:pPr>
            <w:r>
              <w:rPr>
                <w:rFonts w:ascii="Calibri" w:cs="Calibri" w:eastAsia="Calibri" w:hAnsi="Calibri"/>
                <w:b w:val="false"/>
                <w:bCs w:val="false"/>
                <w:sz w:val="15"/>
                <w:szCs w:val="15"/>
              </w:rPr>
              <w:t xml:space="preserve">/sync/bulk devolvía todo el log de eventos en cada sincronización.</w:t>
            </w:r>
          </w:p>
        </w:tc>
        <w:tc>
          <w:tcPr>
            <w:tcW w:type="dxa" w:w="2904"/>
            <w:shd w:fill="EEF3FA" w:color="auto" w:val="clear"/>
            <w:tcMar>
              <w:top w:type="dxa" w:w="50"/>
              <w:left w:type="dxa" w:w="80"/>
              <w:bottom w:type="dxa" w:w="50"/>
              <w:right w:type="dxa" w:w="80"/>
            </w:tcMar>
            <w:vAlign w:val="center"/>
          </w:tcPr>
          <w:p>
            <w:pPr>
              <w:jc w:val="left"/>
            </w:pPr>
            <w:r>
              <w:rPr>
                <w:rFonts w:ascii="Calibri" w:cs="Calibri" w:eastAsia="Calibri" w:hAnsi="Calibri"/>
                <w:b w:val="false"/>
                <w:bCs w:val="false"/>
                <w:sz w:val="15"/>
                <w:szCs w:val="15"/>
              </w:rPr>
              <w:t xml:space="preserve">Coste O(N) que inflaba la latencia medida (EP03).</w:t>
            </w:r>
          </w:p>
        </w:tc>
        <w:tc>
          <w:tcPr>
            <w:tcW w:type="dxa" w:w="3170"/>
            <w:shd w:fill="EEF3FA" w:color="auto" w:val="clear"/>
            <w:tcMar>
              <w:top w:type="dxa" w:w="50"/>
              <w:left w:type="dxa" w:w="80"/>
              <w:bottom w:type="dxa" w:w="50"/>
              <w:right w:type="dxa" w:w="80"/>
            </w:tcMar>
            <w:vAlign w:val="center"/>
          </w:tcPr>
          <w:p>
            <w:pPr>
              <w:jc w:val="left"/>
            </w:pPr>
            <w:r>
              <w:rPr>
                <w:rFonts w:ascii="Calibri" w:cs="Calibri" w:eastAsia="Calibri" w:hAnsi="Calibri"/>
                <w:b w:val="false"/>
                <w:bCs w:val="false"/>
                <w:sz w:val="15"/>
                <w:szCs w:val="15"/>
              </w:rPr>
              <w:t xml:space="preserve">Pull incremental /sync/changes?since=seq.</w:t>
            </w:r>
          </w:p>
        </w:tc>
      </w:tr>
      <w:tr>
        <w:trPr>
          <w:cantSplit/>
        </w:trPr>
        <w:tc>
          <w:tcPr>
            <w:tcW w:type="dxa" w:w="396"/>
            <w:tcMar>
              <w:top w:type="dxa" w:w="50"/>
              <w:left w:type="dxa" w:w="80"/>
              <w:bottom w:type="dxa" w:w="50"/>
              <w:right w:type="dxa" w:w="80"/>
            </w:tcMar>
            <w:vAlign w:val="center"/>
          </w:tcPr>
          <w:p>
            <w:pPr>
              <w:jc w:val="center"/>
            </w:pPr>
            <w:r>
              <w:rPr>
                <w:rFonts w:ascii="Calibri" w:cs="Calibri" w:eastAsia="Calibri" w:hAnsi="Calibri"/>
                <w:b w:val="false"/>
                <w:bCs w:val="false"/>
                <w:sz w:val="15"/>
                <w:szCs w:val="15"/>
              </w:rPr>
              <w:t xml:space="preserve">7</w:t>
            </w:r>
          </w:p>
        </w:tc>
        <w:tc>
          <w:tcPr>
            <w:tcW w:type="dxa" w:w="3168"/>
            <w:tcMar>
              <w:top w:type="dxa" w:w="50"/>
              <w:left w:type="dxa" w:w="80"/>
              <w:bottom w:type="dxa" w:w="50"/>
              <w:right w:type="dxa" w:w="80"/>
            </w:tcMar>
            <w:vAlign w:val="center"/>
          </w:tcPr>
          <w:p>
            <w:pPr>
              <w:jc w:val="left"/>
            </w:pPr>
            <w:r>
              <w:rPr>
                <w:rFonts w:ascii="Calibri" w:cs="Calibri" w:eastAsia="Calibri" w:hAnsi="Calibri"/>
                <w:b w:val="false"/>
                <w:bCs w:val="false"/>
                <w:sz w:val="15"/>
                <w:szCs w:val="15"/>
              </w:rPr>
              <w:t xml:space="preserve">El log del servidor anotaba recibido y confirmado en el mismo instante.</w:t>
            </w:r>
          </w:p>
        </w:tc>
        <w:tc>
          <w:tcPr>
            <w:tcW w:type="dxa" w:w="2904"/>
            <w:tcMar>
              <w:top w:type="dxa" w:w="50"/>
              <w:left w:type="dxa" w:w="80"/>
              <w:bottom w:type="dxa" w:w="50"/>
              <w:right w:type="dxa" w:w="80"/>
            </w:tcMar>
            <w:vAlign w:val="center"/>
          </w:tcPr>
          <w:p>
            <w:pPr>
              <w:jc w:val="left"/>
            </w:pPr>
            <w:r>
              <w:rPr>
                <w:rFonts w:ascii="Calibri" w:cs="Calibri" w:eastAsia="Calibri" w:hAnsi="Calibri"/>
                <w:b w:val="false"/>
                <w:bCs w:val="false"/>
                <w:sz w:val="15"/>
                <w:szCs w:val="15"/>
              </w:rPr>
              <w:t xml:space="preserve">Latencia del servidor sin valor de medición.</w:t>
            </w:r>
          </w:p>
        </w:tc>
        <w:tc>
          <w:tcPr>
            <w:tcW w:type="dxa" w:w="3170"/>
            <w:tcMar>
              <w:top w:type="dxa" w:w="50"/>
              <w:left w:type="dxa" w:w="80"/>
              <w:bottom w:type="dxa" w:w="50"/>
              <w:right w:type="dxa" w:w="80"/>
            </w:tcMar>
            <w:vAlign w:val="center"/>
          </w:tcPr>
          <w:p>
            <w:pPr>
              <w:jc w:val="left"/>
            </w:pPr>
            <w:r>
              <w:rPr>
                <w:rFonts w:ascii="Calibri" w:cs="Calibri" w:eastAsia="Calibri" w:hAnsi="Calibri"/>
                <w:b w:val="false"/>
                <w:bCs w:val="false"/>
                <w:sz w:val="15"/>
                <w:szCs w:val="15"/>
              </w:rPr>
              <w:t xml:space="preserve">Reloj monotónico: espera en cola, conciliación y total.</w:t>
            </w:r>
          </w:p>
        </w:tc>
      </w:tr>
      <w:tr>
        <w:trPr>
          <w:cantSplit/>
        </w:trPr>
        <w:tc>
          <w:tcPr>
            <w:tcW w:type="dxa" w:w="396"/>
            <w:shd w:fill="EEF3FA" w:color="auto" w:val="clear"/>
            <w:tcMar>
              <w:top w:type="dxa" w:w="50"/>
              <w:left w:type="dxa" w:w="80"/>
              <w:bottom w:type="dxa" w:w="50"/>
              <w:right w:type="dxa" w:w="80"/>
            </w:tcMar>
            <w:vAlign w:val="center"/>
          </w:tcPr>
          <w:p>
            <w:pPr>
              <w:jc w:val="center"/>
            </w:pPr>
            <w:r>
              <w:rPr>
                <w:rFonts w:ascii="Calibri" w:cs="Calibri" w:eastAsia="Calibri" w:hAnsi="Calibri"/>
                <w:b w:val="false"/>
                <w:bCs w:val="false"/>
                <w:sz w:val="15"/>
                <w:szCs w:val="15"/>
              </w:rPr>
              <w:t xml:space="preserve">8</w:t>
            </w:r>
          </w:p>
        </w:tc>
        <w:tc>
          <w:tcPr>
            <w:tcW w:type="dxa" w:w="3168"/>
            <w:shd w:fill="EEF3FA" w:color="auto" w:val="clear"/>
            <w:tcMar>
              <w:top w:type="dxa" w:w="50"/>
              <w:left w:type="dxa" w:w="80"/>
              <w:bottom w:type="dxa" w:w="50"/>
              <w:right w:type="dxa" w:w="80"/>
            </w:tcMar>
            <w:vAlign w:val="center"/>
          </w:tcPr>
          <w:p>
            <w:pPr>
              <w:jc w:val="left"/>
            </w:pPr>
            <w:r>
              <w:rPr>
                <w:rFonts w:ascii="Calibri" w:cs="Calibri" w:eastAsia="Calibri" w:hAnsi="Calibri"/>
                <w:b w:val="false"/>
                <w:bCs w:val="false"/>
                <w:sz w:val="15"/>
                <w:szCs w:val="15"/>
              </w:rPr>
              <w:t xml:space="preserve">Lotes de 200 vales.</w:t>
            </w:r>
          </w:p>
        </w:tc>
        <w:tc>
          <w:tcPr>
            <w:tcW w:type="dxa" w:w="2904"/>
            <w:shd w:fill="EEF3FA" w:color="auto" w:val="clear"/>
            <w:tcMar>
              <w:top w:type="dxa" w:w="50"/>
              <w:left w:type="dxa" w:w="80"/>
              <w:bottom w:type="dxa" w:w="50"/>
              <w:right w:type="dxa" w:w="80"/>
            </w:tcMar>
            <w:vAlign w:val="center"/>
          </w:tcPr>
          <w:p>
            <w:pPr>
              <w:jc w:val="left"/>
            </w:pPr>
            <w:r>
              <w:rPr>
                <w:rFonts w:ascii="Calibri" w:cs="Calibri" w:eastAsia="Calibri" w:hAnsi="Calibri"/>
                <w:b w:val="false"/>
                <w:bCs w:val="false"/>
                <w:sz w:val="15"/>
                <w:szCs w:val="15"/>
              </w:rPr>
              <w:t xml:space="preserve">La meta del plan se define por lote de 100.</w:t>
            </w:r>
          </w:p>
        </w:tc>
        <w:tc>
          <w:tcPr>
            <w:tcW w:type="dxa" w:w="3170"/>
            <w:shd w:fill="EEF3FA" w:color="auto" w:val="clear"/>
            <w:tcMar>
              <w:top w:type="dxa" w:w="50"/>
              <w:left w:type="dxa" w:w="80"/>
              <w:bottom w:type="dxa" w:w="50"/>
              <w:right w:type="dxa" w:w="80"/>
            </w:tcMar>
            <w:vAlign w:val="center"/>
          </w:tcPr>
          <w:p>
            <w:pPr>
              <w:jc w:val="left"/>
            </w:pPr>
            <w:r>
              <w:rPr>
                <w:rFonts w:ascii="Calibri" w:cs="Calibri" w:eastAsia="Calibri" w:hAnsi="Calibri"/>
                <w:b w:val="false"/>
                <w:bCs w:val="false"/>
                <w:sz w:val="15"/>
                <w:szCs w:val="15"/>
              </w:rPr>
              <w:t xml:space="preserve">Lotes de 100 vales.</w:t>
            </w:r>
          </w:p>
        </w:tc>
      </w:tr>
      <w:tr>
        <w:trPr>
          <w:cantSplit/>
        </w:trPr>
        <w:tc>
          <w:tcPr>
            <w:tcW w:type="dxa" w:w="396"/>
            <w:tcMar>
              <w:top w:type="dxa" w:w="50"/>
              <w:left w:type="dxa" w:w="80"/>
              <w:bottom w:type="dxa" w:w="50"/>
              <w:right w:type="dxa" w:w="80"/>
            </w:tcMar>
            <w:vAlign w:val="center"/>
          </w:tcPr>
          <w:p>
            <w:pPr>
              <w:jc w:val="center"/>
            </w:pPr>
            <w:r>
              <w:rPr>
                <w:rFonts w:ascii="Calibri" w:cs="Calibri" w:eastAsia="Calibri" w:hAnsi="Calibri"/>
                <w:b w:val="false"/>
                <w:bCs w:val="false"/>
                <w:sz w:val="15"/>
                <w:szCs w:val="15"/>
              </w:rPr>
              <w:t xml:space="preserve">9</w:t>
            </w:r>
          </w:p>
        </w:tc>
        <w:tc>
          <w:tcPr>
            <w:tcW w:type="dxa" w:w="3168"/>
            <w:tcMar>
              <w:top w:type="dxa" w:w="50"/>
              <w:left w:type="dxa" w:w="80"/>
              <w:bottom w:type="dxa" w:w="50"/>
              <w:right w:type="dxa" w:w="80"/>
            </w:tcMar>
            <w:vAlign w:val="center"/>
          </w:tcPr>
          <w:p>
            <w:pPr>
              <w:jc w:val="left"/>
            </w:pPr>
            <w:r>
              <w:rPr>
                <w:rFonts w:ascii="Calibri" w:cs="Calibri" w:eastAsia="Calibri" w:hAnsi="Calibri"/>
                <w:b w:val="false"/>
                <w:bCs w:val="false"/>
                <w:sz w:val="15"/>
                <w:szCs w:val="15"/>
              </w:rPr>
              <w:t xml:space="preserve">EP01 se ejecutaba con el servidor accesible.</w:t>
            </w:r>
          </w:p>
        </w:tc>
        <w:tc>
          <w:tcPr>
            <w:tcW w:type="dxa" w:w="2904"/>
            <w:tcMar>
              <w:top w:type="dxa" w:w="50"/>
              <w:left w:type="dxa" w:w="80"/>
              <w:bottom w:type="dxa" w:w="50"/>
              <w:right w:type="dxa" w:w="80"/>
            </w:tcMar>
            <w:vAlign w:val="center"/>
          </w:tcPr>
          <w:p>
            <w:pPr>
              <w:jc w:val="left"/>
            </w:pPr>
            <w:r>
              <w:rPr>
                <w:rFonts w:ascii="Calibri" w:cs="Calibri" w:eastAsia="Calibri" w:hAnsi="Calibri"/>
                <w:b w:val="false"/>
                <w:bCs w:val="false"/>
                <w:sz w:val="15"/>
                <w:szCs w:val="15"/>
              </w:rPr>
              <w:t xml:space="preserve">No probaba la desconexión real.</w:t>
            </w:r>
          </w:p>
        </w:tc>
        <w:tc>
          <w:tcPr>
            <w:tcW w:type="dxa" w:w="3170"/>
            <w:tcMar>
              <w:top w:type="dxa" w:w="50"/>
              <w:left w:type="dxa" w:w="80"/>
              <w:bottom w:type="dxa" w:w="50"/>
              <w:right w:type="dxa" w:w="80"/>
            </w:tcMar>
            <w:vAlign w:val="center"/>
          </w:tcPr>
          <w:p>
            <w:pPr>
              <w:jc w:val="left"/>
            </w:pPr>
            <w:r>
              <w:rPr>
                <w:rFonts w:ascii="Calibri" w:cs="Calibri" w:eastAsia="Calibri" w:hAnsi="Calibri"/>
                <w:b w:val="false"/>
                <w:bCs w:val="false"/>
                <w:sz w:val="15"/>
                <w:szCs w:val="15"/>
              </w:rPr>
              <w:t xml:space="preserve">Transporte sin red y sondas de conectividad cada 50 operaciones.</w:t>
            </w:r>
          </w:p>
        </w:tc>
      </w:tr>
      <w:tr>
        <w:trPr>
          <w:cantSplit/>
        </w:trPr>
        <w:tc>
          <w:tcPr>
            <w:tcW w:type="dxa" w:w="396"/>
            <w:shd w:fill="EEF3FA" w:color="auto" w:val="clear"/>
            <w:tcMar>
              <w:top w:type="dxa" w:w="50"/>
              <w:left w:type="dxa" w:w="80"/>
              <w:bottom w:type="dxa" w:w="50"/>
              <w:right w:type="dxa" w:w="80"/>
            </w:tcMar>
            <w:vAlign w:val="center"/>
          </w:tcPr>
          <w:p>
            <w:pPr>
              <w:jc w:val="center"/>
            </w:pPr>
            <w:r>
              <w:rPr>
                <w:rFonts w:ascii="Calibri" w:cs="Calibri" w:eastAsia="Calibri" w:hAnsi="Calibri"/>
                <w:b w:val="false"/>
                <w:bCs w:val="false"/>
                <w:sz w:val="15"/>
                <w:szCs w:val="15"/>
              </w:rPr>
              <w:t xml:space="preserve">10</w:t>
            </w:r>
          </w:p>
        </w:tc>
        <w:tc>
          <w:tcPr>
            <w:tcW w:type="dxa" w:w="3168"/>
            <w:shd w:fill="EEF3FA" w:color="auto" w:val="clear"/>
            <w:tcMar>
              <w:top w:type="dxa" w:w="50"/>
              <w:left w:type="dxa" w:w="80"/>
              <w:bottom w:type="dxa" w:w="50"/>
              <w:right w:type="dxa" w:w="80"/>
            </w:tcMar>
            <w:vAlign w:val="center"/>
          </w:tcPr>
          <w:p>
            <w:pPr>
              <w:jc w:val="left"/>
            </w:pPr>
            <w:r>
              <w:rPr>
                <w:rFonts w:ascii="Calibri" w:cs="Calibri" w:eastAsia="Calibri" w:hAnsi="Calibri"/>
                <w:b w:val="false"/>
                <w:bCs w:val="false"/>
                <w:sz w:val="15"/>
                <w:szCs w:val="15"/>
              </w:rPr>
              <w:t xml:space="preserve">EP04: un solo corte post-confirmación en un evento extra.</w:t>
            </w:r>
          </w:p>
        </w:tc>
        <w:tc>
          <w:tcPr>
            <w:tcW w:type="dxa" w:w="2904"/>
            <w:shd w:fill="EEF3FA" w:color="auto" w:val="clear"/>
            <w:tcMar>
              <w:top w:type="dxa" w:w="50"/>
              <w:left w:type="dxa" w:w="80"/>
              <w:bottom w:type="dxa" w:w="50"/>
              <w:right w:type="dxa" w:w="80"/>
            </w:tcMar>
            <w:vAlign w:val="center"/>
          </w:tcPr>
          <w:p>
            <w:pPr>
              <w:jc w:val="left"/>
            </w:pPr>
            <w:r>
              <w:rPr>
                <w:rFonts w:ascii="Calibri" w:cs="Calibri" w:eastAsia="Calibri" w:hAnsi="Calibri"/>
                <w:b w:val="false"/>
                <w:bCs w:val="false"/>
                <w:sz w:val="15"/>
                <w:szCs w:val="15"/>
              </w:rPr>
              <w:t xml:space="preserve">Cobertura de fallos insuficiente (lo advertía el informe de avance).</w:t>
            </w:r>
          </w:p>
        </w:tc>
        <w:tc>
          <w:tcPr>
            <w:tcW w:type="dxa" w:w="3170"/>
            <w:shd w:fill="EEF3FA" w:color="auto" w:val="clear"/>
            <w:tcMar>
              <w:top w:type="dxa" w:w="50"/>
              <w:left w:type="dxa" w:w="80"/>
              <w:bottom w:type="dxa" w:w="50"/>
              <w:right w:type="dxa" w:w="80"/>
            </w:tcMar>
            <w:vAlign w:val="center"/>
          </w:tcPr>
          <w:p>
            <w:pPr>
              <w:jc w:val="left"/>
            </w:pPr>
            <w:r>
              <w:rPr>
                <w:rFonts w:ascii="Calibri" w:cs="Calibri" w:eastAsia="Calibri" w:hAnsi="Calibri"/>
                <w:b w:val="false"/>
                <w:bCs w:val="false"/>
                <w:sz w:val="15"/>
                <w:szCs w:val="15"/>
              </w:rPr>
              <w:t xml:space="preserve">Tres tipos de corte en todos los lotes, con cortes dobles.</w:t>
            </w:r>
          </w:p>
        </w:tc>
      </w:tr>
      <w:tr>
        <w:trPr>
          <w:cantSplit/>
        </w:trPr>
        <w:tc>
          <w:tcPr>
            <w:tcW w:type="dxa" w:w="396"/>
            <w:tcMar>
              <w:top w:type="dxa" w:w="50"/>
              <w:left w:type="dxa" w:w="80"/>
              <w:bottom w:type="dxa" w:w="50"/>
              <w:right w:type="dxa" w:w="80"/>
            </w:tcMar>
            <w:vAlign w:val="center"/>
          </w:tcPr>
          <w:p>
            <w:pPr>
              <w:jc w:val="center"/>
            </w:pPr>
            <w:r>
              <w:rPr>
                <w:rFonts w:ascii="Calibri" w:cs="Calibri" w:eastAsia="Calibri" w:hAnsi="Calibri"/>
                <w:b w:val="false"/>
                <w:bCs w:val="false"/>
                <w:sz w:val="15"/>
                <w:szCs w:val="15"/>
              </w:rPr>
              <w:t xml:space="preserve">11</w:t>
            </w:r>
          </w:p>
        </w:tc>
        <w:tc>
          <w:tcPr>
            <w:tcW w:type="dxa" w:w="3168"/>
            <w:tcMar>
              <w:top w:type="dxa" w:w="50"/>
              <w:left w:type="dxa" w:w="80"/>
              <w:bottom w:type="dxa" w:w="50"/>
              <w:right w:type="dxa" w:w="80"/>
            </w:tcMar>
            <w:vAlign w:val="center"/>
          </w:tcPr>
          <w:p>
            <w:pPr>
              <w:jc w:val="left"/>
            </w:pPr>
            <w:r>
              <w:rPr>
                <w:rFonts w:ascii="Calibri" w:cs="Calibri" w:eastAsia="Calibri" w:hAnsi="Calibri"/>
                <w:b w:val="false"/>
                <w:bCs w:val="false"/>
                <w:sz w:val="15"/>
                <w:szCs w:val="15"/>
              </w:rPr>
              <w:t xml:space="preserve">Una única corrida.</w:t>
            </w:r>
          </w:p>
        </w:tc>
        <w:tc>
          <w:tcPr>
            <w:tcW w:type="dxa" w:w="2904"/>
            <w:tcMar>
              <w:top w:type="dxa" w:w="50"/>
              <w:left w:type="dxa" w:w="80"/>
              <w:bottom w:type="dxa" w:w="50"/>
              <w:right w:type="dxa" w:w="80"/>
            </w:tcMar>
            <w:vAlign w:val="center"/>
          </w:tcPr>
          <w:p>
            <w:pPr>
              <w:jc w:val="left"/>
            </w:pPr>
            <w:r>
              <w:rPr>
                <w:rFonts w:ascii="Calibri" w:cs="Calibri" w:eastAsia="Calibri" w:hAnsi="Calibri"/>
                <w:b w:val="false"/>
                <w:bCs w:val="false"/>
                <w:sz w:val="15"/>
                <w:szCs w:val="15"/>
              </w:rPr>
              <w:t xml:space="preserve">Sin base estadística.</w:t>
            </w:r>
          </w:p>
        </w:tc>
        <w:tc>
          <w:tcPr>
            <w:tcW w:type="dxa" w:w="3170"/>
            <w:tcMar>
              <w:top w:type="dxa" w:w="50"/>
              <w:left w:type="dxa" w:w="80"/>
              <w:bottom w:type="dxa" w:w="50"/>
              <w:right w:type="dxa" w:w="80"/>
            </w:tcMar>
            <w:vAlign w:val="center"/>
          </w:tcPr>
          <w:p>
            <w:pPr>
              <w:jc w:val="left"/>
            </w:pPr>
            <w:r>
              <w:rPr>
                <w:rFonts w:ascii="Calibri" w:cs="Calibri" w:eastAsia="Calibri" w:hAnsi="Calibri"/>
                <w:b w:val="false"/>
                <w:bCs w:val="false"/>
                <w:sz w:val="15"/>
                <w:szCs w:val="15"/>
              </w:rPr>
              <w:t xml:space="preserve">30 repeticiones por condición, diseño pareado.</w:t>
            </w:r>
          </w:p>
        </w:tc>
      </w:tr>
      <w:tr>
        <w:trPr>
          <w:cantSplit/>
        </w:trPr>
        <w:tc>
          <w:tcPr>
            <w:tcW w:type="dxa" w:w="396"/>
            <w:shd w:fill="EEF3FA" w:color="auto" w:val="clear"/>
            <w:tcMar>
              <w:top w:type="dxa" w:w="50"/>
              <w:left w:type="dxa" w:w="80"/>
              <w:bottom w:type="dxa" w:w="50"/>
              <w:right w:type="dxa" w:w="80"/>
            </w:tcMar>
            <w:vAlign w:val="center"/>
          </w:tcPr>
          <w:p>
            <w:pPr>
              <w:jc w:val="center"/>
            </w:pPr>
            <w:r>
              <w:rPr>
                <w:rFonts w:ascii="Calibri" w:cs="Calibri" w:eastAsia="Calibri" w:hAnsi="Calibri"/>
                <w:b w:val="false"/>
                <w:bCs w:val="false"/>
                <w:sz w:val="15"/>
                <w:szCs w:val="15"/>
              </w:rPr>
              <w:t xml:space="preserve">12</w:t>
            </w:r>
          </w:p>
        </w:tc>
        <w:tc>
          <w:tcPr>
            <w:tcW w:type="dxa" w:w="3168"/>
            <w:shd w:fill="EEF3FA" w:color="auto" w:val="clear"/>
            <w:tcMar>
              <w:top w:type="dxa" w:w="50"/>
              <w:left w:type="dxa" w:w="80"/>
              <w:bottom w:type="dxa" w:w="50"/>
              <w:right w:type="dxa" w:w="80"/>
            </w:tcMar>
            <w:vAlign w:val="center"/>
          </w:tcPr>
          <w:p>
            <w:pPr>
              <w:jc w:val="left"/>
            </w:pPr>
            <w:r>
              <w:rPr>
                <w:rFonts w:ascii="Calibri" w:cs="Calibri" w:eastAsia="Calibri" w:hAnsi="Calibri"/>
                <w:b w:val="false"/>
                <w:bCs w:val="false"/>
                <w:sz w:val="15"/>
                <w:szCs w:val="15"/>
              </w:rPr>
              <w:t xml:space="preserve">Las pruebas usaban la base central.db real.</w:t>
            </w:r>
          </w:p>
        </w:tc>
        <w:tc>
          <w:tcPr>
            <w:tcW w:type="dxa" w:w="2904"/>
            <w:shd w:fill="EEF3FA" w:color="auto" w:val="clear"/>
            <w:tcMar>
              <w:top w:type="dxa" w:w="50"/>
              <w:left w:type="dxa" w:w="80"/>
              <w:bottom w:type="dxa" w:w="50"/>
              <w:right w:type="dxa" w:w="80"/>
            </w:tcMar>
            <w:vAlign w:val="center"/>
          </w:tcPr>
          <w:p>
            <w:pPr>
              <w:jc w:val="left"/>
            </w:pPr>
            <w:r>
              <w:rPr>
                <w:rFonts w:ascii="Calibri" w:cs="Calibri" w:eastAsia="Calibri" w:hAnsi="Calibri"/>
                <w:b w:val="false"/>
                <w:bCs w:val="false"/>
                <w:sz w:val="15"/>
                <w:szCs w:val="15"/>
              </w:rPr>
              <w:t xml:space="preserve">La prueba P7 fallaba por datos residuales.</w:t>
            </w:r>
          </w:p>
        </w:tc>
        <w:tc>
          <w:tcPr>
            <w:tcW w:type="dxa" w:w="3170"/>
            <w:shd w:fill="EEF3FA" w:color="auto" w:val="clear"/>
            <w:tcMar>
              <w:top w:type="dxa" w:w="50"/>
              <w:left w:type="dxa" w:w="80"/>
              <w:bottom w:type="dxa" w:w="50"/>
              <w:right w:type="dxa" w:w="80"/>
            </w:tcMar>
            <w:vAlign w:val="center"/>
          </w:tcPr>
          <w:p>
            <w:pPr>
              <w:jc w:val="left"/>
            </w:pPr>
            <w:r>
              <w:rPr>
                <w:rFonts w:ascii="Calibri" w:cs="Calibri" w:eastAsia="Calibri" w:hAnsi="Calibri"/>
                <w:b w:val="false"/>
                <w:bCs w:val="false"/>
                <w:sz w:val="15"/>
                <w:szCs w:val="15"/>
              </w:rPr>
              <w:t xml:space="preserve">Base aislada por prueba; 15/15 pruebas aprobadas.</w:t>
            </w:r>
          </w:p>
        </w:tc>
      </w:tr>
      <w:tr>
        <w:trPr>
          <w:cantSplit/>
        </w:trPr>
        <w:tc>
          <w:tcPr>
            <w:tcW w:type="dxa" w:w="396"/>
            <w:tcMar>
              <w:top w:type="dxa" w:w="50"/>
              <w:left w:type="dxa" w:w="80"/>
              <w:bottom w:type="dxa" w:w="50"/>
              <w:right w:type="dxa" w:w="80"/>
            </w:tcMar>
            <w:vAlign w:val="center"/>
          </w:tcPr>
          <w:p>
            <w:pPr>
              <w:jc w:val="center"/>
            </w:pPr>
            <w:r>
              <w:rPr>
                <w:rFonts w:ascii="Calibri" w:cs="Calibri" w:eastAsia="Calibri" w:hAnsi="Calibri"/>
                <w:b w:val="false"/>
                <w:bCs w:val="false"/>
                <w:sz w:val="15"/>
                <w:szCs w:val="15"/>
              </w:rPr>
              <w:t xml:space="preserve">13</w:t>
            </w:r>
          </w:p>
        </w:tc>
        <w:tc>
          <w:tcPr>
            <w:tcW w:type="dxa" w:w="3168"/>
            <w:tcMar>
              <w:top w:type="dxa" w:w="50"/>
              <w:left w:type="dxa" w:w="80"/>
              <w:bottom w:type="dxa" w:w="50"/>
              <w:right w:type="dxa" w:w="80"/>
            </w:tcMar>
            <w:vAlign w:val="center"/>
          </w:tcPr>
          <w:p>
            <w:pPr>
              <w:jc w:val="left"/>
            </w:pPr>
            <w:r>
              <w:rPr>
                <w:rFonts w:ascii="Calibri" w:cs="Calibri" w:eastAsia="Calibri" w:hAnsi="Calibri"/>
                <w:b w:val="false"/>
                <w:bCs w:val="false"/>
                <w:sz w:val="15"/>
                <w:szCs w:val="15"/>
              </w:rPr>
              <w:t xml:space="preserve">Solo los eventos eran append-only.</w:t>
            </w:r>
          </w:p>
        </w:tc>
        <w:tc>
          <w:tcPr>
            <w:tcW w:type="dxa" w:w="2904"/>
            <w:tcMar>
              <w:top w:type="dxa" w:w="50"/>
              <w:left w:type="dxa" w:w="80"/>
              <w:bottom w:type="dxa" w:w="50"/>
              <w:right w:type="dxa" w:w="80"/>
            </w:tcMar>
            <w:vAlign w:val="center"/>
          </w:tcPr>
          <w:p>
            <w:pPr>
              <w:jc w:val="left"/>
            </w:pPr>
            <w:r>
              <w:rPr>
                <w:rFonts w:ascii="Calibri" w:cs="Calibri" w:eastAsia="Calibri" w:hAnsi="Calibri"/>
                <w:b w:val="false"/>
                <w:bCs w:val="false"/>
                <w:sz w:val="15"/>
                <w:szCs w:val="15"/>
              </w:rPr>
              <w:t xml:space="preserve">Movimientos y bitácora podían alterarse.</w:t>
            </w:r>
          </w:p>
        </w:tc>
        <w:tc>
          <w:tcPr>
            <w:tcW w:type="dxa" w:w="3170"/>
            <w:tcMar>
              <w:top w:type="dxa" w:w="50"/>
              <w:left w:type="dxa" w:w="80"/>
              <w:bottom w:type="dxa" w:w="50"/>
              <w:right w:type="dxa" w:w="80"/>
            </w:tcMar>
            <w:vAlign w:val="center"/>
          </w:tcPr>
          <w:p>
            <w:pPr>
              <w:jc w:val="left"/>
            </w:pPr>
            <w:r>
              <w:rPr>
                <w:rFonts w:ascii="Calibri" w:cs="Calibri" w:eastAsia="Calibri" w:hAnsi="Calibri"/>
                <w:b w:val="false"/>
                <w:bCs w:val="false"/>
                <w:sz w:val="15"/>
                <w:szCs w:val="15"/>
              </w:rPr>
              <w:t xml:space="preserve">Triggers en las tres tablas y bloqueo también en el ORM.</w:t>
            </w:r>
          </w:p>
        </w:tc>
      </w:tr>
      <w:tr>
        <w:trPr>
          <w:cantSplit/>
        </w:trPr>
        <w:tc>
          <w:tcPr>
            <w:tcW w:type="dxa" w:w="396"/>
            <w:shd w:fill="EEF3FA" w:color="auto" w:val="clear"/>
            <w:tcMar>
              <w:top w:type="dxa" w:w="50"/>
              <w:left w:type="dxa" w:w="80"/>
              <w:bottom w:type="dxa" w:w="50"/>
              <w:right w:type="dxa" w:w="80"/>
            </w:tcMar>
            <w:vAlign w:val="center"/>
          </w:tcPr>
          <w:p>
            <w:pPr>
              <w:jc w:val="center"/>
            </w:pPr>
            <w:r>
              <w:rPr>
                <w:rFonts w:ascii="Calibri" w:cs="Calibri" w:eastAsia="Calibri" w:hAnsi="Calibri"/>
                <w:b w:val="false"/>
                <w:bCs w:val="false"/>
                <w:sz w:val="15"/>
                <w:szCs w:val="15"/>
              </w:rPr>
              <w:t xml:space="preserve">14</w:t>
            </w:r>
          </w:p>
        </w:tc>
        <w:tc>
          <w:tcPr>
            <w:tcW w:type="dxa" w:w="3168"/>
            <w:shd w:fill="EEF3FA" w:color="auto" w:val="clear"/>
            <w:tcMar>
              <w:top w:type="dxa" w:w="50"/>
              <w:left w:type="dxa" w:w="80"/>
              <w:bottom w:type="dxa" w:w="50"/>
              <w:right w:type="dxa" w:w="80"/>
            </w:tcMar>
            <w:vAlign w:val="center"/>
          </w:tcPr>
          <w:p>
            <w:pPr>
              <w:jc w:val="left"/>
            </w:pPr>
            <w:r>
              <w:rPr>
                <w:rFonts w:ascii="Calibri" w:cs="Calibri" w:eastAsia="Calibri" w:hAnsi="Calibri"/>
                <w:b w:val="false"/>
                <w:bCs w:val="false"/>
                <w:sz w:val="15"/>
                <w:szCs w:val="15"/>
              </w:rPr>
              <w:t xml:space="preserve">Reglas mayor/menor cantidad declaradas sin efecto en el merge.</w:t>
            </w:r>
          </w:p>
        </w:tc>
        <w:tc>
          <w:tcPr>
            <w:tcW w:type="dxa" w:w="2904"/>
            <w:shd w:fill="EEF3FA" w:color="auto" w:val="clear"/>
            <w:tcMar>
              <w:top w:type="dxa" w:w="50"/>
              <w:left w:type="dxa" w:w="80"/>
              <w:bottom w:type="dxa" w:w="50"/>
              <w:right w:type="dxa" w:w="80"/>
            </w:tcMar>
            <w:vAlign w:val="center"/>
          </w:tcPr>
          <w:p>
            <w:pPr>
              <w:jc w:val="left"/>
            </w:pPr>
            <w:r>
              <w:rPr>
                <w:rFonts w:ascii="Calibri" w:cs="Calibri" w:eastAsia="Calibri" w:hAnsi="Calibri"/>
                <w:b w:val="false"/>
                <w:bCs w:val="false"/>
                <w:sz w:val="15"/>
                <w:szCs w:val="15"/>
              </w:rPr>
              <w:t xml:space="preserve">Código muerto que describía una regla inexistente.</w:t>
            </w:r>
          </w:p>
        </w:tc>
        <w:tc>
          <w:tcPr>
            <w:tcW w:type="dxa" w:w="3170"/>
            <w:shd w:fill="EEF3FA" w:color="auto" w:val="clear"/>
            <w:tcMar>
              <w:top w:type="dxa" w:w="50"/>
              <w:left w:type="dxa" w:w="80"/>
              <w:bottom w:type="dxa" w:w="50"/>
              <w:right w:type="dxa" w:w="80"/>
            </w:tcMar>
            <w:vAlign w:val="center"/>
          </w:tcPr>
          <w:p>
            <w:pPr>
              <w:jc w:val="left"/>
            </w:pPr>
            <w:r>
              <w:rPr>
                <w:rFonts w:ascii="Calibri" w:cs="Calibri" w:eastAsia="Calibri" w:hAnsi="Calibri"/>
                <w:b w:val="false"/>
                <w:bCs w:val="false"/>
                <w:sz w:val="15"/>
                <w:szCs w:val="15"/>
              </w:rPr>
              <w:t xml:space="preserve">Regla semántica explícita: inmutabilidad, anulación que prevalece y estado CONFLICTO ante hechos divergentes.</w:t>
            </w:r>
          </w:p>
        </w:tc>
      </w:tr>
      <w:tr>
        <w:trPr>
          <w:cantSplit/>
        </w:trPr>
        <w:tc>
          <w:tcPr>
            <w:tcW w:type="dxa" w:w="396"/>
            <w:tcMar>
              <w:top w:type="dxa" w:w="50"/>
              <w:left w:type="dxa" w:w="80"/>
              <w:bottom w:type="dxa" w:w="50"/>
              <w:right w:type="dxa" w:w="80"/>
            </w:tcMar>
            <w:vAlign w:val="center"/>
          </w:tcPr>
          <w:p>
            <w:pPr>
              <w:jc w:val="center"/>
            </w:pPr>
            <w:r>
              <w:rPr>
                <w:rFonts w:ascii="Calibri" w:cs="Calibri" w:eastAsia="Calibri" w:hAnsi="Calibri"/>
                <w:b w:val="false"/>
                <w:bCs w:val="false"/>
                <w:sz w:val="15"/>
                <w:szCs w:val="15"/>
              </w:rPr>
              <w:t xml:space="preserve">15</w:t>
            </w:r>
          </w:p>
        </w:tc>
        <w:tc>
          <w:tcPr>
            <w:tcW w:type="dxa" w:w="3168"/>
            <w:tcMar>
              <w:top w:type="dxa" w:w="50"/>
              <w:left w:type="dxa" w:w="80"/>
              <w:bottom w:type="dxa" w:w="50"/>
              <w:right w:type="dxa" w:w="80"/>
            </w:tcMar>
            <w:vAlign w:val="center"/>
          </w:tcPr>
          <w:p>
            <w:pPr>
              <w:jc w:val="left"/>
            </w:pPr>
            <w:r>
              <w:rPr>
                <w:rFonts w:ascii="Calibri" w:cs="Calibri" w:eastAsia="Calibri" w:hAnsi="Calibri"/>
                <w:b w:val="false"/>
                <w:bCs w:val="false"/>
                <w:sz w:val="15"/>
                <w:szCs w:val="15"/>
              </w:rPr>
              <w:t xml:space="preserve">La verificación no contrastaba con un estado esperado independiente.</w:t>
            </w:r>
          </w:p>
        </w:tc>
        <w:tc>
          <w:tcPr>
            <w:tcW w:type="dxa" w:w="2904"/>
            <w:tcMar>
              <w:top w:type="dxa" w:w="50"/>
              <w:left w:type="dxa" w:w="80"/>
              <w:bottom w:type="dxa" w:w="50"/>
              <w:right w:type="dxa" w:w="80"/>
            </w:tcMar>
            <w:vAlign w:val="center"/>
          </w:tcPr>
          <w:p>
            <w:pPr>
              <w:jc w:val="left"/>
            </w:pPr>
            <w:r>
              <w:rPr>
                <w:rFonts w:ascii="Calibri" w:cs="Calibri" w:eastAsia="Calibri" w:hAnsi="Calibri"/>
                <w:b w:val="false"/>
                <w:bCs w:val="false"/>
                <w:sz w:val="15"/>
                <w:szCs w:val="15"/>
              </w:rPr>
              <w:t xml:space="preserve">Una convergencia a un valor erróneo pasaba por correcta.</w:t>
            </w:r>
          </w:p>
        </w:tc>
        <w:tc>
          <w:tcPr>
            <w:tcW w:type="dxa" w:w="3170"/>
            <w:tcMar>
              <w:top w:type="dxa" w:w="50"/>
              <w:left w:type="dxa" w:w="80"/>
              <w:bottom w:type="dxa" w:w="50"/>
              <w:right w:type="dxa" w:w="80"/>
            </w:tcMar>
            <w:vAlign w:val="center"/>
          </w:tcPr>
          <w:p>
            <w:pPr>
              <w:jc w:val="left"/>
            </w:pPr>
            <w:r>
              <w:rPr>
                <w:rFonts w:ascii="Calibri" w:cs="Calibri" w:eastAsia="Calibri" w:hAnsi="Calibri"/>
                <w:b w:val="false"/>
                <w:bCs w:val="false"/>
                <w:sz w:val="15"/>
                <w:szCs w:val="15"/>
              </w:rPr>
              <w:t xml:space="preserve">Oráculo calculado desde la semántica del dataset, sin usar el código CRDT.</w:t>
            </w:r>
          </w:p>
        </w:tc>
      </w:tr>
    </w:tbl>
    <w:p>
      <w:pPr>
        <w:spacing w:before="120"/>
      </w:pPr>
    </w:p>
    <w:p>
      <w:pPr>
        <w:spacing w:after="120" w:line="276"/>
        <w:jc w:val="both"/>
      </w:pPr>
      <w:r>
        <w:rPr>
          <w:rFonts w:ascii="Calibri" w:cs="Calibri" w:eastAsia="Calibri" w:hAnsi="Calibri"/>
          <w:b/>
          <w:bCs/>
          <w:sz w:val="21"/>
          <w:szCs w:val="21"/>
        </w:rPr>
        <w:t xml:space="preserve">Nota sobre el informe de avance (semanas 4 y 5). </w:t>
      </w:r>
      <w:r>
        <w:rPr>
          <w:rFonts w:ascii="Calibri" w:cs="Calibri" w:eastAsia="Calibri" w:hAnsi="Calibri"/>
          <w:sz w:val="21"/>
          <w:szCs w:val="21"/>
        </w:rPr>
        <w:t xml:space="preserve">Ese informe interpretó los 1,001 eventos frente a 1,000 movimientos como «el evento duplicado se almacena para auditoría». La revisión de la base plan-central.db muestra que la central tenía 1,001 eventos y 1,001 movimientos: el evento adicional correspondía al vale EP04-RECOVERY creado para la prueba, y el reenvío duplicado nunca se almacenó. La conclusión de idempotencia era correcta, pero su justificación no; este reporte la sustituye con la medición de la sección 5.4.</w:t>
      </w:r>
    </w:p>
    <w:p>
      <w:pPr>
        <w:pStyle w:val="Heading1"/>
        <w:spacing w:after="140" w:before="280"/>
      </w:pPr>
      <w:r>
        <w:rPr>
          <w:rFonts w:ascii="Calibri" w:cs="Calibri" w:eastAsia="Calibri" w:hAnsi="Calibri"/>
          <w:b/>
          <w:bCs/>
          <w:color w:val="1F3864"/>
          <w:sz w:val="28"/>
          <w:szCs w:val="28"/>
        </w:rPr>
        <w:t xml:space="preserve">4. Ambiente y diseño experimental</w:t>
      </w:r>
    </w:p>
    <w:p>
      <w:pPr>
        <w:pStyle w:val="Heading2"/>
        <w:spacing w:after="100" w:before="220"/>
      </w:pPr>
      <w:r>
        <w:rPr>
          <w:rFonts w:ascii="Calibri" w:cs="Calibri" w:eastAsia="Calibri" w:hAnsi="Calibri"/>
          <w:b/>
          <w:bCs/>
          <w:color w:val="1F3864"/>
          <w:sz w:val="24"/>
          <w:szCs w:val="24"/>
        </w:rPr>
        <w:t xml:space="preserve">4.1 Ambiente de pruebas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tblHeader/>
        </w:trPr>
        <w:tc>
          <w:tcPr>
            <w:tcW w:type="dxa" w:w="2409"/>
            <w:shd w:fill="1F3864" w:color="auto" w:val="clear"/>
            <w:tcMar>
              <w:top w:type="dxa" w:w="50"/>
              <w:left w:type="dxa" w:w="80"/>
              <w:bottom w:type="dxa" w:w="50"/>
              <w:right w:type="dxa" w:w="80"/>
            </w:tcMar>
            <w:vAlign w:val="center"/>
          </w:tcPr>
          <w:p>
            <w:pPr>
              <w:jc w:val="left"/>
            </w:pPr>
            <w:r>
              <w:rPr>
                <w:rFonts w:ascii="Calibri" w:cs="Calibri" w:eastAsia="Calibri" w:hAnsi="Calibri"/>
                <w:b/>
                <w:bCs/>
                <w:color w:val="FFFFFF"/>
                <w:sz w:val="17"/>
                <w:szCs w:val="17"/>
              </w:rPr>
              <w:t xml:space="preserve">Componente</w:t>
            </w:r>
          </w:p>
        </w:tc>
        <w:tc>
          <w:tcPr>
            <w:tcW w:type="dxa" w:w="7229"/>
            <w:shd w:fill="1F3864" w:color="auto" w:val="clear"/>
            <w:tcMar>
              <w:top w:type="dxa" w:w="50"/>
              <w:left w:type="dxa" w:w="80"/>
              <w:bottom w:type="dxa" w:w="50"/>
              <w:right w:type="dxa" w:w="80"/>
            </w:tcMar>
            <w:vAlign w:val="center"/>
          </w:tcPr>
          <w:p>
            <w:pPr>
              <w:jc w:val="left"/>
            </w:pPr>
            <w:r>
              <w:rPr>
                <w:rFonts w:ascii="Calibri" w:cs="Calibri" w:eastAsia="Calibri" w:hAnsi="Calibri"/>
                <w:b/>
                <w:bCs/>
                <w:color w:val="FFFFFF"/>
                <w:sz w:val="17"/>
                <w:szCs w:val="17"/>
              </w:rPr>
              <w:t xml:space="preserve">Detalle</w:t>
            </w:r>
          </w:p>
        </w:tc>
      </w:tr>
      <w:tr>
        <w:trPr>
          <w:cantSplit/>
        </w:trPr>
        <w:tc>
          <w:tcPr>
            <w:tcW w:type="dxa" w:w="2409"/>
            <w:tcMar>
              <w:top w:type="dxa" w:w="50"/>
              <w:left w:type="dxa" w:w="80"/>
              <w:bottom w:type="dxa" w:w="50"/>
              <w:right w:type="dxa" w:w="80"/>
            </w:tcMar>
            <w:vAlign w:val="center"/>
          </w:tcPr>
          <w:p>
            <w:pPr>
              <w:jc w:val="left"/>
            </w:pPr>
            <w:r>
              <w:rPr>
                <w:rFonts w:ascii="Calibri" w:cs="Calibri" w:eastAsia="Calibri" w:hAnsi="Calibri"/>
                <w:b w:val="false"/>
                <w:bCs w:val="false"/>
                <w:sz w:val="17"/>
                <w:szCs w:val="17"/>
              </w:rPr>
              <w:t xml:space="preserve">Hardware</w:t>
            </w:r>
          </w:p>
        </w:tc>
        <w:tc>
          <w:tcPr>
            <w:tcW w:type="dxa" w:w="7229"/>
            <w:tcMar>
              <w:top w:type="dxa" w:w="50"/>
              <w:left w:type="dxa" w:w="80"/>
              <w:bottom w:type="dxa" w:w="50"/>
              <w:right w:type="dxa" w:w="80"/>
            </w:tcMar>
            <w:vAlign w:val="center"/>
          </w:tcPr>
          <w:p>
            <w:pPr>
              <w:jc w:val="left"/>
            </w:pPr>
            <w:r>
              <w:rPr>
                <w:rFonts w:ascii="Calibri" w:cs="Calibri" w:eastAsia="Calibri" w:hAnsi="Calibri"/>
                <w:b w:val="false"/>
                <w:bCs w:val="false"/>
                <w:sz w:val="17"/>
                <w:szCs w:val="17"/>
              </w:rPr>
              <w:t xml:space="preserve">AMD Ryzen 7 2700 Eight-Core Processor; 16 hilos lógicos; 23.9 GB RAM</w:t>
            </w:r>
          </w:p>
        </w:tc>
      </w:tr>
      <w:tr>
        <w:trPr>
          <w:cantSplit/>
        </w:trPr>
        <w:tc>
          <w:tcPr>
            <w:tcW w:type="dxa" w:w="2409"/>
            <w:shd w:fill="EEF3FA" w:color="auto" w:val="clear"/>
            <w:tcMar>
              <w:top w:type="dxa" w:w="50"/>
              <w:left w:type="dxa" w:w="80"/>
              <w:bottom w:type="dxa" w:w="50"/>
              <w:right w:type="dxa" w:w="80"/>
            </w:tcMar>
            <w:vAlign w:val="center"/>
          </w:tcPr>
          <w:p>
            <w:pPr>
              <w:jc w:val="left"/>
            </w:pPr>
            <w:r>
              <w:rPr>
                <w:rFonts w:ascii="Calibri" w:cs="Calibri" w:eastAsia="Calibri" w:hAnsi="Calibri"/>
                <w:b w:val="false"/>
                <w:bCs w:val="false"/>
                <w:sz w:val="17"/>
                <w:szCs w:val="17"/>
              </w:rPr>
              <w:t xml:space="preserve">Sistema operativo</w:t>
            </w:r>
          </w:p>
        </w:tc>
        <w:tc>
          <w:tcPr>
            <w:tcW w:type="dxa" w:w="7229"/>
            <w:shd w:fill="EEF3FA" w:color="auto" w:val="clear"/>
            <w:tcMar>
              <w:top w:type="dxa" w:w="50"/>
              <w:left w:type="dxa" w:w="80"/>
              <w:bottom w:type="dxa" w:w="50"/>
              <w:right w:type="dxa" w:w="80"/>
            </w:tcMar>
            <w:vAlign w:val="center"/>
          </w:tcPr>
          <w:p>
            <w:pPr>
              <w:jc w:val="left"/>
            </w:pPr>
            <w:r>
              <w:rPr>
                <w:rFonts w:ascii="Calibri" w:cs="Calibri" w:eastAsia="Calibri" w:hAnsi="Calibri"/>
                <w:b w:val="false"/>
                <w:bCs w:val="false"/>
                <w:sz w:val="17"/>
                <w:szCs w:val="17"/>
              </w:rPr>
              <w:t xml:space="preserve">Windows-10-10.0.19045-SP0</w:t>
            </w:r>
          </w:p>
        </w:tc>
      </w:tr>
      <w:tr>
        <w:trPr>
          <w:cantSplit/>
        </w:trPr>
        <w:tc>
          <w:tcPr>
            <w:tcW w:type="dxa" w:w="2409"/>
            <w:tcMar>
              <w:top w:type="dxa" w:w="50"/>
              <w:left w:type="dxa" w:w="80"/>
              <w:bottom w:type="dxa" w:w="50"/>
              <w:right w:type="dxa" w:w="80"/>
            </w:tcMar>
            <w:vAlign w:val="center"/>
          </w:tcPr>
          <w:p>
            <w:pPr>
              <w:jc w:val="left"/>
            </w:pPr>
            <w:r>
              <w:rPr>
                <w:rFonts w:ascii="Calibri" w:cs="Calibri" w:eastAsia="Calibri" w:hAnsi="Calibri"/>
                <w:b w:val="false"/>
                <w:bCs w:val="false"/>
                <w:sz w:val="17"/>
                <w:szCs w:val="17"/>
              </w:rPr>
              <w:t xml:space="preserve">Software</w:t>
            </w:r>
          </w:p>
        </w:tc>
        <w:tc>
          <w:tcPr>
            <w:tcW w:type="dxa" w:w="7229"/>
            <w:tcMar>
              <w:top w:type="dxa" w:w="50"/>
              <w:left w:type="dxa" w:w="80"/>
              <w:bottom w:type="dxa" w:w="50"/>
              <w:right w:type="dxa" w:w="80"/>
            </w:tcMar>
            <w:vAlign w:val="center"/>
          </w:tcPr>
          <w:p>
            <w:pPr>
              <w:jc w:val="left"/>
            </w:pPr>
            <w:r>
              <w:rPr>
                <w:rFonts w:ascii="Calibri" w:cs="Calibri" w:eastAsia="Calibri" w:hAnsi="Calibri"/>
                <w:b w:val="false"/>
                <w:bCs w:val="false"/>
                <w:sz w:val="17"/>
                <w:szCs w:val="17"/>
              </w:rPr>
              <w:t xml:space="preserve">Python 3.10.9, SQLite 3.39.4, FastAPI 0.141.1, Uvicorn 0.53.0 (1 worker), SQLAlchemy 2.0.54, Pydantic 2.13.5, httpx 0.28.1</w:t>
            </w:r>
          </w:p>
        </w:tc>
      </w:tr>
      <w:tr>
        <w:trPr>
          <w:cantSplit/>
        </w:trPr>
        <w:tc>
          <w:tcPr>
            <w:tcW w:type="dxa" w:w="2409"/>
            <w:shd w:fill="EEF3FA" w:color="auto" w:val="clear"/>
            <w:tcMar>
              <w:top w:type="dxa" w:w="50"/>
              <w:left w:type="dxa" w:w="80"/>
              <w:bottom w:type="dxa" w:w="50"/>
              <w:right w:type="dxa" w:w="80"/>
            </w:tcMar>
            <w:vAlign w:val="center"/>
          </w:tcPr>
          <w:p>
            <w:pPr>
              <w:jc w:val="left"/>
            </w:pPr>
            <w:r>
              <w:rPr>
                <w:rFonts w:ascii="Calibri" w:cs="Calibri" w:eastAsia="Calibri" w:hAnsi="Calibri"/>
                <w:b w:val="false"/>
                <w:bCs w:val="false"/>
                <w:sz w:val="17"/>
                <w:szCs w:val="17"/>
              </w:rPr>
              <w:t xml:space="preserve">Topología</w:t>
            </w:r>
          </w:p>
        </w:tc>
        <w:tc>
          <w:tcPr>
            <w:tcW w:type="dxa" w:w="7229"/>
            <w:shd w:fill="EEF3FA" w:color="auto" w:val="clear"/>
            <w:tcMar>
              <w:top w:type="dxa" w:w="50"/>
              <w:left w:type="dxa" w:w="80"/>
              <w:bottom w:type="dxa" w:w="50"/>
              <w:right w:type="dxa" w:w="80"/>
            </w:tcMar>
            <w:vAlign w:val="center"/>
          </w:tcPr>
          <w:p>
            <w:pPr>
              <w:jc w:val="left"/>
            </w:pPr>
            <w:r>
              <w:rPr>
                <w:rFonts w:ascii="Calibri" w:cs="Calibri" w:eastAsia="Calibri" w:hAnsi="Calibri"/>
                <w:b w:val="false"/>
                <w:bCs w:val="false"/>
                <w:sz w:val="17"/>
                <w:szCs w:val="17"/>
              </w:rPr>
              <w:t xml:space="preserve">1 servidor central + gateway (proceso uvicorn) y 5 nodos de campo (procesos independientes), comunicados por loopback 127.0.0.1</w:t>
            </w:r>
          </w:p>
        </w:tc>
      </w:tr>
      <w:tr>
        <w:trPr>
          <w:cantSplit/>
        </w:trPr>
        <w:tc>
          <w:tcPr>
            <w:tcW w:type="dxa" w:w="2409"/>
            <w:tcMar>
              <w:top w:type="dxa" w:w="50"/>
              <w:left w:type="dxa" w:w="80"/>
              <w:bottom w:type="dxa" w:w="50"/>
              <w:right w:type="dxa" w:w="80"/>
            </w:tcMar>
            <w:vAlign w:val="center"/>
          </w:tcPr>
          <w:p>
            <w:pPr>
              <w:jc w:val="left"/>
            </w:pPr>
            <w:r>
              <w:rPr>
                <w:rFonts w:ascii="Calibri" w:cs="Calibri" w:eastAsia="Calibri" w:hAnsi="Calibri"/>
                <w:b w:val="false"/>
                <w:bCs w:val="false"/>
                <w:sz w:val="17"/>
                <w:szCs w:val="17"/>
              </w:rPr>
              <w:t xml:space="preserve">Persistencia</w:t>
            </w:r>
          </w:p>
        </w:tc>
        <w:tc>
          <w:tcPr>
            <w:tcW w:type="dxa" w:w="7229"/>
            <w:tcMar>
              <w:top w:type="dxa" w:w="50"/>
              <w:left w:type="dxa" w:w="80"/>
              <w:bottom w:type="dxa" w:w="50"/>
              <w:right w:type="dxa" w:w="80"/>
            </w:tcMar>
            <w:vAlign w:val="center"/>
          </w:tcPr>
          <w:p>
            <w:pPr>
              <w:jc w:val="left"/>
            </w:pPr>
            <w:r>
              <w:rPr>
                <w:rFonts w:ascii="Calibri" w:cs="Calibri" w:eastAsia="Calibri" w:hAnsi="Calibri"/>
                <w:b w:val="false"/>
                <w:bCs w:val="false"/>
                <w:sz w:val="17"/>
                <w:szCs w:val="17"/>
              </w:rPr>
              <w:t xml:space="preserve">SQLite en modo WAL con synchronous=FULL en la central y en cada nodo</w:t>
            </w:r>
          </w:p>
        </w:tc>
      </w:tr>
      <w:tr>
        <w:trPr>
          <w:cantSplit/>
        </w:trPr>
        <w:tc>
          <w:tcPr>
            <w:tcW w:type="dxa" w:w="2409"/>
            <w:shd w:fill="EEF3FA" w:color="auto" w:val="clear"/>
            <w:tcMar>
              <w:top w:type="dxa" w:w="50"/>
              <w:left w:type="dxa" w:w="80"/>
              <w:bottom w:type="dxa" w:w="50"/>
              <w:right w:type="dxa" w:w="80"/>
            </w:tcMar>
            <w:vAlign w:val="center"/>
          </w:tcPr>
          <w:p>
            <w:pPr>
              <w:jc w:val="left"/>
            </w:pPr>
            <w:r>
              <w:rPr>
                <w:rFonts w:ascii="Calibri" w:cs="Calibri" w:eastAsia="Calibri" w:hAnsi="Calibri"/>
                <w:b w:val="false"/>
                <w:bCs w:val="false"/>
                <w:sz w:val="17"/>
                <w:szCs w:val="17"/>
              </w:rPr>
              <w:t xml:space="preserve">Análisis</w:t>
            </w:r>
          </w:p>
        </w:tc>
        <w:tc>
          <w:tcPr>
            <w:tcW w:type="dxa" w:w="7229"/>
            <w:shd w:fill="EEF3FA" w:color="auto" w:val="clear"/>
            <w:tcMar>
              <w:top w:type="dxa" w:w="50"/>
              <w:left w:type="dxa" w:w="80"/>
              <w:bottom w:type="dxa" w:w="50"/>
              <w:right w:type="dxa" w:w="80"/>
            </w:tcMar>
            <w:vAlign w:val="center"/>
          </w:tcPr>
          <w:p>
            <w:pPr>
              <w:jc w:val="left"/>
            </w:pPr>
            <w:r>
              <w:rPr>
                <w:rFonts w:ascii="Calibri" w:cs="Calibri" w:eastAsia="Calibri" w:hAnsi="Calibri"/>
                <w:b w:val="false"/>
                <w:bCs w:val="false"/>
                <w:sz w:val="17"/>
                <w:szCs w:val="17"/>
              </w:rPr>
              <w:t xml:space="preserve">Python 3.10 (pandas, SciPy, matplotlib); exportación a Jamovi/R</w:t>
            </w:r>
          </w:p>
        </w:tc>
      </w:tr>
    </w:tbl>
    <w:p>
      <w:pPr>
        <w:pStyle w:val="Heading2"/>
        <w:spacing w:after="100" w:before="220"/>
      </w:pPr>
      <w:r>
        <w:rPr>
          <w:rFonts w:ascii="Calibri" w:cs="Calibri" w:eastAsia="Calibri" w:hAnsi="Calibri"/>
          <w:b/>
          <w:bCs/>
          <w:color w:val="1F3864"/>
          <w:sz w:val="24"/>
          <w:szCs w:val="24"/>
        </w:rPr>
        <w:t xml:space="preserve">4.2 Población y escenarios</w:t>
      </w:r>
    </w:p>
    <w:p>
      <w:pPr>
        <w:spacing w:after="120" w:line="276"/>
        <w:jc w:val="both"/>
      </w:pPr>
      <w:r>
        <w:rPr>
          <w:rFonts w:ascii="Calibri" w:cs="Calibri" w:eastAsia="Calibri" w:hAnsi="Calibri"/>
          <w:sz w:val="21"/>
          <w:szCs w:val="21"/>
        </w:rPr>
        <w:t xml:space="preserve">Cada corrida usó 1,000 transacciones logísticas sintéticas repartidas en 5 nodos (200 por nodo): 850 vales nuevos de salida (~70 %) e ingreso (~30 %), concentrados en los materiales críticos cemento, arena y acero, y 150 operaciones solapadas sobre 50 vales compartidos (anulaciones dobles, reasignaciones y observaciones concurrentes). Los escenarios se instrumentaron así: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48"/>
        <w:gridCol w:w="4819"/>
        <w:gridCol w:w="2571"/>
      </w:tblGrid>
      <w:tr>
        <w:trPr>
          <w:tblHeader/>
        </w:trPr>
        <w:tc>
          <w:tcPr>
            <w:tcW w:type="dxa" w:w="2248"/>
            <w:shd w:fill="1F3864" w:color="auto" w:val="clear"/>
            <w:tcMar>
              <w:top w:type="dxa" w:w="50"/>
              <w:left w:type="dxa" w:w="80"/>
              <w:bottom w:type="dxa" w:w="50"/>
              <w:right w:type="dxa" w:w="80"/>
            </w:tcMar>
            <w:vAlign w:val="center"/>
          </w:tcPr>
          <w:p>
            <w:pPr>
              <w:jc w:val="left"/>
            </w:pPr>
            <w:r>
              <w:rPr>
                <w:rFonts w:ascii="Calibri" w:cs="Calibri" w:eastAsia="Calibri" w:hAnsi="Calibri"/>
                <w:b/>
                <w:bCs/>
                <w:color w:val="FFFFFF"/>
                <w:sz w:val="17"/>
                <w:szCs w:val="17"/>
              </w:rPr>
              <w:t xml:space="preserve">Escenario</w:t>
            </w:r>
          </w:p>
        </w:tc>
        <w:tc>
          <w:tcPr>
            <w:tcW w:type="dxa" w:w="4819"/>
            <w:shd w:fill="1F3864" w:color="auto" w:val="clear"/>
            <w:tcMar>
              <w:top w:type="dxa" w:w="50"/>
              <w:left w:type="dxa" w:w="80"/>
              <w:bottom w:type="dxa" w:w="50"/>
              <w:right w:type="dxa" w:w="80"/>
            </w:tcMar>
            <w:vAlign w:val="center"/>
          </w:tcPr>
          <w:p>
            <w:pPr>
              <w:jc w:val="left"/>
            </w:pPr>
            <w:r>
              <w:rPr>
                <w:rFonts w:ascii="Calibri" w:cs="Calibri" w:eastAsia="Calibri" w:hAnsi="Calibri"/>
                <w:b/>
                <w:bCs/>
                <w:color w:val="FFFFFF"/>
                <w:sz w:val="17"/>
                <w:szCs w:val="17"/>
              </w:rPr>
              <w:t xml:space="preserve">Implementación</w:t>
            </w:r>
          </w:p>
        </w:tc>
        <w:tc>
          <w:tcPr>
            <w:tcW w:type="dxa" w:w="2571"/>
            <w:shd w:fill="1F3864" w:color="auto" w:val="clear"/>
            <w:tcMar>
              <w:top w:type="dxa" w:w="50"/>
              <w:left w:type="dxa" w:w="80"/>
              <w:bottom w:type="dxa" w:w="50"/>
              <w:right w:type="dxa" w:w="80"/>
            </w:tcMar>
            <w:vAlign w:val="center"/>
          </w:tcPr>
          <w:p>
            <w:pPr>
              <w:jc w:val="left"/>
            </w:pPr>
            <w:r>
              <w:rPr>
                <w:rFonts w:ascii="Calibri" w:cs="Calibri" w:eastAsia="Calibri" w:hAnsi="Calibri"/>
                <w:b/>
                <w:bCs/>
                <w:color w:val="FFFFFF"/>
                <w:sz w:val="17"/>
                <w:szCs w:val="17"/>
              </w:rPr>
              <w:t xml:space="preserve">Instrumento</w:t>
            </w:r>
          </w:p>
        </w:tc>
      </w:tr>
      <w:tr>
        <w:trPr>
          <w:cantSplit/>
        </w:trPr>
        <w:tc>
          <w:tcPr>
            <w:tcW w:type="dxa" w:w="2248"/>
            <w:tcMar>
              <w:top w:type="dxa" w:w="50"/>
              <w:left w:type="dxa" w:w="80"/>
              <w:bottom w:type="dxa" w:w="50"/>
              <w:right w:type="dxa" w:w="80"/>
            </w:tcMar>
            <w:vAlign w:val="center"/>
          </w:tcPr>
          <w:p>
            <w:pPr>
              <w:jc w:val="left"/>
            </w:pPr>
            <w:r>
              <w:rPr>
                <w:rFonts w:ascii="Calibri" w:cs="Calibri" w:eastAsia="Calibri" w:hAnsi="Calibri"/>
                <w:b w:val="false"/>
                <w:bCs w:val="false"/>
                <w:sz w:val="17"/>
                <w:szCs w:val="17"/>
              </w:rPr>
              <w:t xml:space="preserve">EP01 — Registro offline</w:t>
            </w:r>
          </w:p>
        </w:tc>
        <w:tc>
          <w:tcPr>
            <w:tcW w:type="dxa" w:w="4819"/>
            <w:tcMar>
              <w:top w:type="dxa" w:w="50"/>
              <w:left w:type="dxa" w:w="80"/>
              <w:bottom w:type="dxa" w:w="50"/>
              <w:right w:type="dxa" w:w="80"/>
            </w:tcMar>
            <w:vAlign w:val="center"/>
          </w:tcPr>
          <w:p>
            <w:pPr>
              <w:jc w:val="left"/>
            </w:pPr>
            <w:r>
              <w:rPr>
                <w:rFonts w:ascii="Calibri" w:cs="Calibri" w:eastAsia="Calibri" w:hAnsi="Calibri"/>
                <w:b w:val="false"/>
                <w:bCs w:val="false"/>
                <w:sz w:val="17"/>
                <w:szCs w:val="17"/>
              </w:rPr>
              <w:t xml:space="preserve">200 operaciones por nodo con la red bloqueada en el dispositivo; sondas cada 50 operaciones.</w:t>
            </w:r>
          </w:p>
        </w:tc>
        <w:tc>
          <w:tcPr>
            <w:tcW w:type="dxa" w:w="2571"/>
            <w:tcMar>
              <w:top w:type="dxa" w:w="50"/>
              <w:left w:type="dxa" w:w="80"/>
              <w:bottom w:type="dxa" w:w="50"/>
              <w:right w:type="dxa" w:w="80"/>
            </w:tcMar>
            <w:vAlign w:val="center"/>
          </w:tcPr>
          <w:p>
            <w:pPr>
              <w:jc w:val="left"/>
            </w:pPr>
            <w:r>
              <w:rPr>
                <w:rFonts w:ascii="Calibri" w:cs="Calibri" w:eastAsia="Calibri" w:hAnsi="Calibri"/>
                <w:b w:val="false"/>
                <w:bCs w:val="false"/>
                <w:sz w:val="17"/>
                <w:szCs w:val="17"/>
              </w:rPr>
              <w:t xml:space="preserve">operaciones_offline.csv, sondas_conectividad.csv</w:t>
            </w:r>
          </w:p>
        </w:tc>
      </w:tr>
      <w:tr>
        <w:trPr>
          <w:cantSplit/>
        </w:trPr>
        <w:tc>
          <w:tcPr>
            <w:tcW w:type="dxa" w:w="2248"/>
            <w:shd w:fill="EEF3FA" w:color="auto" w:val="clear"/>
            <w:tcMar>
              <w:top w:type="dxa" w:w="50"/>
              <w:left w:type="dxa" w:w="80"/>
              <w:bottom w:type="dxa" w:w="50"/>
              <w:right w:type="dxa" w:w="80"/>
            </w:tcMar>
            <w:vAlign w:val="center"/>
          </w:tcPr>
          <w:p>
            <w:pPr>
              <w:jc w:val="left"/>
            </w:pPr>
            <w:r>
              <w:rPr>
                <w:rFonts w:ascii="Calibri" w:cs="Calibri" w:eastAsia="Calibri" w:hAnsi="Calibri"/>
                <w:b w:val="false"/>
                <w:bCs w:val="false"/>
                <w:sz w:val="17"/>
                <w:szCs w:val="17"/>
              </w:rPr>
              <w:t xml:space="preserve">EP02 — Sincronización y reconciliación</w:t>
            </w:r>
          </w:p>
        </w:tc>
        <w:tc>
          <w:tcPr>
            <w:tcW w:type="dxa" w:w="4819"/>
            <w:shd w:fill="EEF3FA" w:color="auto" w:val="clear"/>
            <w:tcMar>
              <w:top w:type="dxa" w:w="50"/>
              <w:left w:type="dxa" w:w="80"/>
              <w:bottom w:type="dxa" w:w="50"/>
              <w:right w:type="dxa" w:w="80"/>
            </w:tcMar>
            <w:vAlign w:val="center"/>
          </w:tcPr>
          <w:p>
            <w:pPr>
              <w:jc w:val="left"/>
            </w:pPr>
            <w:r>
              <w:rPr>
                <w:rFonts w:ascii="Calibri" w:cs="Calibri" w:eastAsia="Calibri" w:hAnsi="Calibri"/>
                <w:b w:val="false"/>
                <w:bCs w:val="false"/>
                <w:sz w:val="17"/>
                <w:szCs w:val="17"/>
              </w:rPr>
              <w:t xml:space="preserve">Reconexión simultánea de los 5 nodos (barrera) y transmisión de 10 lotes de 100 vales; pull y comparación de las réplicas.</w:t>
            </w:r>
          </w:p>
        </w:tc>
        <w:tc>
          <w:tcPr>
            <w:tcW w:type="dxa" w:w="2571"/>
            <w:shd w:fill="EEF3FA" w:color="auto" w:val="clear"/>
            <w:tcMar>
              <w:top w:type="dxa" w:w="50"/>
              <w:left w:type="dxa" w:w="80"/>
              <w:bottom w:type="dxa" w:w="50"/>
              <w:right w:type="dxa" w:w="80"/>
            </w:tcMar>
            <w:vAlign w:val="center"/>
          </w:tcPr>
          <w:p>
            <w:pPr>
              <w:jc w:val="left"/>
            </w:pPr>
            <w:r>
              <w:rPr>
                <w:rFonts w:ascii="Calibri" w:cs="Calibri" w:eastAsia="Calibri" w:hAnsi="Calibri"/>
                <w:b w:val="false"/>
                <w:bCs w:val="false"/>
                <w:sz w:val="17"/>
                <w:szCs w:val="17"/>
              </w:rPr>
              <w:t xml:space="preserve">evento_sincronizacion, convergencia_nodos.csv, oráculo</w:t>
            </w:r>
          </w:p>
        </w:tc>
      </w:tr>
      <w:tr>
        <w:trPr>
          <w:cantSplit/>
        </w:trPr>
        <w:tc>
          <w:tcPr>
            <w:tcW w:type="dxa" w:w="2248"/>
            <w:tcMar>
              <w:top w:type="dxa" w:w="50"/>
              <w:left w:type="dxa" w:w="80"/>
              <w:bottom w:type="dxa" w:w="50"/>
              <w:right w:type="dxa" w:w="80"/>
            </w:tcMar>
            <w:vAlign w:val="center"/>
          </w:tcPr>
          <w:p>
            <w:pPr>
              <w:jc w:val="left"/>
            </w:pPr>
            <w:r>
              <w:rPr>
                <w:rFonts w:ascii="Calibri" w:cs="Calibri" w:eastAsia="Calibri" w:hAnsi="Calibri"/>
                <w:b w:val="false"/>
                <w:bCs w:val="false"/>
                <w:sz w:val="17"/>
                <w:szCs w:val="17"/>
              </w:rPr>
              <w:t xml:space="preserve">EP03 — Tiempo de respuesta</w:t>
            </w:r>
          </w:p>
        </w:tc>
        <w:tc>
          <w:tcPr>
            <w:tcW w:type="dxa" w:w="4819"/>
            <w:tcMar>
              <w:top w:type="dxa" w:w="50"/>
              <w:left w:type="dxa" w:w="80"/>
              <w:bottom w:type="dxa" w:w="50"/>
              <w:right w:type="dxa" w:w="80"/>
            </w:tcMar>
            <w:vAlign w:val="center"/>
          </w:tcPr>
          <w:p>
            <w:pPr>
              <w:jc w:val="left"/>
            </w:pPr>
            <w:r>
              <w:rPr>
                <w:rFonts w:ascii="Calibri" w:cs="Calibri" w:eastAsia="Calibri" w:hAnsi="Calibri"/>
                <w:b w:val="false"/>
                <w:bCs w:val="false"/>
                <w:sz w:val="17"/>
                <w:szCs w:val="17"/>
              </w:rPr>
              <w:t xml:space="preserve">Latencia extremo a extremo de cada lote, desde el envío hasta la confirmación de conciliación, con desglose del lado servidor.</w:t>
            </w:r>
          </w:p>
        </w:tc>
        <w:tc>
          <w:tcPr>
            <w:tcW w:type="dxa" w:w="2571"/>
            <w:tcMar>
              <w:top w:type="dxa" w:w="50"/>
              <w:left w:type="dxa" w:w="80"/>
              <w:bottom w:type="dxa" w:w="50"/>
              <w:right w:type="dxa" w:w="80"/>
            </w:tcMar>
            <w:vAlign w:val="center"/>
          </w:tcPr>
          <w:p>
            <w:pPr>
              <w:jc w:val="left"/>
            </w:pPr>
            <w:r>
              <w:rPr>
                <w:rFonts w:ascii="Calibri" w:cs="Calibri" w:eastAsia="Calibri" w:hAnsi="Calibri"/>
                <w:b w:val="false"/>
                <w:bCs w:val="false"/>
                <w:sz w:val="17"/>
                <w:szCs w:val="17"/>
              </w:rPr>
              <w:t xml:space="preserve">lotes.csv, servidor_lotes.csv</w:t>
            </w:r>
          </w:p>
        </w:tc>
      </w:tr>
      <w:tr>
        <w:trPr>
          <w:cantSplit/>
        </w:trPr>
        <w:tc>
          <w:tcPr>
            <w:tcW w:type="dxa" w:w="2248"/>
            <w:shd w:fill="EEF3FA" w:color="auto" w:val="clear"/>
            <w:tcMar>
              <w:top w:type="dxa" w:w="50"/>
              <w:left w:type="dxa" w:w="80"/>
              <w:bottom w:type="dxa" w:w="50"/>
              <w:right w:type="dxa" w:w="80"/>
            </w:tcMar>
            <w:vAlign w:val="center"/>
          </w:tcPr>
          <w:p>
            <w:pPr>
              <w:jc w:val="left"/>
            </w:pPr>
            <w:r>
              <w:rPr>
                <w:rFonts w:ascii="Calibri" w:cs="Calibri" w:eastAsia="Calibri" w:hAnsi="Calibri"/>
                <w:b w:val="false"/>
                <w:bCs w:val="false"/>
                <w:sz w:val="17"/>
                <w:szCs w:val="17"/>
              </w:rPr>
              <w:t xml:space="preserve">EP04 — Resiliencia</w:t>
            </w:r>
          </w:p>
        </w:tc>
        <w:tc>
          <w:tcPr>
            <w:tcW w:type="dxa" w:w="4819"/>
            <w:shd w:fill="EEF3FA" w:color="auto" w:val="clear"/>
            <w:tcMar>
              <w:top w:type="dxa" w:w="50"/>
              <w:left w:type="dxa" w:w="80"/>
              <w:bottom w:type="dxa" w:w="50"/>
              <w:right w:type="dxa" w:w="80"/>
            </w:tcMar>
            <w:vAlign w:val="center"/>
          </w:tcPr>
          <w:p>
            <w:pPr>
              <w:jc w:val="left"/>
            </w:pPr>
            <w:r>
              <w:rPr>
                <w:rFonts w:ascii="Calibri" w:cs="Calibri" w:eastAsia="Calibri" w:hAnsi="Calibri"/>
                <w:b w:val="false"/>
                <w:bCs w:val="false"/>
                <w:sz w:val="17"/>
                <w:szCs w:val="17"/>
              </w:rPr>
              <w:t xml:space="preserve">Cortes PRE_ENVIO, CORTE_MITAD (cuerpo JSON truncado) y POST_CONFIRMACION en cada lote; ~30 % con un segundo corte.</w:t>
            </w:r>
          </w:p>
        </w:tc>
        <w:tc>
          <w:tcPr>
            <w:tcW w:type="dxa" w:w="2571"/>
            <w:shd w:fill="EEF3FA" w:color="auto" w:val="clear"/>
            <w:tcMar>
              <w:top w:type="dxa" w:w="50"/>
              <w:left w:type="dxa" w:w="80"/>
              <w:bottom w:type="dxa" w:w="50"/>
              <w:right w:type="dxa" w:w="80"/>
            </w:tcMar>
            <w:vAlign w:val="center"/>
          </w:tcPr>
          <w:p>
            <w:pPr>
              <w:jc w:val="left"/>
            </w:pPr>
            <w:r>
              <w:rPr>
                <w:rFonts w:ascii="Calibri" w:cs="Calibri" w:eastAsia="Calibri" w:hAnsi="Calibri"/>
                <w:b w:val="false"/>
                <w:bCs w:val="false"/>
                <w:sz w:val="17"/>
                <w:szCs w:val="17"/>
              </w:rPr>
              <w:t xml:space="preserve">intentos.csv, conteos frente al oráculo</w:t>
            </w:r>
          </w:p>
        </w:tc>
      </w:tr>
    </w:tbl>
    <w:p>
      <w:pPr>
        <w:spacing w:after="120" w:line="276"/>
        <w:jc w:val="both"/>
      </w:pPr>
      <w:r>
        <w:rPr>
          <w:rFonts w:ascii="Calibri" w:cs="Calibri" w:eastAsia="Calibri" w:hAnsi="Calibri"/>
          <w:sz w:val="21"/>
          <w:szCs w:val="21"/>
        </w:rPr>
        <w:t xml:space="preserve">Diseño: 2 condiciones (red limpia y red con cortes) × 30 repeticiones, intercaladas en el tiempo. Cada repetición usa el mismo dataset en ambas condiciones (diseño pareado) y una central nueva con la base vacía.</w:t>
      </w:r>
    </w:p>
    <w:p>
      <w:pPr>
        <w:pStyle w:val="Heading1"/>
        <w:spacing w:after="140" w:before="280"/>
      </w:pPr>
      <w:r>
        <w:rPr>
          <w:rFonts w:ascii="Calibri" w:cs="Calibri" w:eastAsia="Calibri" w:hAnsi="Calibri"/>
          <w:b/>
          <w:bCs/>
          <w:color w:val="1F3864"/>
          <w:sz w:val="28"/>
          <w:szCs w:val="28"/>
        </w:rPr>
        <w:t xml:space="preserve">5. Resultados</w:t>
      </w:r>
    </w:p>
    <w:p>
      <w:pPr>
        <w:pStyle w:val="Heading2"/>
        <w:spacing w:after="100" w:before="220"/>
      </w:pPr>
      <w:r>
        <w:rPr>
          <w:rFonts w:ascii="Calibri" w:cs="Calibri" w:eastAsia="Calibri" w:hAnsi="Calibri"/>
          <w:b/>
          <w:bCs/>
          <w:color w:val="1F3864"/>
          <w:sz w:val="24"/>
          <w:szCs w:val="24"/>
        </w:rPr>
        <w:t xml:space="preserve">5.1 Integridad (Id)</w:t>
      </w:r>
    </w:p>
    <w:p>
      <w:pPr>
        <w:spacing w:after="120" w:line="276"/>
        <w:jc w:val="both"/>
      </w:pPr>
      <w:r>
        <w:rPr>
          <w:rFonts w:ascii="Calibri" w:cs="Calibri" w:eastAsia="Calibri" w:hAnsi="Calibri"/>
          <w:sz w:val="21"/>
          <w:szCs w:val="21"/>
        </w:rPr>
        <w:t xml:space="preserve">Los 60,000 vales transmitidos se conciliaron exactamente una vez, y su estado final coincidió con el oráculo y con las 5 réplicas: Id = </w:t>
      </w:r>
      <w:r>
        <w:rPr>
          <w:rFonts w:ascii="Calibri" w:cs="Calibri" w:eastAsia="Calibri" w:hAnsi="Calibri"/>
          <w:b/>
          <w:bCs/>
          <w:sz w:val="21"/>
          <w:szCs w:val="21"/>
        </w:rPr>
        <w:t xml:space="preserve">100.00 %</w:t>
      </w:r>
      <w:r>
        <w:rPr>
          <w:rFonts w:ascii="Calibri" w:cs="Calibri" w:eastAsia="Calibri" w:hAnsi="Calibri"/>
          <w:sz w:val="21"/>
          <w:szCs w:val="21"/>
        </w:rPr>
        <w:t xml:space="preserve"> (IC 95 % [99.994 %; 100 %]). Las 360 verificaciones de saldo por ítem cumplieron la invariante de la secc. 4.3, y las 300 réplicas finalizaron con un estado idéntico al de la central (hash SHA-256).</w:t>
      </w:r>
    </w:p>
    <w:p>
      <w:pPr>
        <w:pStyle w:val="Heading2"/>
        <w:spacing w:after="100" w:before="220"/>
      </w:pPr>
      <w:r>
        <w:rPr>
          <w:rFonts w:ascii="Calibri" w:cs="Calibri" w:eastAsia="Calibri" w:hAnsi="Calibri"/>
          <w:b/>
          <w:bCs/>
          <w:color w:val="1F3864"/>
          <w:sz w:val="24"/>
          <w:szCs w:val="24"/>
        </w:rPr>
        <w:t xml:space="preserve">5.2 Rendimiento (Tp)</w:t>
      </w:r>
    </w:p>
    <w:p>
      <w:pPr>
        <w:spacing w:after="120" w:line="276"/>
        <w:jc w:val="both"/>
      </w:pPr>
      <w:r>
        <w:rPr>
          <w:rFonts w:ascii="Calibri" w:cs="Calibri" w:eastAsia="Calibri" w:hAnsi="Calibri"/>
          <w:sz w:val="21"/>
          <w:szCs w:val="21"/>
        </w:rPr>
        <w:t xml:space="preserve">Con red limpia, el tiempo medio por lote de 100 vales fue de </w:t>
      </w:r>
      <w:r>
        <w:rPr>
          <w:rFonts w:ascii="Calibri" w:cs="Calibri" w:eastAsia="Calibri" w:hAnsi="Calibri"/>
          <w:b/>
          <w:bCs/>
          <w:sz w:val="21"/>
          <w:szCs w:val="21"/>
        </w:rPr>
        <w:t xml:space="preserve">1,010.7 ms</w:t>
      </w:r>
      <w:r>
        <w:rPr>
          <w:rFonts w:ascii="Calibri" w:cs="Calibri" w:eastAsia="Calibri" w:hAnsi="Calibri"/>
          <w:sz w:val="21"/>
          <w:szCs w:val="21"/>
        </w:rPr>
        <w:t xml:space="preserve"> (DE 351.0; P95 1,322; máx. 1,480), equivalente a 10.11 ms por vale. Con cortes, fue de </w:t>
      </w:r>
      <w:r>
        <w:rPr>
          <w:rFonts w:ascii="Calibri" w:cs="Calibri" w:eastAsia="Calibri" w:hAnsi="Calibri"/>
          <w:b/>
          <w:bCs/>
          <w:sz w:val="21"/>
          <w:szCs w:val="21"/>
        </w:rPr>
        <w:t xml:space="preserve">1,186.5 ms</w:t>
      </w:r>
      <w:r>
        <w:rPr>
          <w:rFonts w:ascii="Calibri" w:cs="Calibri" w:eastAsia="Calibri" w:hAnsi="Calibri"/>
          <w:sz w:val="21"/>
          <w:szCs w:val="21"/>
        </w:rPr>
        <w:t xml:space="preserve"> (DE 392.7; P95 1,989; máx. 2,365). Usando la corrida como unidad independiente, la prueba t unilateral rechaza H0: μ ≥ 2,500 ms (limpia: t(29) = -208.58, p &lt; 0.001; con cortes: t(29) = -126.17, p &lt; 0.001), y la prueba de Wilcoxon lo confirma sin suponer normalidad.</w:t>
      </w:r>
    </w:p>
    <w:p>
      <w:pPr>
        <w:spacing w:after="120" w:line="276"/>
        <w:jc w:val="both"/>
      </w:pPr>
      <w:r>
        <w:rPr>
          <w:rFonts w:ascii="Calibri" w:cs="Calibri" w:eastAsia="Calibri" w:hAnsi="Calibri"/>
          <w:sz w:val="21"/>
          <w:szCs w:val="21"/>
        </w:rPr>
        <w:t xml:space="preserve">Además, ninguno de los 600 lotes superó la meta de forma individual.</w:t>
      </w:r>
    </w:p>
    <w:p>
      <w:pPr>
        <w:keepNext/>
        <w:spacing w:after="80" w:before="200"/>
      </w:pPr>
      <w:r>
        <w:rPr>
          <w:rFonts w:ascii="Calibri" w:cs="Calibri" w:eastAsia="Calibri" w:hAnsi="Calibri"/>
          <w:b/>
          <w:bCs/>
          <w:i/>
          <w:iCs/>
          <w:sz w:val="19"/>
          <w:szCs w:val="19"/>
        </w:rPr>
        <w:t xml:space="preserve">Figura 1. Descomposición del tiempo medio por lote</w:t>
      </w:r>
    </w:p>
    <w:p>
      <w:pPr>
        <w:keepNext/>
        <w:jc w:val="center"/>
      </w:pPr>
      <w:r>
        <w:drawing>
          <wp:inline distT="0" distB="0" distL="0" distR="0">
            <wp:extent cx="5334000" cy="2647950"/>
            <wp:effectExtent t="0" r="0" b="0" l="0"/>
            <wp:docPr id="1" name="f06_descomposicion_tiempo.png" descr="Descomposición del tiempo medio por lote" title="Descomposición del tiempo medio por l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647950"/>
                    </a:xfrm>
                    <a:prstGeom prst="rect">
                      <a:avLst/>
                    </a:prstGeom>
                  </pic:spPr>
                </pic:pic>
              </a:graphicData>
            </a:graphic>
          </wp:inline>
        </w:drawing>
      </w:r>
    </w:p>
    <w:p>
      <w:pPr>
        <w:spacing w:after="200"/>
      </w:pPr>
      <w:r>
        <w:rPr>
          <w:rFonts w:ascii="Calibri" w:cs="Calibri" w:eastAsia="Calibri" w:hAnsi="Calibri"/>
          <w:i/>
          <w:iCs/>
          <w:color w:val="555555"/>
          <w:sz w:val="17"/>
          <w:szCs w:val="17"/>
        </w:rPr>
        <w:t xml:space="preserve">Fuente: resultados/02_analisis_estadistico/figuras/f06_descomposicion_tiempo.png. Elaboración propia.</w:t>
      </w:r>
    </w:p>
    <w:p>
      <w:pPr>
        <w:spacing w:after="120" w:line="276"/>
        <w:jc w:val="both"/>
      </w:pPr>
      <w:r>
        <w:rPr>
          <w:rFonts w:ascii="Calibri" w:cs="Calibri" w:eastAsia="Calibri" w:hAnsi="Calibri"/>
          <w:sz w:val="21"/>
          <w:szCs w:val="21"/>
        </w:rPr>
        <w:t xml:space="preserve">La descomposición muestra que conciliar 100 vales (join CRDT, movimientos, bitácora y commit) toma en promedio 251 ms; el resto es principalmente espera en cola mientras se concilian los otros lotes que llegaron en el mismo instante, porque la central SQLite tiene un único escritor. Con cortes, el tiempo medio aumentó en 176 ms por lote (IC 95 % [152; 198] ms; Wilcoxon pareado p &lt; 0.001), un aumento atribuible a los intentos fallidos y al backoff (426 ms por lote en promedio).</w:t>
      </w:r>
    </w:p>
    <w:p>
      <w:pPr>
        <w:pStyle w:val="Heading2"/>
        <w:spacing w:after="100" w:before="220"/>
      </w:pPr>
      <w:r>
        <w:rPr>
          <w:rFonts w:ascii="Calibri" w:cs="Calibri" w:eastAsia="Calibri" w:hAnsi="Calibri"/>
          <w:b/>
          <w:bCs/>
          <w:color w:val="1F3864"/>
          <w:sz w:val="24"/>
          <w:szCs w:val="24"/>
        </w:rPr>
        <w:t xml:space="preserve">5.3 Trazabilidad (Tr)</w:t>
      </w:r>
    </w:p>
    <w:p>
      <w:pPr>
        <w:spacing w:after="120" w:line="276"/>
        <w:jc w:val="both"/>
      </w:pPr>
      <w:r>
        <w:rPr>
          <w:rFonts w:ascii="Calibri" w:cs="Calibri" w:eastAsia="Calibri" w:hAnsi="Calibri"/>
          <w:sz w:val="21"/>
          <w:szCs w:val="21"/>
        </w:rPr>
        <w:t xml:space="preserve">Los 55,800 movimientos de inventario (conciliaciones de vales y compensaciones por anulación) tienen su registro en bitacora_auditoria, vinculado por evento_id y movimiento_id, y su evento de origen en evento_sincronizacion: Tr = </w:t>
      </w:r>
      <w:r>
        <w:rPr>
          <w:rFonts w:ascii="Calibri" w:cs="Calibri" w:eastAsia="Calibri" w:hAnsi="Calibri"/>
          <w:b/>
          <w:bCs/>
          <w:sz w:val="21"/>
          <w:szCs w:val="21"/>
        </w:rPr>
        <w:t xml:space="preserve">100.00 %</w:t>
      </w:r>
      <w:r>
        <w:rPr>
          <w:rFonts w:ascii="Calibri" w:cs="Calibri" w:eastAsia="Calibri" w:hAnsi="Calibri"/>
          <w:sz w:val="21"/>
          <w:szCs w:val="21"/>
        </w:rPr>
        <w:t xml:space="preserve"> (IC 95 % inf. 99.993 %). En todas las corridas, los intentos de DELETE sobre las tres tablas centrales fueron rechazados por los triggers append-only.</w:t>
      </w:r>
    </w:p>
    <w:p>
      <w:pPr>
        <w:pStyle w:val="Heading2"/>
        <w:spacing w:after="100" w:before="220"/>
      </w:pPr>
      <w:r>
        <w:rPr>
          <w:rFonts w:ascii="Calibri" w:cs="Calibri" w:eastAsia="Calibri" w:hAnsi="Calibri"/>
          <w:b/>
          <w:bCs/>
          <w:color w:val="1F3864"/>
          <w:sz w:val="24"/>
          <w:szCs w:val="24"/>
        </w:rPr>
        <w:t xml:space="preserve">5.4 Operatividad (Do) y resiliencia</w:t>
      </w:r>
    </w:p>
    <w:p>
      <w:pPr>
        <w:spacing w:after="120" w:line="276"/>
        <w:jc w:val="both"/>
      </w:pPr>
      <w:r>
        <w:rPr>
          <w:rFonts w:ascii="Calibri" w:cs="Calibri" w:eastAsia="Calibri" w:hAnsi="Calibri"/>
          <w:sz w:val="21"/>
          <w:szCs w:val="21"/>
        </w:rPr>
        <w:t xml:space="preserve">Los 60,000 intentos de registro sin red se persistieron en el almacén local: Do = </w:t>
      </w:r>
      <w:r>
        <w:rPr>
          <w:rFonts w:ascii="Calibri" w:cs="Calibri" w:eastAsia="Calibri" w:hAnsi="Calibri"/>
          <w:b/>
          <w:bCs/>
          <w:sz w:val="21"/>
          <w:szCs w:val="21"/>
        </w:rPr>
        <w:t xml:space="preserve">100.00 %</w:t>
      </w:r>
      <w:r>
        <w:rPr>
          <w:rFonts w:ascii="Calibri" w:cs="Calibri" w:eastAsia="Calibri" w:hAnsi="Calibri"/>
          <w:sz w:val="21"/>
          <w:szCs w:val="21"/>
        </w:rPr>
        <w:t xml:space="preserve"> (IC 95 % inf. 99.994 %), con una mediana de 1.14 ms por registro. El 100.00 % de las sondas confirmó la ausencia de red. En EP04 se inyectaron 397 cortes (PRE_ENVIO: 137; CORTE_MITAD: 130; POST_CONFIRMACION: 130). Los 300 lotes afectados se confirmaron finalmente, con 397 reintentos; la central reconoció como duplicados 11,800 eventos reenviados y no almacenó ningún evento ni movimiento duplicado (tasa de duplicación por reintento: 0 %, IC 95 % sup. 0.92 %).</w:t>
      </w:r>
    </w:p>
    <w:p>
      <w:pPr>
        <w:keepNext/>
        <w:spacing w:after="80" w:before="200"/>
      </w:pPr>
      <w:r>
        <w:rPr>
          <w:rFonts w:ascii="Calibri" w:cs="Calibri" w:eastAsia="Calibri" w:hAnsi="Calibri"/>
          <w:b/>
          <w:bCs/>
          <w:i/>
          <w:iCs/>
          <w:sz w:val="19"/>
          <w:szCs w:val="19"/>
        </w:rPr>
        <w:t xml:space="preserve">Figura 2. Indicadores de proporción frente a la meta del 100 % (IC 95 % exacto)</w:t>
      </w:r>
    </w:p>
    <w:p>
      <w:pPr>
        <w:keepNext/>
        <w:jc w:val="center"/>
      </w:pPr>
      <w:r>
        <w:drawing>
          <wp:inline distT="0" distB="0" distL="0" distR="0">
            <wp:extent cx="5334000" cy="2295525"/>
            <wp:effectExtent t="0" r="0" b="0" l="0"/>
            <wp:docPr id="2" name="f08_indicadores_ic.png" descr="Indicadores de proporción frente a la meta del 100 % (IC 95 % exacto)" title="Indicadores de proporción frente a la meta del 100 % (IC 95 % exa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295525"/>
                    </a:xfrm>
                    <a:prstGeom prst="rect">
                      <a:avLst/>
                    </a:prstGeom>
                  </pic:spPr>
                </pic:pic>
              </a:graphicData>
            </a:graphic>
          </wp:inline>
        </w:drawing>
      </w:r>
    </w:p>
    <w:p>
      <w:pPr>
        <w:spacing w:after="200"/>
      </w:pPr>
      <w:r>
        <w:rPr>
          <w:rFonts w:ascii="Calibri" w:cs="Calibri" w:eastAsia="Calibri" w:hAnsi="Calibri"/>
          <w:i/>
          <w:iCs/>
          <w:color w:val="555555"/>
          <w:sz w:val="17"/>
          <w:szCs w:val="17"/>
        </w:rPr>
        <w:t xml:space="preserve">Fuente: resultados/02_analisis_estadistico/figuras/f08_indicadores_ic.png. Elaboración propia.</w:t>
      </w:r>
    </w:p>
    <w:p>
      <w:pPr>
        <w:pStyle w:val="Heading1"/>
        <w:spacing w:after="140" w:before="280"/>
      </w:pPr>
      <w:r>
        <w:rPr>
          <w:rFonts w:ascii="Calibri" w:cs="Calibri" w:eastAsia="Calibri" w:hAnsi="Calibri"/>
          <w:b/>
          <w:bCs/>
          <w:color w:val="1F3864"/>
          <w:sz w:val="28"/>
          <w:szCs w:val="28"/>
        </w:rPr>
        <w:t xml:space="preserve">6. Discusión</w:t>
      </w:r>
    </w:p>
    <w:p>
      <w:pPr>
        <w:spacing w:after="120" w:line="276"/>
        <w:jc w:val="both"/>
      </w:pPr>
      <w:r>
        <w:rPr>
          <w:rFonts w:ascii="Calibri" w:cs="Calibri" w:eastAsia="Calibri" w:hAnsi="Calibri"/>
          <w:sz w:val="21"/>
          <w:szCs w:val="21"/>
        </w:rPr>
        <w:t xml:space="preserve">Los resultados aportan evidencia empírica para las preguntas de investigación: una arquitectura que trata la desconexión como un estado normal puede preservar la integridad del inventario cuando varios actores modifican información sin conexión, siempre que la convergencia se resuelva con estructuras CRDT de semántica de dominio y no con un ganador de fila. Tres decisiones de la matriz arquitectónica (Tabla 4 de la tesis) quedan respaldadas por mediciones concretas:</w:t>
      </w:r>
    </w:p>
    <w:p>
      <w:pPr>
        <w:pStyle w:val="ListParagraph"/>
        <w:numPr>
          <w:ilvl w:val="0"/>
          <w:numId w:val="2"/>
        </w:numPr>
        <w:spacing w:after="60" w:line="264"/>
      </w:pPr>
      <w:r>
        <w:rPr>
          <w:rFonts w:ascii="Calibri" w:cs="Calibri" w:eastAsia="Calibri" w:hAnsi="Calibri"/>
          <w:b/>
          <w:bCs/>
          <w:sz w:val="21"/>
          <w:szCs w:val="21"/>
        </w:rPr>
        <w:t xml:space="preserve">CRDT frente a OT: </w:t>
      </w:r>
      <w:r>
        <w:rPr>
          <w:rFonts w:ascii="Calibri" w:cs="Calibri" w:eastAsia="Calibri" w:hAnsi="Calibri"/>
          <w:sz w:val="21"/>
          <w:szCs w:val="21"/>
        </w:rPr>
        <w:t xml:space="preserve">las 100 actualizaciones concurrentes por corrida convergieron sin coordinación y en cualquier orden de llegada; las anulaciones dobles compensaron el saldo una sola vez.</w:t>
      </w:r>
    </w:p>
    <w:p>
      <w:pPr>
        <w:pStyle w:val="ListParagraph"/>
        <w:numPr>
          <w:ilvl w:val="0"/>
          <w:numId w:val="2"/>
        </w:numPr>
        <w:spacing w:after="60" w:line="264"/>
      </w:pPr>
      <w:r>
        <w:rPr>
          <w:rFonts w:ascii="Calibri" w:cs="Calibri" w:eastAsia="Calibri" w:hAnsi="Calibri"/>
          <w:b/>
          <w:bCs/>
          <w:sz w:val="21"/>
          <w:szCs w:val="21"/>
        </w:rPr>
        <w:t xml:space="preserve">BASE con ACID local: </w:t>
      </w:r>
      <w:r>
        <w:rPr>
          <w:rFonts w:ascii="Calibri" w:cs="Calibri" w:eastAsia="Calibri" w:hAnsi="Calibri"/>
          <w:sz w:val="21"/>
          <w:szCs w:val="21"/>
        </w:rPr>
        <w:t xml:space="preserve">cada nodo operó al 100 % sin red y la central nunca dejó lotes parciales, ni siquiera con el cuerpo de la petición cortado a la mitad.</w:t>
      </w:r>
    </w:p>
    <w:p>
      <w:pPr>
        <w:pStyle w:val="ListParagraph"/>
        <w:numPr>
          <w:ilvl w:val="0"/>
          <w:numId w:val="2"/>
        </w:numPr>
        <w:spacing w:after="60" w:line="264"/>
      </w:pPr>
      <w:r>
        <w:rPr>
          <w:rFonts w:ascii="Calibri" w:cs="Calibri" w:eastAsia="Calibri" w:hAnsi="Calibri"/>
          <w:b/>
          <w:bCs/>
          <w:sz w:val="21"/>
          <w:szCs w:val="21"/>
        </w:rPr>
        <w:t xml:space="preserve">Event sourcing: </w:t>
      </w:r>
      <w:r>
        <w:rPr>
          <w:rFonts w:ascii="Calibri" w:cs="Calibri" w:eastAsia="Calibri" w:hAnsi="Calibri"/>
          <w:sz w:val="21"/>
          <w:szCs w:val="21"/>
        </w:rPr>
        <w:t xml:space="preserve">la bitácora inmutable permitió reconstruir y auditar el 100 % de los movimientos, y las correcciones se registran como anulación más un nuevo vale, nunca como sobrescritura.</w:t>
      </w:r>
    </w:p>
    <w:p>
      <w:pPr>
        <w:spacing w:after="120" w:line="276"/>
        <w:jc w:val="both"/>
      </w:pPr>
      <w:r>
        <w:rPr>
          <w:rFonts w:ascii="Calibri" w:cs="Calibri" w:eastAsia="Calibri" w:hAnsi="Calibri"/>
          <w:sz w:val="21"/>
          <w:szCs w:val="21"/>
        </w:rPr>
        <w:t xml:space="preserve">Frente al proceso actual basado en hojas de cálculo compartidas (Tabla 6 de la tesis), donde la concurrencia se resuelve manualmente y los registros históricos pueden modificarse sin control, el prototipo resolvió automáticamente el 100 % de los casos concurrentes del dataset y rechazó cualquier modificación de los registros históricos.</w:t>
      </w:r>
    </w:p>
    <w:p>
      <w:pPr>
        <w:spacing w:after="120" w:line="276"/>
        <w:jc w:val="both"/>
      </w:pPr>
      <w:r>
        <w:rPr>
          <w:rFonts w:ascii="Calibri" w:cs="Calibri" w:eastAsia="Calibri" w:hAnsi="Calibri"/>
          <w:sz w:val="21"/>
          <w:szCs w:val="21"/>
        </w:rPr>
        <w:t xml:space="preserve">La principal fuente de variabilidad del tiempo no es el motor CRDT sino la serialización de escrituras de la central: con red limpia, el segundo lote de cada nodo esperó más que el primero (mediana 1,246 frente a 755 ms; p &lt; 0.001). El peor lote observado con cortes tardó 2,365 ms, el 95 % de la meta: la media cumple con amplitud, pero el margen en el peor caso es estrecho. Por eso el margen frente a la meta se reduce cuando aumentan los nodos que reconectan a la vez, lo que motiva la recomendación de usar PostgreSQL con bloqueo por fila en producción (ver limitaciones).</w:t>
      </w:r>
    </w:p>
    <w:p>
      <w:pPr>
        <w:pStyle w:val="Heading1"/>
        <w:spacing w:after="140" w:before="280"/>
      </w:pPr>
      <w:r>
        <w:rPr>
          <w:rFonts w:ascii="Calibri" w:cs="Calibri" w:eastAsia="Calibri" w:hAnsi="Calibri"/>
          <w:b/>
          <w:bCs/>
          <w:color w:val="1F3864"/>
          <w:sz w:val="28"/>
          <w:szCs w:val="28"/>
        </w:rPr>
        <w:t xml:space="preserve">7. Alcance</w:t>
      </w:r>
    </w:p>
    <w:p>
      <w:pPr>
        <w:pStyle w:val="ListParagraph"/>
        <w:numPr>
          <w:ilvl w:val="0"/>
          <w:numId w:val="2"/>
        </w:numPr>
        <w:spacing w:after="60" w:line="264"/>
      </w:pPr>
      <w:r>
        <w:rPr>
          <w:rFonts w:ascii="Calibri" w:cs="Calibri" w:eastAsia="Calibri" w:hAnsi="Calibri"/>
          <w:sz w:val="21"/>
          <w:szCs w:val="21"/>
        </w:rPr>
        <w:t xml:space="preserve">Valida los mecanismos de sincronización, control transaccional, trazabilidad y disponibilidad local del proceso de vales de salida e ingreso (delimitación 1.6 de la tesis).</w:t>
      </w:r>
    </w:p>
    <w:p>
      <w:pPr>
        <w:pStyle w:val="ListParagraph"/>
        <w:numPr>
          <w:ilvl w:val="0"/>
          <w:numId w:val="2"/>
        </w:numPr>
        <w:spacing w:after="60" w:line="264"/>
      </w:pPr>
      <w:r>
        <w:rPr>
          <w:rFonts w:ascii="Calibri" w:cs="Calibri" w:eastAsia="Calibri" w:hAnsi="Calibri"/>
          <w:sz w:val="21"/>
          <w:szCs w:val="21"/>
        </w:rPr>
        <w:t xml:space="preserve">Cubre 5 nodos concurrentes, 1,000 transacciones por corrida, reconexión masiva simultánea y tres tipos de corte REST, con 30 repeticiones por condición.</w:t>
      </w:r>
    </w:p>
    <w:p>
      <w:pPr>
        <w:pStyle w:val="ListParagraph"/>
        <w:numPr>
          <w:ilvl w:val="0"/>
          <w:numId w:val="2"/>
        </w:numPr>
        <w:spacing w:after="60" w:line="264"/>
      </w:pPr>
      <w:r>
        <w:rPr>
          <w:rFonts w:ascii="Calibri" w:cs="Calibri" w:eastAsia="Calibri" w:hAnsi="Calibri"/>
          <w:sz w:val="21"/>
          <w:szCs w:val="21"/>
        </w:rPr>
        <w:t xml:space="preserve">No evalúa usabilidad con usuarios finales, integración con un ERP/WMS real, seguridad criptográfica, costos ni retorno de inversión.</w:t>
      </w:r>
    </w:p>
    <w:p>
      <w:pPr>
        <w:pStyle w:val="Heading1"/>
        <w:spacing w:after="140" w:before="280"/>
      </w:pPr>
      <w:r>
        <w:rPr>
          <w:rFonts w:ascii="Calibri" w:cs="Calibri" w:eastAsia="Calibri" w:hAnsi="Calibri"/>
          <w:b/>
          <w:bCs/>
          <w:color w:val="1F3864"/>
          <w:sz w:val="28"/>
          <w:szCs w:val="28"/>
        </w:rPr>
        <w:t xml:space="preserve">8. Limitaciones y amenazas a la validez</w:t>
      </w:r>
    </w:p>
    <w:p>
      <w:pPr>
        <w:pStyle w:val="ListParagraph"/>
        <w:numPr>
          <w:ilvl w:val="0"/>
          <w:numId w:val="2"/>
        </w:numPr>
        <w:spacing w:after="60" w:line="264"/>
      </w:pPr>
      <w:r>
        <w:rPr>
          <w:rFonts w:ascii="Calibri" w:cs="Calibri" w:eastAsia="Calibri" w:hAnsi="Calibri"/>
          <w:b/>
          <w:bCs/>
          <w:sz w:val="21"/>
          <w:szCs w:val="21"/>
        </w:rPr>
        <w:t xml:space="preserve">Red simulada: </w:t>
      </w:r>
      <w:r>
        <w:rPr>
          <w:rFonts w:ascii="Calibri" w:cs="Calibri" w:eastAsia="Calibri" w:hAnsi="Calibri"/>
          <w:sz w:val="21"/>
          <w:szCs w:val="21"/>
        </w:rPr>
        <w:t xml:space="preserve">todo el tráfico circuló por loopback en un solo equipo. Las latencias no incluyen la de redes celulares o satelitales reales; los cortes se inyectan en el transporte HTTP del cliente, no con emulación de enlace (pérdida de paquetes, ancho de banda variable).</w:t>
      </w:r>
    </w:p>
    <w:p>
      <w:pPr>
        <w:pStyle w:val="ListParagraph"/>
        <w:numPr>
          <w:ilvl w:val="0"/>
          <w:numId w:val="2"/>
        </w:numPr>
        <w:spacing w:after="60" w:line="264"/>
      </w:pPr>
      <w:r>
        <w:rPr>
          <w:rFonts w:ascii="Calibri" w:cs="Calibri" w:eastAsia="Calibri" w:hAnsi="Calibri"/>
          <w:b/>
          <w:bCs/>
          <w:sz w:val="21"/>
          <w:szCs w:val="21"/>
        </w:rPr>
        <w:t xml:space="preserve">Base central SQLite: </w:t>
      </w:r>
      <w:r>
        <w:rPr>
          <w:rFonts w:ascii="Calibri" w:cs="Calibri" w:eastAsia="Calibri" w:hAnsi="Calibri"/>
          <w:sz w:val="21"/>
          <w:szCs w:val="21"/>
        </w:rPr>
        <w:t xml:space="preserve">un escritor único y un proceso uvicorn. La serialización explica la espera en cola y no representa un despliegue multi-proceso, que requiere PostgreSQL con SELECT … FOR UPDATE.</w:t>
      </w:r>
    </w:p>
    <w:p>
      <w:pPr>
        <w:pStyle w:val="ListParagraph"/>
        <w:numPr>
          <w:ilvl w:val="0"/>
          <w:numId w:val="2"/>
        </w:numPr>
        <w:spacing w:after="60" w:line="264"/>
      </w:pPr>
      <w:r>
        <w:rPr>
          <w:rFonts w:ascii="Calibri" w:cs="Calibri" w:eastAsia="Calibri" w:hAnsi="Calibri"/>
          <w:b/>
          <w:bCs/>
          <w:sz w:val="21"/>
          <w:szCs w:val="21"/>
        </w:rPr>
        <w:t xml:space="preserve">Dispositivos: </w:t>
      </w:r>
      <w:r>
        <w:rPr>
          <w:rFonts w:ascii="Calibri" w:cs="Calibri" w:eastAsia="Calibri" w:hAnsi="Calibri"/>
          <w:sz w:val="21"/>
          <w:szCs w:val="21"/>
        </w:rPr>
        <w:t xml:space="preserve">los nodos son procesos de escritorio, no teléfonos con almacenamiento flash, batería ni suspensión del sistema operativo.</w:t>
      </w:r>
    </w:p>
    <w:p>
      <w:pPr>
        <w:pStyle w:val="ListParagraph"/>
        <w:numPr>
          <w:ilvl w:val="0"/>
          <w:numId w:val="2"/>
        </w:numPr>
        <w:spacing w:after="60" w:line="264"/>
      </w:pPr>
      <w:r>
        <w:rPr>
          <w:rFonts w:ascii="Calibri" w:cs="Calibri" w:eastAsia="Calibri" w:hAnsi="Calibri"/>
          <w:b/>
          <w:bCs/>
          <w:sz w:val="21"/>
          <w:szCs w:val="21"/>
        </w:rPr>
        <w:t xml:space="preserve">Dataset sintético: </w:t>
      </w:r>
      <w:r>
        <w:rPr>
          <w:rFonts w:ascii="Calibri" w:cs="Calibri" w:eastAsia="Calibri" w:hAnsi="Calibri"/>
          <w:sz w:val="21"/>
          <w:szCs w:val="21"/>
        </w:rPr>
        <w:t xml:space="preserve">1,000 operaciones con distribuciones definidas por la investigación; no son movimientos históricos de Marco Peruana. La concurrencia se concentra en 50 vales compartidos y 3 ítems críticos.</w:t>
      </w:r>
    </w:p>
    <w:p>
      <w:pPr>
        <w:pStyle w:val="ListParagraph"/>
        <w:numPr>
          <w:ilvl w:val="0"/>
          <w:numId w:val="2"/>
        </w:numPr>
        <w:spacing w:after="60" w:line="264"/>
      </w:pPr>
      <w:r>
        <w:rPr>
          <w:rFonts w:ascii="Calibri" w:cs="Calibri" w:eastAsia="Calibri" w:hAnsi="Calibri"/>
          <w:b/>
          <w:bCs/>
          <w:sz w:val="21"/>
          <w:szCs w:val="21"/>
        </w:rPr>
        <w:t xml:space="preserve">Escala: </w:t>
      </w:r>
      <w:r>
        <w:rPr>
          <w:rFonts w:ascii="Calibri" w:cs="Calibri" w:eastAsia="Calibri" w:hAnsi="Calibri"/>
          <w:sz w:val="21"/>
          <w:szCs w:val="21"/>
        </w:rPr>
        <w:t xml:space="preserve">5 nodos y 10 lotes simultáneos. El comportamiento con decenas de nodos o colas de varios días no fue medido.</w:t>
      </w:r>
    </w:p>
    <w:p>
      <w:pPr>
        <w:pStyle w:val="ListParagraph"/>
        <w:numPr>
          <w:ilvl w:val="0"/>
          <w:numId w:val="2"/>
        </w:numPr>
        <w:spacing w:after="60" w:line="264"/>
      </w:pPr>
      <w:r>
        <w:rPr>
          <w:rFonts w:ascii="Calibri" w:cs="Calibri" w:eastAsia="Calibri" w:hAnsi="Calibri"/>
          <w:b/>
          <w:bCs/>
          <w:sz w:val="21"/>
          <w:szCs w:val="21"/>
        </w:rPr>
        <w:t xml:space="preserve">Relojes: </w:t>
      </w:r>
      <w:r>
        <w:rPr>
          <w:rFonts w:ascii="Calibri" w:cs="Calibri" w:eastAsia="Calibri" w:hAnsi="Calibri"/>
          <w:sz w:val="21"/>
          <w:szCs w:val="21"/>
        </w:rPr>
        <w:t xml:space="preserve">cliente y central comparten el reloj del mismo equipo; las latencias se miden con un reloj monotónico del cliente, lo que evita el desfase entre relojes pero no lo representa.</w:t>
      </w:r>
    </w:p>
    <w:p>
      <w:pPr>
        <w:pStyle w:val="ListParagraph"/>
        <w:numPr>
          <w:ilvl w:val="0"/>
          <w:numId w:val="2"/>
        </w:numPr>
        <w:spacing w:after="60" w:line="264"/>
      </w:pPr>
      <w:r>
        <w:rPr>
          <w:rFonts w:ascii="Calibri" w:cs="Calibri" w:eastAsia="Calibri" w:hAnsi="Calibri"/>
          <w:b/>
          <w:bCs/>
          <w:sz w:val="21"/>
          <w:szCs w:val="21"/>
        </w:rPr>
        <w:t xml:space="preserve">Seguridad: </w:t>
      </w:r>
      <w:r>
        <w:rPr>
          <w:rFonts w:ascii="Calibri" w:cs="Calibri" w:eastAsia="Calibri" w:hAnsi="Calibri"/>
          <w:sz w:val="21"/>
          <w:szCs w:val="21"/>
        </w:rPr>
        <w:t xml:space="preserve">ABAC simplificado por cabeceras, sin autenticación ni cifrado. Se verificó la autorización por rol y proyecto, no la resistencia a ataques.</w:t>
      </w:r>
    </w:p>
    <w:p>
      <w:pPr>
        <w:pStyle w:val="ListParagraph"/>
        <w:numPr>
          <w:ilvl w:val="0"/>
          <w:numId w:val="2"/>
        </w:numPr>
        <w:spacing w:after="60" w:line="264"/>
      </w:pPr>
      <w:r>
        <w:rPr>
          <w:rFonts w:ascii="Calibri" w:cs="Calibri" w:eastAsia="Calibri" w:hAnsi="Calibri"/>
          <w:b/>
          <w:bCs/>
          <w:sz w:val="21"/>
          <w:szCs w:val="21"/>
        </w:rPr>
        <w:t xml:space="preserve">Independencia estadística: </w:t>
      </w:r>
      <w:r>
        <w:rPr>
          <w:rFonts w:ascii="Calibri" w:cs="Calibri" w:eastAsia="Calibri" w:hAnsi="Calibri"/>
          <w:sz w:val="21"/>
          <w:szCs w:val="21"/>
        </w:rPr>
        <w:t xml:space="preserve">los lotes de una corrida no son independientes; por eso las conclusiones se basan en la media por corrida (n = 30). Los indicadores de proporción al 100 % se informan con su límite inferior de confianza, no como certeza absoluta.</w:t>
      </w:r>
    </w:p>
    <w:p>
      <w:pPr>
        <w:pStyle w:val="ListParagraph"/>
        <w:numPr>
          <w:ilvl w:val="0"/>
          <w:numId w:val="2"/>
        </w:numPr>
        <w:spacing w:after="60" w:line="264"/>
      </w:pPr>
      <w:r>
        <w:rPr>
          <w:rFonts w:ascii="Calibri" w:cs="Calibri" w:eastAsia="Calibri" w:hAnsi="Calibri"/>
          <w:b/>
          <w:bCs/>
          <w:sz w:val="21"/>
          <w:szCs w:val="21"/>
        </w:rPr>
        <w:t xml:space="preserve">Validez interna: </w:t>
      </w:r>
      <w:r>
        <w:rPr>
          <w:rFonts w:ascii="Calibri" w:cs="Calibri" w:eastAsia="Calibri" w:hAnsi="Calibri"/>
          <w:sz w:val="21"/>
          <w:szCs w:val="21"/>
        </w:rPr>
        <w:t xml:space="preserve">el oráculo y el prototipo fueron escritos por el mismo equipo. Se mitigó implementando el oráculo con reglas de negocio sin reutilizar el código CRDT.</w:t>
      </w:r>
    </w:p>
    <w:p>
      <w:pPr>
        <w:pStyle w:val="Heading1"/>
        <w:spacing w:after="140" w:before="280"/>
      </w:pPr>
      <w:r>
        <w:rPr>
          <w:rFonts w:ascii="Calibri" w:cs="Calibri" w:eastAsia="Calibri" w:hAnsi="Calibri"/>
          <w:b/>
          <w:bCs/>
          <w:color w:val="1F3864"/>
          <w:sz w:val="28"/>
          <w:szCs w:val="28"/>
        </w:rPr>
        <w:t xml:space="preserve">9. Resultado final</w:t>
      </w:r>
    </w:p>
    <w:p>
      <w:pPr>
        <w:spacing w:after="120" w:line="276"/>
        <w:jc w:val="both"/>
      </w:pPr>
      <w:r>
        <w:rPr>
          <w:rFonts w:ascii="Calibri" w:cs="Calibri" w:eastAsia="Calibri" w:hAnsi="Calibri"/>
          <w:b/>
          <w:bCs/>
          <w:sz w:val="21"/>
          <w:szCs w:val="21"/>
        </w:rPr>
        <w:t xml:space="preserve">Veredicto: el artefacto se considera VALIDADO en el ambiente de laboratorio.</w:t>
      </w:r>
    </w:p>
    <w:p>
      <w:pPr>
        <w:spacing w:after="120" w:line="276"/>
        <w:jc w:val="both"/>
      </w:pPr>
      <w:r>
        <w:rPr>
          <w:rFonts w:ascii="Calibri" w:cs="Calibri" w:eastAsia="Calibri" w:hAnsi="Calibri"/>
          <w:sz w:val="21"/>
          <w:szCs w:val="21"/>
        </w:rPr>
        <w:t xml:space="preserve">Con base en 60 corridas, 60,000 vales transmitidos y 600 lotes, el prototipo de la arquitectura offline-first cumple los criterios de éxito del Plan de Validación: integridad del 100 %, tiempo medio por lote de 100 vales significativamente inferior a 2.5 s (1,011 ms con red limpia y 1,186 ms con cortes), trazabilidad del 100 % y disponibilidad local del 100 % en desconexión, sin duplicidad de datos tras 397 reintentos provocados por cortes de red. Este resultado da por cumplido el OE5 dentro del alcance declarado; la validación en un despliegue productivo con dispositivos y redes reales queda como trabajo futuro, junto con la migración de la central a PostgreSQL.</w:t>
      </w:r>
    </w:p>
    <w:p>
      <w:pPr>
        <w:pStyle w:val="Heading1"/>
        <w:spacing w:after="140" w:before="280"/>
      </w:pPr>
      <w:r>
        <w:rPr>
          <w:rFonts w:ascii="Calibri" w:cs="Calibri" w:eastAsia="Calibri" w:hAnsi="Calibri"/>
          <w:b/>
          <w:bCs/>
          <w:color w:val="1F3864"/>
          <w:sz w:val="28"/>
          <w:szCs w:val="28"/>
        </w:rPr>
        <w:t xml:space="preserve">10. Evidencias y reproducibilidad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5783"/>
      </w:tblGrid>
      <w:tr>
        <w:trPr>
          <w:tblHeader/>
        </w:trPr>
        <w:tc>
          <w:tcPr>
            <w:tcW w:type="dxa" w:w="3855"/>
            <w:shd w:fill="1F3864" w:color="auto" w:val="clear"/>
            <w:tcMar>
              <w:top w:type="dxa" w:w="50"/>
              <w:left w:type="dxa" w:w="80"/>
              <w:bottom w:type="dxa" w:w="50"/>
              <w:right w:type="dxa" w:w="80"/>
            </w:tcMar>
            <w:vAlign w:val="center"/>
          </w:tcPr>
          <w:p>
            <w:pPr>
              <w:jc w:val="left"/>
            </w:pPr>
            <w:r>
              <w:rPr>
                <w:rFonts w:ascii="Calibri" w:cs="Calibri" w:eastAsia="Calibri" w:hAnsi="Calibri"/>
                <w:b/>
                <w:bCs/>
                <w:color w:val="FFFFFF"/>
                <w:sz w:val="17"/>
                <w:szCs w:val="17"/>
              </w:rPr>
              <w:t xml:space="preserve">Evidencia</w:t>
            </w:r>
          </w:p>
        </w:tc>
        <w:tc>
          <w:tcPr>
            <w:tcW w:type="dxa" w:w="5783"/>
            <w:shd w:fill="1F3864" w:color="auto" w:val="clear"/>
            <w:tcMar>
              <w:top w:type="dxa" w:w="50"/>
              <w:left w:type="dxa" w:w="80"/>
              <w:bottom w:type="dxa" w:w="50"/>
              <w:right w:type="dxa" w:w="80"/>
            </w:tcMar>
            <w:vAlign w:val="center"/>
          </w:tcPr>
          <w:p>
            <w:pPr>
              <w:jc w:val="left"/>
            </w:pPr>
            <w:r>
              <w:rPr>
                <w:rFonts w:ascii="Calibri" w:cs="Calibri" w:eastAsia="Calibri" w:hAnsi="Calibri"/>
                <w:b/>
                <w:bCs/>
                <w:color w:val="FFFFFF"/>
                <w:sz w:val="17"/>
                <w:szCs w:val="17"/>
              </w:rPr>
              <w:t xml:space="preserve">Ubicación</w:t>
            </w:r>
          </w:p>
        </w:tc>
      </w:tr>
      <w:tr>
        <w:trPr>
          <w:cantSplit/>
        </w:trPr>
        <w:tc>
          <w:tcPr>
            <w:tcW w:type="dxa" w:w="3855"/>
            <w:tcMar>
              <w:top w:type="dxa" w:w="50"/>
              <w:left w:type="dxa" w:w="80"/>
              <w:bottom w:type="dxa" w:w="50"/>
              <w:right w:type="dxa" w:w="80"/>
            </w:tcMar>
            <w:vAlign w:val="center"/>
          </w:tcPr>
          <w:p>
            <w:pPr>
              <w:jc w:val="left"/>
            </w:pPr>
            <w:r>
              <w:rPr>
                <w:rFonts w:ascii="Calibri" w:cs="Calibri" w:eastAsia="Calibri" w:hAnsi="Calibri"/>
                <w:b w:val="false"/>
                <w:bCs w:val="false"/>
                <w:sz w:val="17"/>
                <w:szCs w:val="17"/>
              </w:rPr>
              <w:t xml:space="preserve">Código del artefacto (versión validada)</w:t>
            </w:r>
          </w:p>
        </w:tc>
        <w:tc>
          <w:tcPr>
            <w:tcW w:type="dxa" w:w="5783"/>
            <w:tcMar>
              <w:top w:type="dxa" w:w="50"/>
              <w:left w:type="dxa" w:w="80"/>
              <w:bottom w:type="dxa" w:w="50"/>
              <w:right w:type="dxa" w:w="80"/>
            </w:tcMar>
            <w:vAlign w:val="center"/>
          </w:tcPr>
          <w:p>
            <w:pPr>
              <w:jc w:val="left"/>
            </w:pPr>
            <w:r>
              <w:rPr>
                <w:rFonts w:ascii="Calibri" w:cs="Calibri" w:eastAsia="Calibri" w:hAnsi="Calibri"/>
                <w:b w:val="false"/>
                <w:bCs w:val="false"/>
                <w:sz w:val="17"/>
                <w:szCs w:val="17"/>
              </w:rPr>
              <w:t xml:space="preserve">backend/, client/, shared/</w:t>
            </w:r>
          </w:p>
        </w:tc>
      </w:tr>
      <w:tr>
        <w:trPr>
          <w:cantSplit/>
        </w:trPr>
        <w:tc>
          <w:tcPr>
            <w:tcW w:type="dxa" w:w="3855"/>
            <w:shd w:fill="EEF3FA" w:color="auto" w:val="clear"/>
            <w:tcMar>
              <w:top w:type="dxa" w:w="50"/>
              <w:left w:type="dxa" w:w="80"/>
              <w:bottom w:type="dxa" w:w="50"/>
              <w:right w:type="dxa" w:w="80"/>
            </w:tcMar>
            <w:vAlign w:val="center"/>
          </w:tcPr>
          <w:p>
            <w:pPr>
              <w:jc w:val="left"/>
            </w:pPr>
            <w:r>
              <w:rPr>
                <w:rFonts w:ascii="Calibri" w:cs="Calibri" w:eastAsia="Calibri" w:hAnsi="Calibri"/>
                <w:b w:val="false"/>
                <w:bCs w:val="false"/>
                <w:sz w:val="17"/>
                <w:szCs w:val="17"/>
              </w:rPr>
              <w:t xml:space="preserve">Pruebas unitarias y funcionales P1–P8</w:t>
            </w:r>
          </w:p>
        </w:tc>
        <w:tc>
          <w:tcPr>
            <w:tcW w:type="dxa" w:w="5783"/>
            <w:shd w:fill="EEF3FA" w:color="auto" w:val="clear"/>
            <w:tcMar>
              <w:top w:type="dxa" w:w="50"/>
              <w:left w:type="dxa" w:w="80"/>
              <w:bottom w:type="dxa" w:w="50"/>
              <w:right w:type="dxa" w:w="80"/>
            </w:tcMar>
            <w:vAlign w:val="center"/>
          </w:tcPr>
          <w:p>
            <w:pPr>
              <w:jc w:val="left"/>
            </w:pPr>
            <w:r>
              <w:rPr>
                <w:rFonts w:ascii="Calibri" w:cs="Calibri" w:eastAsia="Calibri" w:hAnsi="Calibri"/>
                <w:b w:val="false"/>
                <w:bCs w:val="false"/>
                <w:sz w:val="17"/>
                <w:szCs w:val="17"/>
              </w:rPr>
              <w:t xml:space="preserve">tests/ (resultado en resultados/01_recoleccion_en_bruto/pruebas_funcionales/)</w:t>
            </w:r>
          </w:p>
        </w:tc>
      </w:tr>
      <w:tr>
        <w:trPr>
          <w:cantSplit/>
        </w:trPr>
        <w:tc>
          <w:tcPr>
            <w:tcW w:type="dxa" w:w="3855"/>
            <w:tcMar>
              <w:top w:type="dxa" w:w="50"/>
              <w:left w:type="dxa" w:w="80"/>
              <w:bottom w:type="dxa" w:w="50"/>
              <w:right w:type="dxa" w:w="80"/>
            </w:tcMar>
            <w:vAlign w:val="center"/>
          </w:tcPr>
          <w:p>
            <w:pPr>
              <w:jc w:val="left"/>
            </w:pPr>
            <w:r>
              <w:rPr>
                <w:rFonts w:ascii="Calibri" w:cs="Calibri" w:eastAsia="Calibri" w:hAnsi="Calibri"/>
                <w:b w:val="false"/>
                <w:bCs w:val="false"/>
                <w:sz w:val="17"/>
                <w:szCs w:val="17"/>
              </w:rPr>
              <w:t xml:space="preserve">Laboratorio (dataset, nodos, fallas, verificación)</w:t>
            </w:r>
          </w:p>
        </w:tc>
        <w:tc>
          <w:tcPr>
            <w:tcW w:type="dxa" w:w="5783"/>
            <w:tcMar>
              <w:top w:type="dxa" w:w="50"/>
              <w:left w:type="dxa" w:w="80"/>
              <w:bottom w:type="dxa" w:w="50"/>
              <w:right w:type="dxa" w:w="80"/>
            </w:tcMar>
            <w:vAlign w:val="center"/>
          </w:tcPr>
          <w:p>
            <w:pPr>
              <w:jc w:val="left"/>
            </w:pPr>
            <w:r>
              <w:rPr>
                <w:rFonts w:ascii="Calibri" w:cs="Calibri" w:eastAsia="Calibri" w:hAnsi="Calibri"/>
                <w:b w:val="false"/>
                <w:bCs w:val="false"/>
                <w:sz w:val="17"/>
                <w:szCs w:val="17"/>
              </w:rPr>
              <w:t xml:space="preserve">laboratorio/</w:t>
            </w:r>
          </w:p>
        </w:tc>
      </w:tr>
      <w:tr>
        <w:trPr>
          <w:cantSplit/>
        </w:trPr>
        <w:tc>
          <w:tcPr>
            <w:tcW w:type="dxa" w:w="3855"/>
            <w:shd w:fill="EEF3FA" w:color="auto" w:val="clear"/>
            <w:tcMar>
              <w:top w:type="dxa" w:w="50"/>
              <w:left w:type="dxa" w:w="80"/>
              <w:bottom w:type="dxa" w:w="50"/>
              <w:right w:type="dxa" w:w="80"/>
            </w:tcMar>
            <w:vAlign w:val="center"/>
          </w:tcPr>
          <w:p>
            <w:pPr>
              <w:jc w:val="left"/>
            </w:pPr>
            <w:r>
              <w:rPr>
                <w:rFonts w:ascii="Calibri" w:cs="Calibri" w:eastAsia="Calibri" w:hAnsi="Calibri"/>
                <w:b w:val="false"/>
                <w:bCs w:val="false"/>
                <w:sz w:val="17"/>
                <w:szCs w:val="17"/>
              </w:rPr>
              <w:t xml:space="preserve">Datos en bruto (Fase 3a)</w:t>
            </w:r>
          </w:p>
        </w:tc>
        <w:tc>
          <w:tcPr>
            <w:tcW w:type="dxa" w:w="5783"/>
            <w:shd w:fill="EEF3FA" w:color="auto" w:val="clear"/>
            <w:tcMar>
              <w:top w:type="dxa" w:w="50"/>
              <w:left w:type="dxa" w:w="80"/>
              <w:bottom w:type="dxa" w:w="50"/>
              <w:right w:type="dxa" w:w="80"/>
            </w:tcMar>
            <w:vAlign w:val="center"/>
          </w:tcPr>
          <w:p>
            <w:pPr>
              <w:jc w:val="left"/>
            </w:pPr>
            <w:r>
              <w:rPr>
                <w:rFonts w:ascii="Calibri" w:cs="Calibri" w:eastAsia="Calibri" w:hAnsi="Calibri"/>
                <w:b w:val="false"/>
                <w:bCs w:val="false"/>
                <w:sz w:val="17"/>
                <w:szCs w:val="17"/>
              </w:rPr>
              <w:t xml:space="preserve">resultados/01_recoleccion_en_bruto/ (Fase3a_Recoleccion_datos_en_bruto.docx)</w:t>
            </w:r>
          </w:p>
        </w:tc>
      </w:tr>
      <w:tr>
        <w:trPr>
          <w:cantSplit/>
        </w:trPr>
        <w:tc>
          <w:tcPr>
            <w:tcW w:type="dxa" w:w="3855"/>
            <w:tcMar>
              <w:top w:type="dxa" w:w="50"/>
              <w:left w:type="dxa" w:w="80"/>
              <w:bottom w:type="dxa" w:w="50"/>
              <w:right w:type="dxa" w:w="80"/>
            </w:tcMar>
            <w:vAlign w:val="center"/>
          </w:tcPr>
          <w:p>
            <w:pPr>
              <w:jc w:val="left"/>
            </w:pPr>
            <w:r>
              <w:rPr>
                <w:rFonts w:ascii="Calibri" w:cs="Calibri" w:eastAsia="Calibri" w:hAnsi="Calibri"/>
                <w:b w:val="false"/>
                <w:bCs w:val="false"/>
                <w:sz w:val="17"/>
                <w:szCs w:val="17"/>
              </w:rPr>
              <w:t xml:space="preserve">Análisis estadístico (Fase 3b)</w:t>
            </w:r>
          </w:p>
        </w:tc>
        <w:tc>
          <w:tcPr>
            <w:tcW w:type="dxa" w:w="5783"/>
            <w:tcMar>
              <w:top w:type="dxa" w:w="50"/>
              <w:left w:type="dxa" w:w="80"/>
              <w:bottom w:type="dxa" w:w="50"/>
              <w:right w:type="dxa" w:w="80"/>
            </w:tcMar>
            <w:vAlign w:val="center"/>
          </w:tcPr>
          <w:p>
            <w:pPr>
              <w:jc w:val="left"/>
            </w:pPr>
            <w:r>
              <w:rPr>
                <w:rFonts w:ascii="Calibri" w:cs="Calibri" w:eastAsia="Calibri" w:hAnsi="Calibri"/>
                <w:b w:val="false"/>
                <w:bCs w:val="false"/>
                <w:sz w:val="17"/>
                <w:szCs w:val="17"/>
              </w:rPr>
              <w:t xml:space="preserve">resultados/02_analisis_estadistico/ (Fase3b_Analisis_estadistico.docx)</w:t>
            </w:r>
          </w:p>
        </w:tc>
      </w:tr>
      <w:tr>
        <w:trPr>
          <w:cantSplit/>
        </w:trPr>
        <w:tc>
          <w:tcPr>
            <w:tcW w:type="dxa" w:w="3855"/>
            <w:shd w:fill="EEF3FA" w:color="auto" w:val="clear"/>
            <w:tcMar>
              <w:top w:type="dxa" w:w="50"/>
              <w:left w:type="dxa" w:w="80"/>
              <w:bottom w:type="dxa" w:w="50"/>
              <w:right w:type="dxa" w:w="80"/>
            </w:tcMar>
            <w:vAlign w:val="center"/>
          </w:tcPr>
          <w:p>
            <w:pPr>
              <w:jc w:val="left"/>
            </w:pPr>
            <w:r>
              <w:rPr>
                <w:rFonts w:ascii="Calibri" w:cs="Calibri" w:eastAsia="Calibri" w:hAnsi="Calibri"/>
                <w:b w:val="false"/>
                <w:bCs w:val="false"/>
                <w:sz w:val="17"/>
                <w:szCs w:val="17"/>
              </w:rPr>
              <w:t xml:space="preserve">Reproducir la campaña</w:t>
            </w:r>
          </w:p>
        </w:tc>
        <w:tc>
          <w:tcPr>
            <w:tcW w:type="dxa" w:w="5783"/>
            <w:shd w:fill="EEF3FA" w:color="auto" w:val="clear"/>
            <w:tcMar>
              <w:top w:type="dxa" w:w="50"/>
              <w:left w:type="dxa" w:w="80"/>
              <w:bottom w:type="dxa" w:w="50"/>
              <w:right w:type="dxa" w:w="80"/>
            </w:tcMar>
            <w:vAlign w:val="center"/>
          </w:tcPr>
          <w:p>
            <w:pPr>
              <w:jc w:val="left"/>
            </w:pPr>
            <w:r>
              <w:rPr>
                <w:rFonts w:ascii="Calibri" w:cs="Calibri" w:eastAsia="Calibri" w:hAnsi="Calibri"/>
                <w:b w:val="false"/>
                <w:bCs w:val="false"/>
                <w:sz w:val="17"/>
                <w:szCs w:val="17"/>
              </w:rPr>
              <w:t xml:space="preserve">.venv\Scripts\python -m laboratorio.runner --repeticiones 30</w:t>
            </w:r>
          </w:p>
        </w:tc>
      </w:tr>
      <w:tr>
        <w:trPr>
          <w:cantSplit/>
        </w:trPr>
        <w:tc>
          <w:tcPr>
            <w:tcW w:type="dxa" w:w="3855"/>
            <w:tcMar>
              <w:top w:type="dxa" w:w="50"/>
              <w:left w:type="dxa" w:w="80"/>
              <w:bottom w:type="dxa" w:w="50"/>
              <w:right w:type="dxa" w:w="80"/>
            </w:tcMar>
            <w:vAlign w:val="center"/>
          </w:tcPr>
          <w:p>
            <w:pPr>
              <w:jc w:val="left"/>
            </w:pPr>
            <w:r>
              <w:rPr>
                <w:rFonts w:ascii="Calibri" w:cs="Calibri" w:eastAsia="Calibri" w:hAnsi="Calibri"/>
                <w:b w:val="false"/>
                <w:bCs w:val="false"/>
                <w:sz w:val="17"/>
                <w:szCs w:val="17"/>
              </w:rPr>
              <w:t xml:space="preserve">Reproducir la estadística</w:t>
            </w:r>
          </w:p>
        </w:tc>
        <w:tc>
          <w:tcPr>
            <w:tcW w:type="dxa" w:w="5783"/>
            <w:tcMar>
              <w:top w:type="dxa" w:w="50"/>
              <w:left w:type="dxa" w:w="80"/>
              <w:bottom w:type="dxa" w:w="50"/>
              <w:right w:type="dxa" w:w="80"/>
            </w:tcMar>
            <w:vAlign w:val="center"/>
          </w:tcPr>
          <w:p>
            <w:pPr>
              <w:jc w:val="left"/>
            </w:pPr>
            <w:r>
              <w:rPr>
                <w:rFonts w:ascii="Calibri" w:cs="Calibri" w:eastAsia="Calibri" w:hAnsi="Calibri"/>
                <w:b w:val="false"/>
                <w:bCs w:val="false"/>
                <w:sz w:val="17"/>
                <w:szCs w:val="17"/>
              </w:rPr>
              <w:t xml:space="preserve">python analisis/estadistica.py · analisis_reproducible.R en R-Studio</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6"/>
        <w:szCs w:val="16"/>
      </w:rPr>
      <w:t xml:space="preserve">Página </w:t>
    </w:r>
    <w:r>
      <w:rPr>
        <w:rFonts w:ascii="Calibri" w:cs="Calibri" w:eastAsia="Calibri" w:hAnsi="Calibri"/>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777777"/>
        <w:sz w:val="16"/>
        <w:szCs w:val="16"/>
      </w:rPr>
      <w:t xml:space="preserve">Reporte de validación del artefacto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a1719eb4255b537ce95d0c0cae73ec7f5cbe2a16.png"/><Relationship Id="rId10" Type="http://schemas.openxmlformats.org/officeDocument/2006/relationships/image" Target="media/5617275b3aaf1c9024ceb9e60e3ac02523ee7690.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Reporte de validación del artefacto</dc:title>
  <dc:creator>Príncipe Velásquez, Iván</dc:creator>
  <cp:lastModifiedBy>Un-named</cp:lastModifiedBy>
  <cp:revision>1</cp:revision>
  <dcterms:created xsi:type="dcterms:W3CDTF">2026-10-06T13:10:20.180Z</dcterms:created>
  <dcterms:modified xsi:type="dcterms:W3CDTF">2026-10-06T13:10:20.180Z</dcterms:modified>
</cp:coreProperties>
</file>

<file path=docProps/custom.xml><?xml version="1.0" encoding="utf-8"?>
<Properties xmlns="http://schemas.openxmlformats.org/officeDocument/2006/custom-properties" xmlns:vt="http://schemas.openxmlformats.org/officeDocument/2006/docPropsVTypes"/>
</file>