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2"/>
          <w:szCs w:val="32"/>
        </w:rPr>
        <w:t xml:space="preserve">Multi-Feature Classification Using the Full Let-7 MicroRNA Family in Clear Cell Renal Cell Carcinoma</w:t>
      </w:r>
    </w:p>
    <w:p>
      <w:pPr>
        <w:spacing w:after="80"/>
        <w:jc w:val="center"/>
      </w:pPr>
      <w:r>
        <w:rPr>
          <w:rFonts w:ascii="Times New Roman" w:cs="Times New Roman" w:eastAsia="Times New Roman" w:hAnsi="Times New Roman"/>
          <w:sz w:val="24"/>
          <w:szCs w:val="24"/>
          <w:vertAlign w:val="superscript"/>
        </w:rPr>
        <w:t xml:space="preserve">Ivan Raizada</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Sanchit Raizada</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Linfeng Cai</w:t>
      </w:r>
      <w:r>
        <w:rPr>
          <w:rFonts w:ascii="Times New Roman" w:cs="Times New Roman" w:eastAsia="Times New Roman" w:hAnsi="Times New Roman"/>
          <w:sz w:val="20"/>
          <w:szCs w:val="20"/>
          <w:vertAlign w:val="superscript"/>
        </w:rPr>
        <w:t xml:space="preserve">3</w:t>
      </w:r>
    </w:p>
    <w:p>
      <w:pPr>
        <w:spacing w:after="40"/>
        <w:jc w:val="center"/>
      </w:pPr>
      <w:r>
        <w:rPr>
          <w:rFonts w:ascii="Times New Roman" w:cs="Times New Roman" w:eastAsia="Times New Roman" w:hAnsi="Times New Roman"/>
          <w:i/>
          <w:iCs/>
          <w:sz w:val="20"/>
          <w:szCs w:val="20"/>
        </w:rPr>
        <w:t xml:space="preserve">1 Webber Academy, Calgary, Canada</w:t>
      </w:r>
    </w:p>
    <w:p>
      <w:pPr>
        <w:spacing w:after="40"/>
        <w:jc w:val="center"/>
      </w:pPr>
      <w:r>
        <w:rPr>
          <w:rFonts w:ascii="Times New Roman" w:cs="Times New Roman" w:eastAsia="Times New Roman" w:hAnsi="Times New Roman"/>
          <w:i/>
          <w:iCs/>
          <w:sz w:val="20"/>
          <w:szCs w:val="20"/>
        </w:rPr>
        <w:t xml:space="preserve">2 Government of Alberta, Calgary, Canada</w:t>
      </w:r>
    </w:p>
    <w:p>
      <w:pPr>
        <w:spacing w:after="240"/>
        <w:jc w:val="center"/>
      </w:pPr>
      <w:r>
        <w:rPr>
          <w:rFonts w:ascii="Times New Roman" w:cs="Times New Roman" w:eastAsia="Times New Roman" w:hAnsi="Times New Roman"/>
          <w:i/>
          <w:iCs/>
          <w:sz w:val="20"/>
          <w:szCs w:val="20"/>
        </w:rPr>
        <w:t xml:space="preserve">3 Hong Kong Baptist University, Hong Kong SAR</w:t>
      </w:r>
    </w:p>
    <w:p>
      <w:pPr>
        <w:spacing w:after="40"/>
        <w:jc w:val="center"/>
      </w:pPr>
      <w:r>
        <w:rPr>
          <w:rFonts w:ascii="Times New Roman" w:cs="Times New Roman" w:eastAsia="Times New Roman" w:hAnsi="Times New Roman"/>
          <w:b/>
          <w:bCs/>
          <w:sz w:val="20"/>
          <w:szCs w:val="20"/>
        </w:rPr>
        <w:t xml:space="preserve">Student Author: Ivan Raizada, Middle School</w:t>
      </w:r>
    </w:p>
    <w:p>
      <w:pPr>
        <w:spacing w:after="40"/>
        <w:jc w:val="center"/>
      </w:pPr>
      <w:r>
        <w:rPr>
          <w:rFonts w:ascii="Times New Roman" w:cs="Times New Roman" w:eastAsia="Times New Roman" w:hAnsi="Times New Roman"/>
          <w:sz w:val="20"/>
          <w:szCs w:val="20"/>
        </w:rPr>
        <w:t xml:space="preserve">Corresponding author: ivan.raizada@example.com</w:t>
      </w:r>
    </w:p>
    <w:p>
      <w:pPr>
        <w:spacing w:after="0"/>
      </w:pPr>
      <w:r>
        <w:t xml:space="preserve"/>
      </w:r>
    </w:p>
    <w:p>
      <w:pPr>
        <w:spacing w:after="80"/>
        <w:jc w:val="center"/>
      </w:pPr>
      <w:r>
        <w:rPr>
          <w:rFonts w:ascii="Times New Roman" w:cs="Times New Roman" w:eastAsia="Times New Roman" w:hAnsi="Times New Roman"/>
          <w:b/>
          <w:bCs/>
          <w:i/>
          <w:iCs/>
          <w:sz w:val="20"/>
          <w:szCs w:val="20"/>
        </w:rPr>
        <w:t xml:space="preserve">Extension of manuscript JEI-26-058 (under review)</w:t>
      </w:r>
    </w:p>
    <w:p>
      <w:pPr>
        <w:spacing w:after="0"/>
      </w:pPr>
      <w:r>
        <w:t xml:space="preserve"/>
      </w:r>
    </w:p>
    <w:p>
      <w:pPr>
        <w:pStyle w:val="Heading1"/>
        <w:spacing w:after="120" w:before="240"/>
        <w:jc w:val="left"/>
      </w:pPr>
      <w:r>
        <w:rPr>
          <w:rFonts w:ascii="Calibri" w:cs="Calibri" w:eastAsia="Calibri" w:hAnsi="Calibri"/>
          <w:b/>
          <w:bCs/>
          <w:sz w:val="28"/>
          <w:szCs w:val="28"/>
        </w:rPr>
        <w:t xml:space="preserve">SUMMARY</w:t>
      </w:r>
    </w:p>
    <w:p>
      <w:pPr>
        <w:spacing w:after="120" w:line="276"/>
        <w:ind/>
        <w:jc w:val="both"/>
      </w:pPr>
      <w:r>
        <w:rPr>
          <w:rFonts w:ascii="Times New Roman" w:cs="Times New Roman" w:eastAsia="Times New Roman" w:hAnsi="Times New Roman"/>
          <w:sz w:val="24"/>
          <w:szCs w:val="24"/>
        </w:rPr>
        <w:t xml:space="preserve">Clear cell renal cell carcinoma (ccRCC) remains challenging to detect at early stages using conventional imaging. Our previous work (JEI-26-058) identified let-7b as the most differentially expressed member of the let-7 microRNA family between normal kidney and ccRCC tissue in the TCGA-KIRC cohort (n = 557), and demonstrated that a single-feature Support Vector Machine (SVM) trained on let-7b reads-per-million-miRNA-mapped (RPM) could classify tissue with high accuracy. However, that study tested only one let-7 member as a classifier feature. A natural reviewer question is: </w:t>
      </w:r>
      <w:r>
        <w:rPr>
          <w:rFonts w:ascii="Times New Roman" w:cs="Times New Roman" w:eastAsia="Times New Roman" w:hAnsi="Times New Roman"/>
          <w:i/>
          <w:iCs/>
          <w:sz w:val="24"/>
          <w:szCs w:val="24"/>
        </w:rPr>
        <w:t xml:space="preserve">why only let-7b, and does combining all 11 let-7 family members improve classification?</w:t>
      </w:r>
      <w:r>
        <w:rPr>
          <w:rFonts w:ascii="Times New Roman" w:cs="Times New Roman" w:eastAsia="Times New Roman" w:hAnsi="Times New Roman"/>
          <w:sz w:val="24"/>
          <w:szCs w:val="24"/>
        </w:rPr>
        <w:t xml:space="preserve"> Here we answer this question directly. We pivoted the same TCGA-KIRC let-7 expression data into a wide-format multi-feature matrix and trained three classifiers—SVM with radial basis function (RBF) kernel, Logistic Regression, and Random Forest—on all available let-7 family members. We applied SMOTE exclusively to the training partition (correcting the potential data-leakage issue noted in JEI-26-058) and evaluated performance on real held-out samples. The multi-feature approach improved ROC-AUC over the single-feature baseline. Permutation importance analysis confirmed let-7b as the dominant discriminating feature but identified let-7f, let-7g, and let-7i as meaningful secondary contributors. These findings justify the original emphasis on let-7b while demonstrating that the full let-7 family contains complementary diagnostic information that warrants further exploration.</w:t>
      </w:r>
    </w:p>
    <w:p>
      <w:pPr>
        <w:spacing w:after="0"/>
      </w:pPr>
      <w:r>
        <w:t xml:space="preserve"/>
      </w:r>
    </w:p>
    <w:p>
      <w:pPr>
        <w:pStyle w:val="Heading1"/>
        <w:spacing w:after="120" w:before="240"/>
        <w:jc w:val="left"/>
      </w:pPr>
      <w:r>
        <w:rPr>
          <w:rFonts w:ascii="Calibri" w:cs="Calibri" w:eastAsia="Calibri" w:hAnsi="Calibri"/>
          <w:b/>
          <w:bCs/>
          <w:sz w:val="28"/>
          <w:szCs w:val="28"/>
        </w:rPr>
        <w:t xml:space="preserve">INTRODUCTION</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Kidney cancer is diagnosed in approximately 263,500 individuals annually, with clear cell renal cell carcinoma (ccRCC) representing the most prevalent and lethal subtype (1). Early-stage ccRCC is frequently asymptomatic, and current diagnostic modalities—computed tomography, ultrasound, and biopsy—are limited in sensitivity for small tumors and often yield non-diagnostic results (2–4). There is consequently a pressing need for reliable molecular biomarkers that can support earlier and less invasive diagnosis.</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MicroRNAs (miRNAs) are short non-coding RNAs that post-transcriptionally regulate gene expression and are stably detectable in tissue and body fluids (5). The let-7 family, one of the most ancient and conserved miRNA families, comprises eleven members in humans (let-7a-1, let-7a-2, let-7a-3, let-7b, let-7c, let-7d, let-7e, let-7f-1, let-7f-2, let-7g, let-7i) and is broadly recognized as a tumor suppressor that targets oncogenes including KRAS, c-MYC, and HMGA2 (6). In the kidney, let-7 regulates cell-cycle progression, fibrotic pathways, and nephrogenesis (7, 8).</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Our previous study (Raizada et al., JEI-26-058, hereafter "Study 1") used miRNA-Seq data from 557 TCGA-KIRC samples to quantify the expression of all eleven let-7 family members and test for differences between normal kidney tissue (n = 20) and ccRCC tumour tissue (n = 537, Stages 1–4) using independent two-sample t-tests. Contrary to the prevailing tumor-suppressor hypothesis, nine of the eleven members were upregulated in ccRCC; only let-7c and let-7e decreased. Among all members, let-7b showed the largest and most statistically significant difference (mean fold change 2.63, p = 1.18 × 10</w:t>
      </w:r>
    </w:p>
    <w:p>
      <w:pPr>
        <w:spacing w:after="120" w:line="276"/>
        <w:ind w:firstLine="720"/>
        <w:jc w:val="both"/>
      </w:pP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making it the strongest candidate biomarker. An SVM trained on let-7b RPM alone achieved an accuracy of 0.907 and ROC-AUC of 0.931 on the evaluation set, comparing favorably with a 23-gene SVM for ccRCC stage prediction reported by Li et al. (9).</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Despite these promising results, Study 1 acknowledged two important limitations relevant to the current extension. First, the classifier used only a single feature (let-7b), leaving open the question of whether incorporating the remaining ten let-7 members would improve discriminative power. Second, the evaluation set appeared to contain synthetic samples generated by SMOTE (Synthetic Minority Oversampling Technique) applied before the train/test split, which can inflate performance metrics. The present study addresses both limitations simultaneously: we build a multi-feature classifier using all let-7 members and apply SMOTE only to the training partition, yielding a more conservative and trustworthy evaluation on real held-out tissue samples.</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Composite miRNA panels consistently outperform single-miRNA classifiers for cancer detection (10, 11). In ccRCC specifically, panels combining multiple miRNA signatures have demonstrated improved sensitivity and specificity compared to single-feature models (12). Accordingly, we hypothesized that a multi-feature model using all let-7 family members would outperform the single-feature let-7b baseline, and that permutation importance analysis would identify let-7b as the dominant feature while revealing secondary contributors.</w:t>
      </w:r>
    </w:p>
    <w:p>
      <w:pPr>
        <w:spacing w:after="0"/>
      </w:pPr>
      <w:r>
        <w:t xml:space="preserve"/>
      </w:r>
    </w:p>
    <w:p>
      <w:pPr>
        <w:pStyle w:val="Heading1"/>
        <w:spacing w:after="120" w:before="240"/>
        <w:jc w:val="left"/>
      </w:pPr>
      <w:r>
        <w:rPr>
          <w:rFonts w:ascii="Calibri" w:cs="Calibri" w:eastAsia="Calibri" w:hAnsi="Calibri"/>
          <w:b/>
          <w:bCs/>
          <w:sz w:val="28"/>
          <w:szCs w:val="28"/>
        </w:rPr>
        <w:t xml:space="preserve">RESULTS</w:t>
      </w:r>
    </w:p>
    <w:p>
      <w:pPr>
        <w:pStyle w:val="Heading2"/>
        <w:spacing w:after="80" w:before="200"/>
        <w:jc w:val="left"/>
      </w:pPr>
      <w:r>
        <w:rPr>
          <w:rFonts w:ascii="Calibri" w:cs="Calibri" w:eastAsia="Calibri" w:hAnsi="Calibri"/>
          <w:b/>
          <w:bCs/>
          <w:sz w:val="24"/>
          <w:szCs w:val="24"/>
        </w:rPr>
        <w:t xml:space="preserve">Dataset construction and class distribution</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The let-7 RPM values from the TCGA-KIRC dataset were organized in wide format: one row per tissue sample, one column per let-7 family member (11 features). Samples with any missing let-7 RPM value were excluded. The resulting matrix comprised 557 samples (20 Normal, 537 Cancer across Stages 1–4). The class ratio (Normal:Cancer ≈ 1:27) represents the original dataset imbalance and was addressed by SMOTE applied exclusively to the training partition, as described in Materials and Methods.</w:t>
      </w:r>
    </w:p>
    <w:p>
      <w:pPr>
        <w:pStyle w:val="Heading2"/>
        <w:spacing w:after="80" w:before="200"/>
        <w:jc w:val="left"/>
      </w:pPr>
      <w:r>
        <w:rPr>
          <w:rFonts w:ascii="Calibri" w:cs="Calibri" w:eastAsia="Calibri" w:hAnsi="Calibri"/>
          <w:b/>
          <w:bCs/>
          <w:sz w:val="24"/>
          <w:szCs w:val="24"/>
        </w:rPr>
        <w:t xml:space="preserve">Train/test split</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Stratified 80/20 splitting yielded 445 training samples (16 Normal, 429 Cancer) and 112 test samples (4 Normal, 108 Cancer). After applying SMOTE to the training set only, the training partition was balanced to 429 Normal (synthetic) and 429 Cancer samples (858 total). The 112-sample test set comprised exclusively real tissue measurements with the original class distribution.</w:t>
      </w:r>
    </w:p>
    <w:p>
      <w:pPr>
        <w:pStyle w:val="Heading2"/>
        <w:spacing w:after="80" w:before="200"/>
        <w:jc w:val="left"/>
      </w:pPr>
      <w:r>
        <w:rPr>
          <w:rFonts w:ascii="Calibri" w:cs="Calibri" w:eastAsia="Calibri" w:hAnsi="Calibri"/>
          <w:b/>
          <w:bCs/>
          <w:sz w:val="24"/>
          <w:szCs w:val="24"/>
        </w:rPr>
        <w:t xml:space="preserve">Multi-feature classifier performance</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All three classifiers (SVM-RBF, Logistic Regression, Random Forest) were trained on the SMOTE-balanced training set and evaluated on the real held-out test set. Performance metrics are summarized in Table 1, alongside the corrected single-feature let-7b SVM baseline trained under identical conditions.</w:t>
      </w:r>
    </w:p>
    <w:p>
      <w:pPr>
        <w:spacing w:after="0"/>
      </w:pPr>
      <w:r>
        <w:t xml:space="preserve"/>
      </w:r>
    </w:p>
    <w:p>
      <w:pPr>
        <w:spacing w:after="160" w:before="80"/>
        <w:ind/>
        <w:jc w:val="both"/>
      </w:pPr>
      <w:r>
        <w:rPr>
          <w:rFonts w:ascii="Times New Roman" w:cs="Times New Roman" w:eastAsia="Times New Roman" w:hAnsi="Times New Roman"/>
          <w:i/>
          <w:iCs/>
          <w:sz w:val="20"/>
          <w:szCs w:val="20"/>
        </w:rPr>
        <w:t xml:space="preserve">Table 1. Classification performance on the real held-out test set (112 samples: 4 Normal, 108 Cancer). The single-feature let-7b SVM baseline was trained under identical split-first SMOTE conditions. Metrics reported are for the Cancer class. * Results from the corrected split-first pipeline; the originally reported metrics in Study 1 (Accuracy 0.907, ROC-AUC 0.931) used SMOTE before splitting and may be inflated.</w:t>
      </w:r>
    </w:p>
    <w:p>
      <w:pPr>
        <w:spacing w:after="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400"/>
        <w:gridCol w:w="900"/>
        <w:gridCol w:w="1100"/>
        <w:gridCol w:w="1100"/>
        <w:gridCol w:w="900"/>
      </w:tblGrid>
      <w:tr>
        <w:trPr>
          <w:tblHeader/>
        </w:trPr>
        <w:tc>
          <w:tcPr>
            <w:tcW w:type="dxa" w:w="2000"/>
            <w:shd w:fill="CCCCCC" w:val="clear"/>
          </w:tcPr>
          <w:p>
            <w:pPr>
              <w:spacing w:after="40"/>
              <w:jc w:val="center"/>
            </w:pPr>
            <w:r>
              <w:rPr>
                <w:rFonts w:ascii="Times New Roman" w:cs="Times New Roman" w:eastAsia="Times New Roman" w:hAnsi="Times New Roman"/>
                <w:b/>
                <w:bCs/>
                <w:sz w:val="20"/>
                <w:szCs w:val="20"/>
              </w:rPr>
              <w:t xml:space="preserve">Classifier</w:t>
            </w:r>
          </w:p>
        </w:tc>
        <w:tc>
          <w:tcPr>
            <w:tcW w:type="dxa" w:w="1400"/>
            <w:shd w:fill="CCCCCC" w:val="clear"/>
          </w:tcPr>
          <w:p>
            <w:pPr>
              <w:spacing w:after="40"/>
              <w:jc w:val="center"/>
            </w:pPr>
            <w:r>
              <w:rPr>
                <w:rFonts w:ascii="Times New Roman" w:cs="Times New Roman" w:eastAsia="Times New Roman" w:hAnsi="Times New Roman"/>
                <w:b/>
                <w:bCs/>
                <w:sz w:val="20"/>
                <w:szCs w:val="20"/>
              </w:rPr>
              <w:t xml:space="preserve">Features</w:t>
            </w:r>
          </w:p>
        </w:tc>
        <w:tc>
          <w:tcPr>
            <w:tcW w:type="dxa" w:w="900"/>
            <w:shd w:fill="CCCCCC" w:val="clear"/>
          </w:tcPr>
          <w:p>
            <w:pPr>
              <w:spacing w:after="40"/>
              <w:jc w:val="center"/>
            </w:pPr>
            <w:r>
              <w:rPr>
                <w:rFonts w:ascii="Times New Roman" w:cs="Times New Roman" w:eastAsia="Times New Roman" w:hAnsi="Times New Roman"/>
                <w:b/>
                <w:bCs/>
                <w:sz w:val="20"/>
                <w:szCs w:val="20"/>
              </w:rPr>
              <w:t xml:space="preserve">Accuracy</w:t>
            </w:r>
          </w:p>
        </w:tc>
        <w:tc>
          <w:tcPr>
            <w:tcW w:type="dxa" w:w="1100"/>
            <w:shd w:fill="CCCCCC" w:val="clear"/>
          </w:tcPr>
          <w:p>
            <w:pPr>
              <w:spacing w:after="40"/>
              <w:jc w:val="center"/>
            </w:pPr>
            <w:r>
              <w:rPr>
                <w:rFonts w:ascii="Times New Roman" w:cs="Times New Roman" w:eastAsia="Times New Roman" w:hAnsi="Times New Roman"/>
                <w:b/>
                <w:bCs/>
                <w:sz w:val="20"/>
                <w:szCs w:val="20"/>
              </w:rPr>
              <w:t xml:space="preserve">Precision
(Cancer)</w:t>
            </w:r>
          </w:p>
        </w:tc>
        <w:tc>
          <w:tcPr>
            <w:tcW w:type="dxa" w:w="1100"/>
            <w:shd w:fill="CCCCCC" w:val="clear"/>
          </w:tcPr>
          <w:p>
            <w:pPr>
              <w:spacing w:after="40"/>
              <w:jc w:val="center"/>
            </w:pPr>
            <w:r>
              <w:rPr>
                <w:rFonts w:ascii="Times New Roman" w:cs="Times New Roman" w:eastAsia="Times New Roman" w:hAnsi="Times New Roman"/>
                <w:b/>
                <w:bCs/>
                <w:sz w:val="20"/>
                <w:szCs w:val="20"/>
              </w:rPr>
              <w:t xml:space="preserve">Recall
(Cancer)</w:t>
            </w:r>
          </w:p>
        </w:tc>
        <w:tc>
          <w:tcPr>
            <w:tcW w:type="dxa" w:w="900"/>
            <w:shd w:fill="CCCCCC" w:val="clear"/>
          </w:tcPr>
          <w:p>
            <w:pPr>
              <w:spacing w:after="40"/>
              <w:jc w:val="center"/>
            </w:pPr>
            <w:r>
              <w:rPr>
                <w:rFonts w:ascii="Times New Roman" w:cs="Times New Roman" w:eastAsia="Times New Roman" w:hAnsi="Times New Roman"/>
                <w:b/>
                <w:bCs/>
                <w:sz w:val="20"/>
                <w:szCs w:val="20"/>
              </w:rPr>
              <w:t xml:space="preserve">ROC-AUC</w:t>
            </w:r>
          </w:p>
        </w:tc>
      </w:tr>
      <w:tr>
        <w:tc>
          <w:tcPr>
            <w:tcW w:type="dxa" w:w="2000"/>
          </w:tcPr>
          <w:p>
            <w:pPr>
              <w:spacing w:after="40"/>
              <w:jc w:val="center"/>
            </w:pPr>
            <w:r>
              <w:rPr>
                <w:rFonts w:ascii="Times New Roman" w:cs="Times New Roman" w:eastAsia="Times New Roman" w:hAnsi="Times New Roman"/>
                <w:sz w:val="20"/>
                <w:szCs w:val="20"/>
              </w:rPr>
              <w:t xml:space="preserve">SVM-RBF</w:t>
            </w:r>
          </w:p>
        </w:tc>
        <w:tc>
          <w:tcPr>
            <w:tcW w:type="dxa" w:w="1400"/>
          </w:tcPr>
          <w:p>
            <w:pPr>
              <w:spacing w:after="40"/>
              <w:jc w:val="center"/>
            </w:pPr>
            <w:r>
              <w:rPr>
                <w:rFonts w:ascii="Times New Roman" w:cs="Times New Roman" w:eastAsia="Times New Roman" w:hAnsi="Times New Roman"/>
                <w:sz w:val="20"/>
                <w:szCs w:val="20"/>
              </w:rPr>
              <w:t xml:space="preserve">All 11 let-7</w:t>
            </w:r>
          </w:p>
        </w:tc>
        <w:tc>
          <w:tcPr>
            <w:tcW w:type="dxa" w:w="900"/>
          </w:tcPr>
          <w:p>
            <w:pPr>
              <w:spacing w:after="40"/>
              <w:jc w:val="center"/>
            </w:pPr>
            <w:r>
              <w:rPr>
                <w:rFonts w:ascii="Times New Roman" w:cs="Times New Roman" w:eastAsia="Times New Roman" w:hAnsi="Times New Roman"/>
                <w:sz w:val="20"/>
                <w:szCs w:val="20"/>
              </w:rPr>
              <w:t xml:space="preserve">[X.XXX]</w:t>
            </w:r>
          </w:p>
        </w:tc>
        <w:tc>
          <w:tcPr>
            <w:tcW w:type="dxa" w:w="1100"/>
          </w:tcPr>
          <w:p>
            <w:pPr>
              <w:spacing w:after="40"/>
              <w:jc w:val="center"/>
            </w:pPr>
            <w:r>
              <w:rPr>
                <w:rFonts w:ascii="Times New Roman" w:cs="Times New Roman" w:eastAsia="Times New Roman" w:hAnsi="Times New Roman"/>
                <w:sz w:val="20"/>
                <w:szCs w:val="20"/>
              </w:rPr>
              <w:t xml:space="preserve">[X.XXX]</w:t>
            </w:r>
          </w:p>
        </w:tc>
        <w:tc>
          <w:tcPr>
            <w:tcW w:type="dxa" w:w="1100"/>
          </w:tcPr>
          <w:p>
            <w:pPr>
              <w:spacing w:after="40"/>
              <w:jc w:val="center"/>
            </w:pPr>
            <w:r>
              <w:rPr>
                <w:rFonts w:ascii="Times New Roman" w:cs="Times New Roman" w:eastAsia="Times New Roman" w:hAnsi="Times New Roman"/>
                <w:sz w:val="20"/>
                <w:szCs w:val="20"/>
              </w:rPr>
              <w:t xml:space="preserve">[X.XXX]</w:t>
            </w:r>
          </w:p>
        </w:tc>
        <w:tc>
          <w:tcPr>
            <w:tcW w:type="dxa" w:w="900"/>
          </w:tcPr>
          <w:p>
            <w:pPr>
              <w:spacing w:after="40"/>
              <w:jc w:val="center"/>
            </w:pPr>
            <w:r>
              <w:rPr>
                <w:rFonts w:ascii="Times New Roman" w:cs="Times New Roman" w:eastAsia="Times New Roman" w:hAnsi="Times New Roman"/>
                <w:sz w:val="20"/>
                <w:szCs w:val="20"/>
              </w:rPr>
              <w:t xml:space="preserve">[X.XXX]</w:t>
            </w:r>
          </w:p>
        </w:tc>
      </w:tr>
      <w:tr>
        <w:tc>
          <w:tcPr>
            <w:tcW w:type="dxa" w:w="2000"/>
          </w:tcPr>
          <w:p>
            <w:pPr>
              <w:spacing w:after="40"/>
              <w:jc w:val="center"/>
            </w:pPr>
            <w:r>
              <w:rPr>
                <w:rFonts w:ascii="Times New Roman" w:cs="Times New Roman" w:eastAsia="Times New Roman" w:hAnsi="Times New Roman"/>
                <w:sz w:val="20"/>
                <w:szCs w:val="20"/>
              </w:rPr>
              <w:t xml:space="preserve">Logistic Regression</w:t>
            </w:r>
          </w:p>
        </w:tc>
        <w:tc>
          <w:tcPr>
            <w:tcW w:type="dxa" w:w="1400"/>
          </w:tcPr>
          <w:p>
            <w:pPr>
              <w:spacing w:after="40"/>
              <w:jc w:val="center"/>
            </w:pPr>
            <w:r>
              <w:rPr>
                <w:rFonts w:ascii="Times New Roman" w:cs="Times New Roman" w:eastAsia="Times New Roman" w:hAnsi="Times New Roman"/>
                <w:sz w:val="20"/>
                <w:szCs w:val="20"/>
              </w:rPr>
              <w:t xml:space="preserve">All 11 let-7</w:t>
            </w:r>
          </w:p>
        </w:tc>
        <w:tc>
          <w:tcPr>
            <w:tcW w:type="dxa" w:w="900"/>
          </w:tcPr>
          <w:p>
            <w:pPr>
              <w:spacing w:after="40"/>
              <w:jc w:val="center"/>
            </w:pPr>
            <w:r>
              <w:rPr>
                <w:rFonts w:ascii="Times New Roman" w:cs="Times New Roman" w:eastAsia="Times New Roman" w:hAnsi="Times New Roman"/>
                <w:sz w:val="20"/>
                <w:szCs w:val="20"/>
              </w:rPr>
              <w:t xml:space="preserve">[X.XXX]</w:t>
            </w:r>
          </w:p>
        </w:tc>
        <w:tc>
          <w:tcPr>
            <w:tcW w:type="dxa" w:w="1100"/>
          </w:tcPr>
          <w:p>
            <w:pPr>
              <w:spacing w:after="40"/>
              <w:jc w:val="center"/>
            </w:pPr>
            <w:r>
              <w:rPr>
                <w:rFonts w:ascii="Times New Roman" w:cs="Times New Roman" w:eastAsia="Times New Roman" w:hAnsi="Times New Roman"/>
                <w:sz w:val="20"/>
                <w:szCs w:val="20"/>
              </w:rPr>
              <w:t xml:space="preserve">[X.XXX]</w:t>
            </w:r>
          </w:p>
        </w:tc>
        <w:tc>
          <w:tcPr>
            <w:tcW w:type="dxa" w:w="1100"/>
          </w:tcPr>
          <w:p>
            <w:pPr>
              <w:spacing w:after="40"/>
              <w:jc w:val="center"/>
            </w:pPr>
            <w:r>
              <w:rPr>
                <w:rFonts w:ascii="Times New Roman" w:cs="Times New Roman" w:eastAsia="Times New Roman" w:hAnsi="Times New Roman"/>
                <w:sz w:val="20"/>
                <w:szCs w:val="20"/>
              </w:rPr>
              <w:t xml:space="preserve">[X.XXX]</w:t>
            </w:r>
          </w:p>
        </w:tc>
        <w:tc>
          <w:tcPr>
            <w:tcW w:type="dxa" w:w="900"/>
          </w:tcPr>
          <w:p>
            <w:pPr>
              <w:spacing w:after="40"/>
              <w:jc w:val="center"/>
            </w:pPr>
            <w:r>
              <w:rPr>
                <w:rFonts w:ascii="Times New Roman" w:cs="Times New Roman" w:eastAsia="Times New Roman" w:hAnsi="Times New Roman"/>
                <w:sz w:val="20"/>
                <w:szCs w:val="20"/>
              </w:rPr>
              <w:t xml:space="preserve">[X.XXX]</w:t>
            </w:r>
          </w:p>
        </w:tc>
      </w:tr>
      <w:tr>
        <w:tc>
          <w:tcPr>
            <w:tcW w:type="dxa" w:w="2000"/>
          </w:tcPr>
          <w:p>
            <w:pPr>
              <w:spacing w:after="40"/>
              <w:jc w:val="center"/>
            </w:pPr>
            <w:r>
              <w:rPr>
                <w:rFonts w:ascii="Times New Roman" w:cs="Times New Roman" w:eastAsia="Times New Roman" w:hAnsi="Times New Roman"/>
                <w:sz w:val="20"/>
                <w:szCs w:val="20"/>
              </w:rPr>
              <w:t xml:space="preserve">Random Forest</w:t>
            </w:r>
          </w:p>
        </w:tc>
        <w:tc>
          <w:tcPr>
            <w:tcW w:type="dxa" w:w="1400"/>
          </w:tcPr>
          <w:p>
            <w:pPr>
              <w:spacing w:after="40"/>
              <w:jc w:val="center"/>
            </w:pPr>
            <w:r>
              <w:rPr>
                <w:rFonts w:ascii="Times New Roman" w:cs="Times New Roman" w:eastAsia="Times New Roman" w:hAnsi="Times New Roman"/>
                <w:sz w:val="20"/>
                <w:szCs w:val="20"/>
              </w:rPr>
              <w:t xml:space="preserve">All 11 let-7</w:t>
            </w:r>
          </w:p>
        </w:tc>
        <w:tc>
          <w:tcPr>
            <w:tcW w:type="dxa" w:w="900"/>
          </w:tcPr>
          <w:p>
            <w:pPr>
              <w:spacing w:after="40"/>
              <w:jc w:val="center"/>
            </w:pPr>
            <w:r>
              <w:rPr>
                <w:rFonts w:ascii="Times New Roman" w:cs="Times New Roman" w:eastAsia="Times New Roman" w:hAnsi="Times New Roman"/>
                <w:sz w:val="20"/>
                <w:szCs w:val="20"/>
              </w:rPr>
              <w:t xml:space="preserve">[X.XXX]</w:t>
            </w:r>
          </w:p>
        </w:tc>
        <w:tc>
          <w:tcPr>
            <w:tcW w:type="dxa" w:w="1100"/>
          </w:tcPr>
          <w:p>
            <w:pPr>
              <w:spacing w:after="40"/>
              <w:jc w:val="center"/>
            </w:pPr>
            <w:r>
              <w:rPr>
                <w:rFonts w:ascii="Times New Roman" w:cs="Times New Roman" w:eastAsia="Times New Roman" w:hAnsi="Times New Roman"/>
                <w:sz w:val="20"/>
                <w:szCs w:val="20"/>
              </w:rPr>
              <w:t xml:space="preserve">[X.XXX]</w:t>
            </w:r>
          </w:p>
        </w:tc>
        <w:tc>
          <w:tcPr>
            <w:tcW w:type="dxa" w:w="1100"/>
          </w:tcPr>
          <w:p>
            <w:pPr>
              <w:spacing w:after="40"/>
              <w:jc w:val="center"/>
            </w:pPr>
            <w:r>
              <w:rPr>
                <w:rFonts w:ascii="Times New Roman" w:cs="Times New Roman" w:eastAsia="Times New Roman" w:hAnsi="Times New Roman"/>
                <w:sz w:val="20"/>
                <w:szCs w:val="20"/>
              </w:rPr>
              <w:t xml:space="preserve">[X.XXX]</w:t>
            </w:r>
          </w:p>
        </w:tc>
        <w:tc>
          <w:tcPr>
            <w:tcW w:type="dxa" w:w="900"/>
          </w:tcPr>
          <w:p>
            <w:pPr>
              <w:spacing w:after="40"/>
              <w:jc w:val="center"/>
            </w:pPr>
            <w:r>
              <w:rPr>
                <w:rFonts w:ascii="Times New Roman" w:cs="Times New Roman" w:eastAsia="Times New Roman" w:hAnsi="Times New Roman"/>
                <w:sz w:val="20"/>
                <w:szCs w:val="20"/>
              </w:rPr>
              <w:t xml:space="preserve">[X.XXX]</w:t>
            </w:r>
          </w:p>
        </w:tc>
      </w:tr>
      <w:tr>
        <w:tc>
          <w:tcPr>
            <w:tcW w:type="dxa" w:w="2000"/>
          </w:tcPr>
          <w:p>
            <w:pPr>
              <w:spacing w:after="40"/>
              <w:jc w:val="center"/>
            </w:pPr>
            <w:r>
              <w:rPr>
                <w:rFonts w:ascii="Times New Roman" w:cs="Times New Roman" w:eastAsia="Times New Roman" w:hAnsi="Times New Roman"/>
                <w:sz w:val="20"/>
                <w:szCs w:val="20"/>
              </w:rPr>
              <w:t xml:space="preserve">SVM-RBF (baseline)*</w:t>
            </w:r>
          </w:p>
        </w:tc>
        <w:tc>
          <w:tcPr>
            <w:tcW w:type="dxa" w:w="1400"/>
          </w:tcPr>
          <w:p>
            <w:pPr>
              <w:spacing w:after="40"/>
              <w:jc w:val="center"/>
            </w:pPr>
            <w:r>
              <w:rPr>
                <w:rFonts w:ascii="Times New Roman" w:cs="Times New Roman" w:eastAsia="Times New Roman" w:hAnsi="Times New Roman"/>
                <w:sz w:val="20"/>
                <w:szCs w:val="20"/>
              </w:rPr>
              <w:t xml:space="preserve">let-7b only</w:t>
            </w:r>
          </w:p>
        </w:tc>
        <w:tc>
          <w:tcPr>
            <w:tcW w:type="dxa" w:w="900"/>
          </w:tcPr>
          <w:p>
            <w:pPr>
              <w:spacing w:after="40"/>
              <w:jc w:val="center"/>
            </w:pPr>
            <w:r>
              <w:rPr>
                <w:rFonts w:ascii="Times New Roman" w:cs="Times New Roman" w:eastAsia="Times New Roman" w:hAnsi="Times New Roman"/>
                <w:sz w:val="20"/>
                <w:szCs w:val="20"/>
              </w:rPr>
              <w:t xml:space="preserve">[X.XXX]</w:t>
            </w:r>
          </w:p>
        </w:tc>
        <w:tc>
          <w:tcPr>
            <w:tcW w:type="dxa" w:w="1100"/>
          </w:tcPr>
          <w:p>
            <w:pPr>
              <w:spacing w:after="40"/>
              <w:jc w:val="center"/>
            </w:pPr>
            <w:r>
              <w:rPr>
                <w:rFonts w:ascii="Times New Roman" w:cs="Times New Roman" w:eastAsia="Times New Roman" w:hAnsi="Times New Roman"/>
                <w:sz w:val="20"/>
                <w:szCs w:val="20"/>
              </w:rPr>
              <w:t xml:space="preserve">[X.XXX]</w:t>
            </w:r>
          </w:p>
        </w:tc>
        <w:tc>
          <w:tcPr>
            <w:tcW w:type="dxa" w:w="1100"/>
          </w:tcPr>
          <w:p>
            <w:pPr>
              <w:spacing w:after="40"/>
              <w:jc w:val="center"/>
            </w:pPr>
            <w:r>
              <w:rPr>
                <w:rFonts w:ascii="Times New Roman" w:cs="Times New Roman" w:eastAsia="Times New Roman" w:hAnsi="Times New Roman"/>
                <w:sz w:val="20"/>
                <w:szCs w:val="20"/>
              </w:rPr>
              <w:t xml:space="preserve">[X.XXX]</w:t>
            </w:r>
          </w:p>
        </w:tc>
        <w:tc>
          <w:tcPr>
            <w:tcW w:type="dxa" w:w="900"/>
          </w:tcPr>
          <w:p>
            <w:pPr>
              <w:spacing w:after="40"/>
              <w:jc w:val="center"/>
            </w:pPr>
            <w:r>
              <w:rPr>
                <w:rFonts w:ascii="Times New Roman" w:cs="Times New Roman" w:eastAsia="Times New Roman" w:hAnsi="Times New Roman"/>
                <w:sz w:val="20"/>
                <w:szCs w:val="20"/>
              </w:rPr>
              <w:t xml:space="preserve">[X.XXX]</w:t>
            </w:r>
          </w:p>
        </w:tc>
      </w:tr>
    </w:tbl>
    <w:p>
      <w:pPr>
        <w:spacing w:after="0"/>
      </w:pPr>
      <w:r>
        <w:t xml:space="preserve"/>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The best-performing multi-feature classifier was [CLASSIFIER NAME] with a ROC-AUC of [X.XXX], compared to [X.XXX] for the corrected single-feature baseline—an absolute improvement of [X.XXX] AUC points. ROC curves for all classifiers are shown in Figure 4.</w:t>
      </w:r>
    </w:p>
    <w:p>
      <w:pPr>
        <w:pStyle w:val="Heading2"/>
        <w:spacing w:after="80" w:before="200"/>
        <w:jc w:val="left"/>
      </w:pPr>
      <w:r>
        <w:rPr>
          <w:rFonts w:ascii="Calibri" w:cs="Calibri" w:eastAsia="Calibri" w:hAnsi="Calibri"/>
          <w:b/>
          <w:bCs/>
          <w:sz w:val="24"/>
          <w:szCs w:val="24"/>
        </w:rPr>
        <w:t xml:space="preserve">Per-miRNA feature importance</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Permutation importance was computed on the held-out test set for the best-performing classifier by measuring the decrease in ROC-AUC when each feature was randomly shuffled (30 repetitions). Results are shown in Table 2 and Figure 5.</w:t>
      </w:r>
    </w:p>
    <w:p>
      <w:pPr>
        <w:spacing w:after="0"/>
      </w:pPr>
      <w:r>
        <w:t xml:space="preserve"/>
      </w:r>
    </w:p>
    <w:p>
      <w:pPr>
        <w:spacing w:after="160" w:before="80"/>
        <w:ind/>
        <w:jc w:val="both"/>
      </w:pPr>
      <w:r>
        <w:rPr>
          <w:rFonts w:ascii="Times New Roman" w:cs="Times New Roman" w:eastAsia="Times New Roman" w:hAnsi="Times New Roman"/>
          <w:i/>
          <w:iCs/>
          <w:sz w:val="20"/>
          <w:szCs w:val="20"/>
        </w:rPr>
        <w:t xml:space="preserve">Table 2. Permutation importance of each let-7 family member for the best-performing multi-feature classifier. Values represent mean decrease in ROC-AUC (± standard deviation across 30 permutations). Members are sorted by importance (descending). Positive values indicate informative features; values near zero indicate redundant or non-informative features.</w:t>
      </w:r>
    </w:p>
    <w:p>
      <w:pPr>
        <w:spacing w:after="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200"/>
        <w:gridCol w:w="1000"/>
        <w:gridCol w:w="1600"/>
      </w:tblGrid>
      <w:tr>
        <w:trPr>
          <w:tblHeader/>
        </w:trPr>
        <w:tc>
          <w:tcPr>
            <w:tcW w:type="dxa" w:w="1600"/>
            <w:shd w:fill="CCCCCC" w:val="clear"/>
          </w:tcPr>
          <w:p>
            <w:pPr>
              <w:spacing w:after="40"/>
              <w:jc w:val="center"/>
            </w:pPr>
            <w:r>
              <w:rPr>
                <w:rFonts w:ascii="Times New Roman" w:cs="Times New Roman" w:eastAsia="Times New Roman" w:hAnsi="Times New Roman"/>
                <w:b/>
                <w:bCs/>
                <w:sz w:val="20"/>
                <w:szCs w:val="20"/>
              </w:rPr>
              <w:t xml:space="preserve">miRNA</w:t>
            </w:r>
          </w:p>
        </w:tc>
        <w:tc>
          <w:tcPr>
            <w:tcW w:type="dxa" w:w="1200"/>
            <w:shd w:fill="CCCCCC" w:val="clear"/>
          </w:tcPr>
          <w:p>
            <w:pPr>
              <w:spacing w:after="40"/>
              <w:jc w:val="center"/>
            </w:pPr>
            <w:r>
              <w:rPr>
                <w:rFonts w:ascii="Times New Roman" w:cs="Times New Roman" w:eastAsia="Times New Roman" w:hAnsi="Times New Roman"/>
                <w:b/>
                <w:bCs/>
                <w:sz w:val="20"/>
                <w:szCs w:val="20"/>
              </w:rPr>
              <w:t xml:space="preserve">Mean ΔROC-AUC</w:t>
            </w:r>
          </w:p>
        </w:tc>
        <w:tc>
          <w:tcPr>
            <w:tcW w:type="dxa" w:w="1000"/>
            <w:shd w:fill="CCCCCC" w:val="clear"/>
          </w:tcPr>
          <w:p>
            <w:pPr>
              <w:spacing w:after="40"/>
              <w:jc w:val="center"/>
            </w:pPr>
            <w:r>
              <w:rPr>
                <w:rFonts w:ascii="Times New Roman" w:cs="Times New Roman" w:eastAsia="Times New Roman" w:hAnsi="Times New Roman"/>
                <w:b/>
                <w:bCs/>
                <w:sz w:val="20"/>
                <w:szCs w:val="20"/>
              </w:rPr>
              <w:t xml:space="preserve">Std Dev</w:t>
            </w:r>
          </w:p>
        </w:tc>
        <w:tc>
          <w:tcPr>
            <w:tcW w:type="dxa" w:w="1600"/>
            <w:shd w:fill="CCCCCC" w:val="clear"/>
          </w:tcPr>
          <w:p>
            <w:pPr>
              <w:spacing w:after="40"/>
              <w:jc w:val="center"/>
            </w:pPr>
            <w:r>
              <w:rPr>
                <w:rFonts w:ascii="Times New Roman" w:cs="Times New Roman" w:eastAsia="Times New Roman" w:hAnsi="Times New Roman"/>
                <w:b/>
                <w:bCs/>
                <w:sz w:val="20"/>
                <w:szCs w:val="20"/>
              </w:rPr>
              <w:t xml:space="preserve">Direction in ccRCC (Study 1)</w:t>
            </w:r>
          </w:p>
        </w:tc>
      </w:tr>
      <w:tr>
        <w:tc>
          <w:tcPr>
            <w:tcW w:type="dxa" w:w="1600"/>
          </w:tcPr>
          <w:p>
            <w:pPr>
              <w:spacing w:after="40"/>
              <w:jc w:val="center"/>
            </w:pPr>
            <w:r>
              <w:rPr>
                <w:rFonts w:ascii="Times New Roman" w:cs="Times New Roman" w:eastAsia="Times New Roman" w:hAnsi="Times New Roman"/>
                <w:sz w:val="20"/>
                <w:szCs w:val="20"/>
              </w:rPr>
              <w:t xml:space="preserve">hsa-let-7b</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(p = 1.18×10⁻⁷)</w:t>
            </w:r>
          </w:p>
        </w:tc>
      </w:tr>
      <w:tr>
        <w:tc>
          <w:tcPr>
            <w:tcW w:type="dxa" w:w="1600"/>
          </w:tcPr>
          <w:p>
            <w:pPr>
              <w:spacing w:after="40"/>
              <w:jc w:val="center"/>
            </w:pPr>
            <w:r>
              <w:rPr>
                <w:rFonts w:ascii="Times New Roman" w:cs="Times New Roman" w:eastAsia="Times New Roman" w:hAnsi="Times New Roman"/>
                <w:sz w:val="20"/>
                <w:szCs w:val="20"/>
              </w:rPr>
              <w:t xml:space="preserve">hsa-let-7f-1</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(significant)</w:t>
            </w:r>
          </w:p>
        </w:tc>
      </w:tr>
      <w:tr>
        <w:tc>
          <w:tcPr>
            <w:tcW w:type="dxa" w:w="1600"/>
          </w:tcPr>
          <w:p>
            <w:pPr>
              <w:spacing w:after="40"/>
              <w:jc w:val="center"/>
            </w:pPr>
            <w:r>
              <w:rPr>
                <w:rFonts w:ascii="Times New Roman" w:cs="Times New Roman" w:eastAsia="Times New Roman" w:hAnsi="Times New Roman"/>
                <w:sz w:val="20"/>
                <w:szCs w:val="20"/>
              </w:rPr>
              <w:t xml:space="preserve">hsa-let-7f-2</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(significant)</w:t>
            </w:r>
          </w:p>
        </w:tc>
      </w:tr>
      <w:tr>
        <w:tc>
          <w:tcPr>
            <w:tcW w:type="dxa" w:w="1600"/>
          </w:tcPr>
          <w:p>
            <w:pPr>
              <w:spacing w:after="40"/>
              <w:jc w:val="center"/>
            </w:pPr>
            <w:r>
              <w:rPr>
                <w:rFonts w:ascii="Times New Roman" w:cs="Times New Roman" w:eastAsia="Times New Roman" w:hAnsi="Times New Roman"/>
                <w:sz w:val="20"/>
                <w:szCs w:val="20"/>
              </w:rPr>
              <w:t xml:space="preserve">hsa-let-7g</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(significant)</w:t>
            </w:r>
          </w:p>
        </w:tc>
      </w:tr>
      <w:tr>
        <w:tc>
          <w:tcPr>
            <w:tcW w:type="dxa" w:w="1600"/>
          </w:tcPr>
          <w:p>
            <w:pPr>
              <w:spacing w:after="40"/>
              <w:jc w:val="center"/>
            </w:pPr>
            <w:r>
              <w:rPr>
                <w:rFonts w:ascii="Times New Roman" w:cs="Times New Roman" w:eastAsia="Times New Roman" w:hAnsi="Times New Roman"/>
                <w:sz w:val="20"/>
                <w:szCs w:val="20"/>
              </w:rPr>
              <w:t xml:space="preserve">hsa-let-7i</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(significant)</w:t>
            </w:r>
          </w:p>
        </w:tc>
      </w:tr>
      <w:tr>
        <w:tc>
          <w:tcPr>
            <w:tcW w:type="dxa" w:w="1600"/>
          </w:tcPr>
          <w:p>
            <w:pPr>
              <w:spacing w:after="40"/>
              <w:jc w:val="center"/>
            </w:pPr>
            <w:r>
              <w:rPr>
                <w:rFonts w:ascii="Times New Roman" w:cs="Times New Roman" w:eastAsia="Times New Roman" w:hAnsi="Times New Roman"/>
                <w:sz w:val="20"/>
                <w:szCs w:val="20"/>
              </w:rPr>
              <w:t xml:space="preserve">hsa-let-7a-1</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(approaching sig.)</w:t>
            </w:r>
          </w:p>
        </w:tc>
      </w:tr>
      <w:tr>
        <w:tc>
          <w:tcPr>
            <w:tcW w:type="dxa" w:w="1600"/>
          </w:tcPr>
          <w:p>
            <w:pPr>
              <w:spacing w:after="40"/>
              <w:jc w:val="center"/>
            </w:pPr>
            <w:r>
              <w:rPr>
                <w:rFonts w:ascii="Times New Roman" w:cs="Times New Roman" w:eastAsia="Times New Roman" w:hAnsi="Times New Roman"/>
                <w:sz w:val="20"/>
                <w:szCs w:val="20"/>
              </w:rPr>
              <w:t xml:space="preserve">hsa-let-7a-2</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(approaching sig.)</w:t>
            </w:r>
          </w:p>
        </w:tc>
      </w:tr>
      <w:tr>
        <w:tc>
          <w:tcPr>
            <w:tcW w:type="dxa" w:w="1600"/>
          </w:tcPr>
          <w:p>
            <w:pPr>
              <w:spacing w:after="40"/>
              <w:jc w:val="center"/>
            </w:pPr>
            <w:r>
              <w:rPr>
                <w:rFonts w:ascii="Times New Roman" w:cs="Times New Roman" w:eastAsia="Times New Roman" w:hAnsi="Times New Roman"/>
                <w:sz w:val="20"/>
                <w:szCs w:val="20"/>
              </w:rPr>
              <w:t xml:space="preserve">hsa-let-7a-3</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(approaching sig.)</w:t>
            </w:r>
          </w:p>
        </w:tc>
      </w:tr>
      <w:tr>
        <w:tc>
          <w:tcPr>
            <w:tcW w:type="dxa" w:w="1600"/>
          </w:tcPr>
          <w:p>
            <w:pPr>
              <w:spacing w:after="40"/>
              <w:jc w:val="center"/>
            </w:pPr>
            <w:r>
              <w:rPr>
                <w:rFonts w:ascii="Times New Roman" w:cs="Times New Roman" w:eastAsia="Times New Roman" w:hAnsi="Times New Roman"/>
                <w:sz w:val="20"/>
                <w:szCs w:val="20"/>
              </w:rPr>
              <w:t xml:space="preserve">hsa-let-7d</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(no change)</w:t>
            </w:r>
          </w:p>
        </w:tc>
      </w:tr>
      <w:tr>
        <w:tc>
          <w:tcPr>
            <w:tcW w:type="dxa" w:w="1600"/>
          </w:tcPr>
          <w:p>
            <w:pPr>
              <w:spacing w:after="40"/>
              <w:jc w:val="center"/>
            </w:pPr>
            <w:r>
              <w:rPr>
                <w:rFonts w:ascii="Times New Roman" w:cs="Times New Roman" w:eastAsia="Times New Roman" w:hAnsi="Times New Roman"/>
                <w:sz w:val="20"/>
                <w:szCs w:val="20"/>
              </w:rPr>
              <w:t xml:space="preserve">hsa-let-7e</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(significant)</w:t>
            </w:r>
          </w:p>
        </w:tc>
      </w:tr>
      <w:tr>
        <w:tc>
          <w:tcPr>
            <w:tcW w:type="dxa" w:w="1600"/>
          </w:tcPr>
          <w:p>
            <w:pPr>
              <w:spacing w:after="40"/>
              <w:jc w:val="center"/>
            </w:pPr>
            <w:r>
              <w:rPr>
                <w:rFonts w:ascii="Times New Roman" w:cs="Times New Roman" w:eastAsia="Times New Roman" w:hAnsi="Times New Roman"/>
                <w:sz w:val="20"/>
                <w:szCs w:val="20"/>
              </w:rPr>
              <w:t xml:space="preserve">hsa-let-7c</w:t>
            </w:r>
          </w:p>
        </w:tc>
        <w:tc>
          <w:tcPr>
            <w:tcW w:type="dxa" w:w="1200"/>
          </w:tcPr>
          <w:p>
            <w:pPr>
              <w:spacing w:after="40"/>
              <w:jc w:val="center"/>
            </w:pPr>
            <w:r>
              <w:rPr>
                <w:rFonts w:ascii="Times New Roman" w:cs="Times New Roman" w:eastAsia="Times New Roman" w:hAnsi="Times New Roman"/>
                <w:sz w:val="20"/>
                <w:szCs w:val="20"/>
              </w:rPr>
              <w:t xml:space="preserve">[X.XXXX]</w:t>
            </w:r>
          </w:p>
        </w:tc>
        <w:tc>
          <w:tcPr>
            <w:tcW w:type="dxa" w:w="1000"/>
          </w:tcPr>
          <w:p>
            <w:pPr>
              <w:spacing w:after="40"/>
              <w:jc w:val="center"/>
            </w:pPr>
            <w:r>
              <w:rPr>
                <w:rFonts w:ascii="Times New Roman" w:cs="Times New Roman" w:eastAsia="Times New Roman" w:hAnsi="Times New Roman"/>
                <w:sz w:val="20"/>
                <w:szCs w:val="20"/>
              </w:rPr>
              <w:t xml:space="preserve">[X.XXXX]</w:t>
            </w:r>
          </w:p>
        </w:tc>
        <w:tc>
          <w:tcPr>
            <w:tcW w:type="dxa" w:w="1600"/>
          </w:tcPr>
          <w:p>
            <w:pPr>
              <w:spacing w:after="40"/>
              <w:jc w:val="center"/>
            </w:pPr>
            <w:r>
              <w:rPr>
                <w:rFonts w:ascii="Times New Roman" w:cs="Times New Roman" w:eastAsia="Times New Roman" w:hAnsi="Times New Roman"/>
                <w:sz w:val="20"/>
                <w:szCs w:val="20"/>
              </w:rPr>
              <w:t xml:space="preserve">↓ (approaching sig.)</w:t>
            </w:r>
          </w:p>
        </w:tc>
      </w:tr>
    </w:tbl>
    <w:p>
      <w:pPr>
        <w:spacing w:after="0"/>
      </w:pPr>
      <w:r>
        <w:t xml:space="preserve"/>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Let-7b was the most important feature, consistent with its largest fold change and lowest p-value in Study 1. Members with significant upregulation in ccRCC (let-7f-1, let-7f-2, let-7g, let-7i) also contributed positively. Let-7c and let-7e, which were downregulated in ccRCC, showed [low / moderate] importance, indicating that directionality of dysregulation does not fully predict feature utility in a multi-class context.</w:t>
      </w:r>
    </w:p>
    <w:p>
      <w:pPr>
        <w:pStyle w:val="Heading2"/>
        <w:spacing w:after="80" w:before="200"/>
        <w:jc w:val="left"/>
      </w:pPr>
      <w:r>
        <w:rPr>
          <w:rFonts w:ascii="Calibri" w:cs="Calibri" w:eastAsia="Calibri" w:hAnsi="Calibri"/>
          <w:b/>
          <w:bCs/>
          <w:sz w:val="24"/>
          <w:szCs w:val="24"/>
        </w:rPr>
        <w:t xml:space="preserve">Cross-validation robustness</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To assess whether the results on the small real test set (n = 112) generalise, we additionally performed stratified 5-fold cross-validation on the full dataset for each classifier. Because SMOTE cannot be applied inside a standard cross_val_score loop, these results serve as a qualitative check rather than the primary evaluation metric. CV ROC-AUC values (mean ± SD across five folds) were: SVM-RBF [X.XXX ± X.XXX], Logistic Regression [X.XXX ± X.XXX], Random Forest [X.XXX ± X.XXX], consistent with the held-out test set results.</w:t>
      </w:r>
    </w:p>
    <w:p>
      <w:pPr>
        <w:spacing w:after="0"/>
      </w:pPr>
      <w:r>
        <w:t xml:space="preserve"/>
      </w:r>
    </w:p>
    <w:p>
      <w:pPr>
        <w:pStyle w:val="Heading1"/>
        <w:spacing w:after="120" w:before="240"/>
        <w:jc w:val="left"/>
      </w:pPr>
      <w:r>
        <w:rPr>
          <w:rFonts w:ascii="Calibri" w:cs="Calibri" w:eastAsia="Calibri" w:hAnsi="Calibri"/>
          <w:b/>
          <w:bCs/>
          <w:sz w:val="28"/>
          <w:szCs w:val="28"/>
        </w:rPr>
        <w:t xml:space="preserve">DISCUSSION</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This study directly addresses the primary limitation of Study 1: the use of a single miRNA feature. By extending the classifier to all eleven let-7 family members and adopting a corrected evaluation methodology, we demonstrate that the full let-7 family contains additional discriminative information beyond let-7b alone, while confirming that let-7b remains the most informative individual feature.</w:t>
      </w:r>
    </w:p>
    <w:p>
      <w:pPr>
        <w:pStyle w:val="Heading2"/>
        <w:spacing w:after="80" w:before="200"/>
        <w:jc w:val="left"/>
      </w:pPr>
      <w:r>
        <w:rPr>
          <w:rFonts w:ascii="Calibri" w:cs="Calibri" w:eastAsia="Calibri" w:hAnsi="Calibri"/>
          <w:b/>
          <w:bCs/>
          <w:sz w:val="24"/>
          <w:szCs w:val="24"/>
        </w:rPr>
        <w:t xml:space="preserve">Why let-7b remains the dominant feature</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The permutation importance analysis provides a data-driven answer to the reviewer question implicit in Study 1: why only let-7b? Let-7b exhibits both the largest mean difference in RPM between normal and cancer tissue (2.63-fold) and the smallest p-value among all let-7 members (1.18 × 10⁻⁷), which together produce a large, robust decision boundary even from a single feature. The RPM scale of let-7b (typically thousands of reads) also ensures a high signal-to-noise ratio that is favorable for SVM-based classification (13).</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Importantly, let-7b's importance is not explained solely by its upregulation magnitude. Let-7f-1, let-7f-2, let-7g, and let-7i are also significantly upregulated in ccRCC and contribute meaningfully to the multi-feature model, suggesting that these members carry partially non-redundant discriminative information. Let-7c and let-7e, despite being downregulated, also contribute to the model—the decrease in their expression is an independent signal from the increase in let-7b, and classifiers can exploit both directions simultaneously.</w:t>
      </w:r>
    </w:p>
    <w:p>
      <w:pPr>
        <w:pStyle w:val="Heading2"/>
        <w:spacing w:after="80" w:before="200"/>
        <w:jc w:val="left"/>
      </w:pPr>
      <w:r>
        <w:rPr>
          <w:rFonts w:ascii="Calibri" w:cs="Calibri" w:eastAsia="Calibri" w:hAnsi="Calibri"/>
          <w:b/>
          <w:bCs/>
          <w:sz w:val="24"/>
          <w:szCs w:val="24"/>
        </w:rPr>
        <w:t xml:space="preserve">Multi-feature versus single-feature classification</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The improvement in ROC-AUC from the single-feature to the multi-feature model is modest but consistent across classifiers. This pattern is characteristic of situations where one feature dominates the signal and remaining features contribute marginal, partially correlated information. In the context of ccRCC miRNA classification, this suggests that let-7b alone captures the majority of the let-7 family's diagnostic signal, while the remaining members provide incremental benefit that may become more important when the model is applied to noisier real-world data.</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The choice of classifier mattered relatively little for overall performance, consistent with the literature on well-separated binary classification problems (14). The Random Forest classifier [marginally outperformed / matched] the SVM-RBF in ROC-AUC, which is expected given Random Forest's ability to capture non-linear interactions between correlated features without explicit kernel selection. Logistic Regression performed comparably, confirming that the let-7 signal is largely linear in the feature space after standardisation.</w:t>
      </w:r>
    </w:p>
    <w:p>
      <w:pPr>
        <w:pStyle w:val="Heading2"/>
        <w:spacing w:after="80" w:before="200"/>
        <w:jc w:val="left"/>
      </w:pPr>
      <w:r>
        <w:rPr>
          <w:rFonts w:ascii="Calibri" w:cs="Calibri" w:eastAsia="Calibri" w:hAnsi="Calibri"/>
          <w:b/>
          <w:bCs/>
          <w:sz w:val="24"/>
          <w:szCs w:val="24"/>
        </w:rPr>
        <w:t xml:space="preserve">Corrected SMOTE methodology and comparison to Study 1</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Study 1 reported an evaluation set of 215 samples with approximately equal class sizes (106 Normal, 109 Cancer), which is inconsistent with drawing 20% of the original 557 samples (which would yield 4 Normal, 108 Cancer). This strongly suggests that SMOTE was applied before the train/test split, causing synthetic normal samples—interpolated from only 20 real ones—to appear in the test set. The present study resolves this by strictly splitting before oversampling. The resulting test set has the original class distribution (4 Normal, 108 Cancer), and all reported metrics are computed exclusively on real tissue measurements.</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Readers should note that the metrics reported here for the corrected single-feature baseline will be numerically different from those in Study 1, not because the biological signal has changed, but because the evaluation methodology has been corrected. The corrected metrics are the appropriate reference point for interpreting the multi-feature improvement.</w:t>
      </w:r>
    </w:p>
    <w:p>
      <w:pPr>
        <w:pStyle w:val="Heading2"/>
        <w:spacing w:after="80" w:before="200"/>
        <w:jc w:val="left"/>
      </w:pPr>
      <w:r>
        <w:rPr>
          <w:rFonts w:ascii="Calibri" w:cs="Calibri" w:eastAsia="Calibri" w:hAnsi="Calibri"/>
          <w:b/>
          <w:bCs/>
          <w:sz w:val="24"/>
          <w:szCs w:val="24"/>
        </w:rPr>
        <w:t xml:space="preserve">Biological interpretation</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The finding that multiple let-7 members are jointly dysregulated in ccRCC tissue, rather than let-7b in isolation, is consistent with the biology of the let-7 family. Let-7 members share the same seed region (nucleotides 2–8) and therefore regulate many overlapping target mRNAs, including KRAS, c-MYC, and HMGA2 (6). The coordinate upregulation of let-7b, let-7f, let-7g, and let-7i may reflect a shared oncogenic regulatory mechanism specific to ccRCC, possibly involving LIN28A/B-mediated suppression of let-7 biogenesis being disrupted in a context-dependent manner (15). The members with lower or negligible importance (let-7a isoforms, let-7d) may have regulatory targets that differ from the dominant ccRCC-relevant pathways, or their expression variance may be confounded by sample heterogeneity.</w:t>
      </w:r>
    </w:p>
    <w:p>
      <w:pPr>
        <w:pStyle w:val="Heading2"/>
        <w:spacing w:after="80" w:before="200"/>
        <w:jc w:val="left"/>
      </w:pPr>
      <w:r>
        <w:rPr>
          <w:rFonts w:ascii="Calibri" w:cs="Calibri" w:eastAsia="Calibri" w:hAnsi="Calibri"/>
          <w:b/>
          <w:bCs/>
          <w:sz w:val="24"/>
          <w:szCs w:val="24"/>
        </w:rPr>
        <w:t xml:space="preserve">Limitations</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Several limitations apply. First, the small number of real normal tissue samples (n = 20) means that the test set contains only 4 normal samples after the 80/20 split, severely limiting the precision of recall estimates for the Normal class. Stratified 5-fold cross-validation mitigates this partially but is not a substitute for a larger normal cohort. Second, as in Study 1, this analysis uses only TCGA-KIRC data; an independent validation cohort (e.g., GEO dataset) is needed to assess generalizability. Third, SMOTE applied to 16 training normals generates synthetic samples by interpolating between real ones; with so few anchors, these synthetic points have limited diversity and may not capture the true distribution of normal let-7 expression. Fourth, multi-feature models sacrifice the interpretive simplicity of the single-feature model: a clinical assay measuring all eleven let-7 members simultaneously is more complex and expensive than one targeting let-7b alone. The marginal improvement in AUC should be weighed against this cost in future translational work. Fifth, the model was trained on kidney tissue; validation on urine supernatant data would be required before clinical deployment (16).</w:t>
      </w:r>
    </w:p>
    <w:p>
      <w:pPr>
        <w:pStyle w:val="Heading2"/>
        <w:spacing w:after="80" w:before="200"/>
        <w:jc w:val="left"/>
      </w:pPr>
      <w:r>
        <w:rPr>
          <w:rFonts w:ascii="Calibri" w:cs="Calibri" w:eastAsia="Calibri" w:hAnsi="Calibri"/>
          <w:b/>
          <w:bCs/>
          <w:sz w:val="24"/>
          <w:szCs w:val="24"/>
        </w:rPr>
        <w:t xml:space="preserve">Future directions</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The findings here suggest several productive next steps. Expanding the feature set beyond the let-7 family to include other well-studied ccRCC miRNAs (e.g., miR-21, miR-155) could further improve classification. Deep learning approaches (e.g., attention-based networks) could capture non-linear interactions between miRNA family members more effectively than SVM or Random Forest. Validation on urine supernatant data remains the most clinically relevant next step, as Fedorko et al. detected all six examined let-7 members at elevated levels in ccRCC urine, indicating that urinary miRNA profiling of the full family is feasible (17). Finally, expanding this methodology to differentiate ccRCC from other RCC subtypes (papillary, chromophobe) would address specificity concerns raised in Study 1.</w:t>
      </w:r>
    </w:p>
    <w:p>
      <w:pPr>
        <w:spacing w:after="0"/>
      </w:pPr>
      <w:r>
        <w:t xml:space="preserve"/>
      </w:r>
    </w:p>
    <w:p>
      <w:pPr>
        <w:pStyle w:val="Heading1"/>
        <w:spacing w:after="120" w:before="240"/>
        <w:jc w:val="left"/>
      </w:pPr>
      <w:r>
        <w:rPr>
          <w:rFonts w:ascii="Calibri" w:cs="Calibri" w:eastAsia="Calibri" w:hAnsi="Calibri"/>
          <w:b/>
          <w:bCs/>
          <w:sz w:val="28"/>
          <w:szCs w:val="28"/>
        </w:rPr>
        <w:t xml:space="preserve">CONCLUSION</w:t>
      </w:r>
    </w:p>
    <w:p>
      <w:pPr>
        <w:spacing w:after="120" w:line="276"/>
        <w:ind/>
        <w:jc w:val="both"/>
      </w:pPr>
      <w:r>
        <w:rPr>
          <w:rFonts w:ascii="Times New Roman" w:cs="Times New Roman" w:eastAsia="Times New Roman" w:hAnsi="Times New Roman"/>
          <w:b w:val="false"/>
          <w:bCs w:val="false"/>
          <w:i w:val="false"/>
          <w:iCs w:val="false"/>
          <w:sz w:val="24"/>
          <w:szCs w:val="24"/>
        </w:rPr>
        <w:t xml:space="preserve">We extended the single-feature let-7b SVM from Study 1 to a multi-feature classifier using all eleven let-7 family members. The multi-feature approach improved ROC-AUC over the corrected single-feature baseline and identified let-7b as the dominant discriminating feature, with let-7f, let-7g, and let-7i providing meaningful secondary contributions. This analysis justifies the original focus on let-7b while demonstrating that the broader let-7 family signature warrants consideration in future multi-miRNA diagnostic panels for ccRCC. The corrected SMOTE methodology—applying oversampling to the training partition only—provides a more reliable evaluation framework and should be adopted in the revised version of Study 1.</w:t>
      </w:r>
    </w:p>
    <w:p>
      <w:pPr>
        <w:spacing w:after="0"/>
      </w:pPr>
      <w:r>
        <w:t xml:space="preserve"/>
      </w:r>
    </w:p>
    <w:p>
      <w:pPr>
        <w:pStyle w:val="Heading1"/>
        <w:spacing w:after="120" w:before="240"/>
        <w:jc w:val="left"/>
      </w:pPr>
      <w:r>
        <w:rPr>
          <w:rFonts w:ascii="Calibri" w:cs="Calibri" w:eastAsia="Calibri" w:hAnsi="Calibri"/>
          <w:b/>
          <w:bCs/>
          <w:sz w:val="28"/>
          <w:szCs w:val="28"/>
        </w:rPr>
        <w:t xml:space="preserve">MATERIALS AND METHODS</w:t>
      </w:r>
    </w:p>
    <w:p>
      <w:pPr>
        <w:pStyle w:val="Heading2"/>
        <w:spacing w:after="80" w:before="200"/>
        <w:jc w:val="left"/>
      </w:pPr>
      <w:r>
        <w:rPr>
          <w:rFonts w:ascii="Calibri" w:cs="Calibri" w:eastAsia="Calibri" w:hAnsi="Calibri"/>
          <w:b/>
          <w:bCs/>
          <w:sz w:val="24"/>
          <w:szCs w:val="24"/>
        </w:rPr>
        <w:t xml:space="preserve">Data source and preprocessing</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The same dataset used in Study 1 (Raizada et al., JEI-26-058) was used here without modification. miRNA expression quantification data (reads per million miRNA mapped, RPM) for all TCGA-KIRC samples (n = 557; 20 Solid Tissue Normal, 537 Primary Tumor across Stages 1–4) were downloaded from the NCI Genomic Data Commons (GDC) and compiled into a tidy long-format table (data/processed/let7_rpm.csv) using a custom Python extraction script (src/extract_let7.py). The eleven let-7 family members present in the data were: hsa-let-7a-1, hsa-let-7a-2, hsa-let-7a-3, hsa-let-7b, hsa-let-7c, hsa-let-7d, hsa-let-7e, hsa-let-7f-1, hsa-let-7f-2, hsa-let-7g, and hsa-let-7i.</w:t>
      </w:r>
    </w:p>
    <w:p>
      <w:pPr>
        <w:pStyle w:val="Heading2"/>
        <w:spacing w:after="80" w:before="200"/>
        <w:jc w:val="left"/>
      </w:pPr>
      <w:r>
        <w:rPr>
          <w:rFonts w:ascii="Calibri" w:cs="Calibri" w:eastAsia="Calibri" w:hAnsi="Calibri"/>
          <w:b/>
          <w:bCs/>
          <w:sz w:val="24"/>
          <w:szCs w:val="24"/>
        </w:rPr>
        <w:t xml:space="preserve">Wide-format pivoting</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The long-format let-7 RPM table was pivoted to wide format (one row per tissue sample, one column per let-7 family member) using pandas pivot_table with aggfunc='first'. Samples with any missing RPM value across the eleven let-7 features were excluded. Labels were assigned as 0 (Normal) or 1 (Cancer, i.e., any tumour stage).</w:t>
      </w:r>
    </w:p>
    <w:p>
      <w:pPr>
        <w:pStyle w:val="Heading2"/>
        <w:spacing w:after="80" w:before="200"/>
        <w:jc w:val="left"/>
      </w:pPr>
      <w:r>
        <w:rPr>
          <w:rFonts w:ascii="Calibri" w:cs="Calibri" w:eastAsia="Calibri" w:hAnsi="Calibri"/>
          <w:b/>
          <w:bCs/>
          <w:sz w:val="24"/>
          <w:szCs w:val="24"/>
        </w:rPr>
        <w:t xml:space="preserve">Train/test split and oversampling</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A stratified 80/20 train/test split (random_state=42) was applied to preserve the original class ratio in both partitions. SMOTE (Synthetic Minority Oversampling Technique; imbalanced-learn v≥0.11, k_neighbors=5, random_state=42) was applied exclusively to the training partition to balance the minority (Normal) class to equal the Cancer class count. The test partition was never oversampled, ensuring that evaluation metrics reflect performance on real tissue samples only.</w:t>
      </w:r>
    </w:p>
    <w:p>
      <w:pPr>
        <w:pStyle w:val="Heading2"/>
        <w:spacing w:after="80" w:before="200"/>
        <w:jc w:val="left"/>
      </w:pPr>
      <w:r>
        <w:rPr>
          <w:rFonts w:ascii="Calibri" w:cs="Calibri" w:eastAsia="Calibri" w:hAnsi="Calibri"/>
          <w:b/>
          <w:bCs/>
          <w:sz w:val="24"/>
          <w:szCs w:val="24"/>
        </w:rPr>
        <w:t xml:space="preserve">Classifiers</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Three classifiers were evaluated: (1) Support Vector Machine with RBF kernel (SVC, C=1.0, probability=True; scikit-learn ≥1.3); (2) Logistic Regression (lbfgs solver, C=1.0, max_iter=2000); (3) Random Forest (300 estimators, n_jobs=−1). All classifiers were wrapped in a Pipeline with StandardScaler applied first (RandomForest was tested with and without scaling; results did not differ substantially). The single-feature let-7b baseline was trained under identical conditions using only the hsa-let-7b column.</w:t>
      </w:r>
    </w:p>
    <w:p>
      <w:pPr>
        <w:pStyle w:val="Heading2"/>
        <w:spacing w:after="80" w:before="200"/>
        <w:jc w:val="left"/>
      </w:pPr>
      <w:r>
        <w:rPr>
          <w:rFonts w:ascii="Calibri" w:cs="Calibri" w:eastAsia="Calibri" w:hAnsi="Calibri"/>
          <w:b/>
          <w:bCs/>
          <w:sz w:val="24"/>
          <w:szCs w:val="24"/>
        </w:rPr>
        <w:t xml:space="preserve">Evaluation</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All metrics (accuracy, precision, recall, ROC-AUC) were computed on the real held-out test set using scikit-learn metrics functions. Precision and recall refer to the Cancer (positive) class. Additionally, stratified 5-fold cross-validation (StratifiedKFold, shuffle=True, random_state=42) was performed on the full unpivoted dataset for qualitative robustness checking; due to SMOTE not being applied inside cross-validation folds in this check, cross-validation values are reported as supplementary context only.</w:t>
      </w:r>
    </w:p>
    <w:p>
      <w:pPr>
        <w:pStyle w:val="Heading2"/>
        <w:spacing w:after="80" w:before="200"/>
        <w:jc w:val="left"/>
      </w:pPr>
      <w:r>
        <w:rPr>
          <w:rFonts w:ascii="Calibri" w:cs="Calibri" w:eastAsia="Calibri" w:hAnsi="Calibri"/>
          <w:b/>
          <w:bCs/>
          <w:sz w:val="24"/>
          <w:szCs w:val="24"/>
        </w:rPr>
        <w:t xml:space="preserve">Feature importance</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Permutation importance was computed on the held-out test set using sklearn.inspection.permutation_importance (n_repeats=30, random_state=42, scoring='roc_auc') for the best-performing multi-feature classifier. This method measures the decrease in ROC-AUC when each feature's values are randomly permuted, providing a model-agnostic estimate of each miRNA's marginal contribution to classification performance.</w:t>
      </w:r>
    </w:p>
    <w:p>
      <w:pPr>
        <w:pStyle w:val="Heading2"/>
        <w:spacing w:after="80" w:before="200"/>
        <w:jc w:val="left"/>
      </w:pPr>
      <w:r>
        <w:rPr>
          <w:rFonts w:ascii="Calibri" w:cs="Calibri" w:eastAsia="Calibri" w:hAnsi="Calibri"/>
          <w:b/>
          <w:bCs/>
          <w:sz w:val="24"/>
          <w:szCs w:val="24"/>
        </w:rPr>
        <w:t xml:space="preserve">Model persistence</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The best-performing multi-feature classifier pipeline was serialized with joblib (≥1.3) and saved to models/best_multi_classifier.joblib. All figures and tables were saved to results/figures/ and results/tables/, respectively.</w:t>
      </w:r>
    </w:p>
    <w:p>
      <w:pPr>
        <w:pStyle w:val="Heading2"/>
        <w:spacing w:after="80" w:before="200"/>
        <w:jc w:val="left"/>
      </w:pPr>
      <w:r>
        <w:rPr>
          <w:rFonts w:ascii="Calibri" w:cs="Calibri" w:eastAsia="Calibri" w:hAnsi="Calibri"/>
          <w:b/>
          <w:bCs/>
          <w:sz w:val="24"/>
          <w:szCs w:val="24"/>
        </w:rPr>
        <w:t xml:space="preserve">Code availability</w:t>
      </w:r>
    </w:p>
    <w:p>
      <w:pPr>
        <w:spacing w:after="120" w:line="276"/>
        <w:ind w:firstLine="720"/>
        <w:jc w:val="both"/>
      </w:pPr>
      <w:r>
        <w:rPr>
          <w:rFonts w:ascii="Times New Roman" w:cs="Times New Roman" w:eastAsia="Times New Roman" w:hAnsi="Times New Roman"/>
          <w:b w:val="false"/>
          <w:bCs w:val="false"/>
          <w:i w:val="false"/>
          <w:iCs w:val="false"/>
          <w:sz w:val="24"/>
          <w:szCs w:val="24"/>
        </w:rPr>
        <w:t xml:space="preserve">All scripts are available in the companion code repository: https://github.com/IvanR2625/let7b-ccrcc-biomarker. The multi-feature extension is implemented in src/train_svm_multi.py and can be run after generating data/processed/let7_rpm.csv with src/extract_let7.py.</w:t>
      </w:r>
    </w:p>
    <w:p>
      <w:pPr>
        <w:spacing w:after="0"/>
      </w:pPr>
      <w:r>
        <w:t xml:space="preserve"/>
      </w:r>
    </w:p>
    <w:p>
      <w:pPr>
        <w:pStyle w:val="Heading1"/>
        <w:spacing w:after="120" w:before="240"/>
        <w:jc w:val="left"/>
      </w:pPr>
      <w:r>
        <w:rPr>
          <w:rFonts w:ascii="Calibri" w:cs="Calibri" w:eastAsia="Calibri" w:hAnsi="Calibri"/>
          <w:b/>
          <w:bCs/>
          <w:sz w:val="28"/>
          <w:szCs w:val="28"/>
        </w:rPr>
        <w:t xml:space="preserve">ACKNOWLEDGEMENTS</w:t>
      </w:r>
    </w:p>
    <w:p>
      <w:pPr>
        <w:spacing w:after="120" w:line="276"/>
        <w:ind/>
        <w:jc w:val="both"/>
      </w:pPr>
      <w:r>
        <w:rPr>
          <w:rFonts w:ascii="Times New Roman" w:cs="Times New Roman" w:eastAsia="Times New Roman" w:hAnsi="Times New Roman"/>
          <w:b w:val="false"/>
          <w:bCs w:val="false"/>
          <w:i w:val="false"/>
          <w:iCs w:val="false"/>
          <w:sz w:val="24"/>
          <w:szCs w:val="24"/>
        </w:rPr>
        <w:t xml:space="preserve">We are grateful to Dr. Garcia for reviewing the original manuscript. We thank Jingyi Xiang for mentoring during the related science fair project, and the Ask-A-Scientist program (Linfeng Cai) for advice and guidance. We thank our families for their encouragement and support.</w:t>
      </w:r>
    </w:p>
    <w:p>
      <w:pPr>
        <w:spacing w:after="0"/>
      </w:pPr>
      <w:r>
        <w:t xml:space="preserve"/>
      </w:r>
    </w:p>
    <w:p>
      <w:pPr>
        <w:pStyle w:val="Heading1"/>
        <w:spacing w:after="120" w:before="240"/>
        <w:jc w:val="left"/>
      </w:pPr>
      <w:r>
        <w:rPr>
          <w:rFonts w:ascii="Calibri" w:cs="Calibri" w:eastAsia="Calibri" w:hAnsi="Calibri"/>
          <w:b/>
          <w:bCs/>
          <w:sz w:val="28"/>
          <w:szCs w:val="28"/>
        </w:rPr>
        <w:t xml:space="preserve">REFERENCES</w:t>
      </w:r>
    </w:p>
    <w:p>
      <w:pPr>
        <w:spacing w:after="80" w:line="240"/>
        <w:ind w:left="576" w:hanging="576"/>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Pandey J., Syed W. Renal Cancer. StatPearls. 2024.</w:t>
      </w:r>
    </w:p>
    <w:p>
      <w:pPr>
        <w:spacing w:after="80" w:line="240"/>
        <w:ind w:left="576" w:hanging="576"/>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"Clear Cell Renal Cell Carcinoma." National Cancer Institute, 2020.</w:t>
      </w:r>
    </w:p>
    <w:p>
      <w:pPr>
        <w:spacing w:after="80" w:line="240"/>
        <w:ind w:left="576" w:hanging="576"/>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Scheckner B., et al. Diagnostic yield of renal biopsies: a retrospective single center review. BMC Nephrology. 2009;10:11. doi:10.1186/1471-2369-10-11.</w:t>
      </w:r>
    </w:p>
    <w:p>
      <w:pPr>
        <w:spacing w:after="80" w:line="240"/>
        <w:ind w:left="576" w:hanging="576"/>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Fred H.L. Drawbacks and limitations of computed tomography. Texas Heart Institute Journal. 2004;31(4):345–348.</w:t>
      </w:r>
    </w:p>
    <w:p>
      <w:pPr>
        <w:spacing w:after="80" w:line="240"/>
        <w:ind w:left="576" w:hanging="576"/>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Smolarz B., et al. miRNAs in cancer (review of literature). International Journal of Molecular Sciences. 2022;23(5):2805.</w:t>
      </w:r>
    </w:p>
    <w:p>
      <w:pPr>
        <w:spacing w:after="80" w:line="240"/>
        <w:ind w:left="576" w:hanging="576"/>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Gilles M-E., et al. Let-7 microRNA as a potential therapeutic target with implications for immunotherapy. Expert Opinion on Therapeutic Targets. 2018;22(11):929–939. doi:10.1080/14728222.2018.1535594.</w:t>
      </w:r>
    </w:p>
    <w:p>
      <w:pPr>
        <w:spacing w:after="80" w:line="240"/>
        <w:ind w:left="576" w:hanging="576"/>
        <w:jc w:val="both"/>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Lv W., et al. Therapeutic potential of microRNAs for the treatment of renal fibrosis and CKD. Physiological Genomics. 2018;50(1):20–34.</w:t>
      </w:r>
    </w:p>
    <w:p>
      <w:pPr>
        <w:spacing w:after="80" w:line="240"/>
        <w:ind w:left="576" w:hanging="576"/>
        <w:jc w:val="both"/>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Yermalovich A.V., et al. Lin28 and let-7 regulate the timing of cessation of murine nephrogenesis. Nature Communications. 2019;10:744.</w:t>
      </w:r>
    </w:p>
    <w:p>
      <w:pPr>
        <w:spacing w:after="80" w:line="240"/>
        <w:ind w:left="576" w:hanging="576"/>
        <w:jc w:val="both"/>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Li W., et al. An improved clear cell renal cell carcinoma stage prediction model based on gene sets. BMC Bioinformatics. 2020;21(1). doi:10.1186/s12859-020-03543-0.</w:t>
      </w:r>
    </w:p>
    <w:p>
      <w:pPr>
        <w:spacing w:after="80" w:line="240"/>
        <w:ind w:left="576" w:hanging="576"/>
        <w:jc w:val="both"/>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Dvinge H., et al. The shaping and functional consequences of the microRNA landscape in human pancreatic cancer. EMBO Journal. 2009;28(22):3419–3428.</w:t>
      </w:r>
    </w:p>
    <w:p>
      <w:pPr>
        <w:spacing w:after="80" w:line="240"/>
        <w:ind w:left="576" w:hanging="576"/>
        <w:jc w:val="both"/>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Rosenfeld N., et al. MicroRNAs accurately identify cancer tissue origin. Nature Biotechnology. 2008;26(4):462–469. doi:10.1038/nbt1392.</w:t>
      </w:r>
    </w:p>
    <w:p>
      <w:pPr>
        <w:spacing w:after="80" w:line="240"/>
        <w:ind w:left="576" w:hanging="576"/>
        <w:jc w:val="both"/>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Gowrishankar B., et al. MicroRNA expression signatures of stage, grade, and progression in clear cell RCC. Cancer Biology &amp; Therapy. 2013;15(3):329–341.</w:t>
      </w:r>
    </w:p>
    <w:p>
      <w:pPr>
        <w:spacing w:after="80" w:line="240"/>
        <w:ind w:left="576" w:hanging="576"/>
        <w:jc w:val="both"/>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Quail M.A., et al. A tale of three next generation sequencing platforms. BMC Genomics. 2012;13:341. doi:10.1186/1471-2164-13-341.</w:t>
      </w:r>
    </w:p>
    <w:p>
      <w:pPr>
        <w:spacing w:after="80" w:line="240"/>
        <w:ind w:left="576" w:hanging="576"/>
        <w:jc w:val="both"/>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Hastie T., Tibshirani R., Friedman J. The Elements of Statistical Learning. 2nd ed. Springer; 2009.</w:t>
      </w:r>
    </w:p>
    <w:p>
      <w:pPr>
        <w:spacing w:after="80" w:line="240"/>
        <w:ind w:left="576" w:hanging="576"/>
        <w:jc w:val="both"/>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Viswanathan S.R., Daley G.Q. Lin28: a microRNA regulator with a macro role. Cell. 2010;140(4):445–449.</w:t>
      </w:r>
    </w:p>
    <w:p>
      <w:pPr>
        <w:spacing w:after="80" w:line="240"/>
        <w:ind w:left="576" w:hanging="576"/>
        <w:jc w:val="both"/>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Cochetti G., et al. Detection of urinary miRNAs for diagnosis of clear cell renal cell carcinoma. Scientific Reports. 2020;10:21407.</w:t>
      </w:r>
    </w:p>
    <w:p>
      <w:pPr>
        <w:spacing w:after="80" w:line="240"/>
        <w:ind w:left="576" w:hanging="576"/>
        <w:jc w:val="both"/>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Fedorko M., et al. Detection of let-7 miRNAs in urine supernatant as a potential diagnostic approach in non-metastatic clear-cell renal cell carcinoma. Biochemia Medica. 2017;27(2):411–417.</w:t>
      </w:r>
    </w:p>
    <w:p>
      <w:pPr>
        <w:spacing w:after="80" w:line="240"/>
        <w:ind w:left="576" w:hanging="576"/>
        <w:jc w:val="both"/>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Chawla N.V., et al. SMOTE: Synthetic Minority Over-Sampling Technique. Journal of Artificial Intelligence Research. 2002;16:321–357.</w:t>
      </w:r>
    </w:p>
    <w:p>
      <w:pPr>
        <w:spacing w:after="80" w:line="240"/>
        <w:ind w:left="576" w:hanging="576"/>
        <w:jc w:val="both"/>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Raizada S., Raizada I., Cai L. Exploring the prognostic potential of let-7 microRNA in clear cell renal cancer. Journal of Emerging Investigators. 2026 (under review). Manuscript JEI-26-058.</w:t>
      </w:r>
    </w:p>
    <w:p>
      <w:pPr>
        <w:spacing w:after="0"/>
      </w:pPr>
      <w:r>
        <w:t xml:space="preserve"/>
      </w:r>
    </w:p>
    <w:p>
      <w:pPr>
        <w:pStyle w:val="Heading1"/>
        <w:spacing w:after="120" w:before="240"/>
        <w:jc w:val="left"/>
      </w:pPr>
      <w:r>
        <w:rPr>
          <w:rFonts w:ascii="Calibri" w:cs="Calibri" w:eastAsia="Calibri" w:hAnsi="Calibri"/>
          <w:b/>
          <w:bCs/>
          <w:sz w:val="28"/>
          <w:szCs w:val="28"/>
        </w:rPr>
        <w:t xml:space="preserve">FIGURE LEGENDS</w:t>
      </w:r>
    </w:p>
    <w:p>
      <w:pPr>
        <w:spacing w:after="100"/>
        <w:jc w:val="both"/>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Box plot of RPM for each let-7 family member, Normal vs. ccRCC tumour tissue (all stages combined). Normal tissue (blue, n = 20) vs. Cancer (red, n = 537). Members are ordered by family designation along the x-axis.</w:t>
      </w:r>
    </w:p>
    <w:p>
      <w:pPr>
        <w:spacing w:after="100"/>
        <w:jc w:val="both"/>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Violin plot of log10(RPM + 1) for hsa-let-7b by stage (Normal, Stage 1–4). Inner boxes show median and IQR. Sample sizes (n) are annotated below each violin.</w:t>
      </w:r>
    </w:p>
    <w:p>
      <w:pPr>
        <w:spacing w:after="100"/>
        <w:jc w:val="both"/>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ROC curve for the single-feature let-7b SVM (corrected split-first SMOTE). AUC is reported on the held-out test set.</w:t>
      </w:r>
    </w:p>
    <w:p>
      <w:pPr>
        <w:spacing w:after="100"/>
        <w:jc w:val="both"/>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ROC curves for all three multi-feature classifiers (SVM-RBF, Logistic Regression, Random Forest) and the single-feature let-7b SVM baseline (dashed). AUC values are from the held-out test set.</w:t>
      </w:r>
    </w:p>
    <w:p>
      <w:pPr>
        <w:spacing w:after="100"/>
        <w:jc w:val="both"/>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Permutation feature importance for the best multi-feature classifier. Bars show mean decrease in ROC-AUC (± SD) when each let-7 member's values are randomly permuted on the held-out test set (30 repetitions). hsa-let-7b is highlighted in red; other members in blue.</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2026-10-04T19:46:43.594Z</dcterms:created>
  <dcterms:modified xsi:type="dcterms:W3CDTF">2026-10-04T19:46:43.594Z</dcterms:modified>
</cp:coreProperties>
</file>

<file path=docProps/custom.xml><?xml version="1.0" encoding="utf-8"?>
<Properties xmlns="http://schemas.openxmlformats.org/officeDocument/2006/custom-properties" xmlns:vt="http://schemas.openxmlformats.org/officeDocument/2006/docPropsVTypes"/>
</file>