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mizp5l3nr9yj" w:id="0"/>
      <w:bookmarkEnd w:id="0"/>
      <w:r w:rsidDel="00000000" w:rsidR="00000000" w:rsidRPr="00000000">
        <w:rPr>
          <w:rtl w:val="0"/>
        </w:rPr>
        <w:t xml:space="preserve">HACKATHON USE CASE </w:t>
      </w:r>
    </w:p>
    <w:p w:rsidR="00000000" w:rsidDel="00000000" w:rsidP="00000000" w:rsidRDefault="00000000" w:rsidRPr="00000000" w14:paraId="00000002">
      <w:pPr>
        <w:pStyle w:val="Title"/>
        <w:rPr/>
      </w:pPr>
      <w:bookmarkStart w:colFirst="0" w:colLast="0" w:name="_axvqpgw51qxc" w:id="1"/>
      <w:bookmarkEnd w:id="1"/>
      <w:r w:rsidDel="00000000" w:rsidR="00000000" w:rsidRPr="00000000">
        <w:rPr>
          <w:rtl w:val="0"/>
        </w:rPr>
        <w:t xml:space="preserve">Clinical Digital Twins: Accelerating Breakthroughs via Synthetic Control Arms</w:t>
      </w:r>
    </w:p>
    <w:p w:rsidR="00000000" w:rsidDel="00000000" w:rsidP="00000000" w:rsidRDefault="00000000" w:rsidRPr="00000000" w14:paraId="00000003">
      <w:pPr>
        <w:pStyle w:val="Heading1"/>
        <w:rPr/>
      </w:pPr>
      <w:bookmarkStart w:colFirst="0" w:colLast="0" w:name="_hr4nhskv6zor" w:id="2"/>
      <w:bookmarkEnd w:id="2"/>
      <w:r w:rsidDel="00000000" w:rsidR="00000000" w:rsidRPr="00000000">
        <w:rPr>
          <w:rtl w:val="0"/>
        </w:rPr>
        <w:t xml:space="preserve">Problem Statement: The Cost of the Placebo Arm</w:t>
      </w:r>
    </w:p>
    <w:p w:rsidR="00000000" w:rsidDel="00000000" w:rsidP="00000000" w:rsidRDefault="00000000" w:rsidRPr="00000000" w14:paraId="00000004">
      <w:pPr>
        <w:rPr/>
      </w:pPr>
      <w:r w:rsidDel="00000000" w:rsidR="00000000" w:rsidRPr="00000000">
        <w:rPr>
          <w:rtl w:val="0"/>
        </w:rPr>
        <w:t xml:space="preserve">Traditional clinical trials require a control group (placebo arm) to prove a drug's efficacy. This is often slow, expensive, and ethically challenging in life-threatening diseases. Digital Twins—virtual replicas of patients generated using historical clinical trial data and real-world evidence (RWE)—allow for "In Silico" trials that can reduce or replace the need for real patients in control arms.</w:t>
      </w:r>
    </w:p>
    <w:p w:rsidR="00000000" w:rsidDel="00000000" w:rsidP="00000000" w:rsidRDefault="00000000" w:rsidRPr="00000000" w14:paraId="00000005">
      <w:pPr>
        <w:pStyle w:val="Heading1"/>
        <w:rPr/>
      </w:pPr>
      <w:bookmarkStart w:colFirst="0" w:colLast="0" w:name="_gx20t3ros1wd" w:id="3"/>
      <w:bookmarkEnd w:id="3"/>
      <w:r w:rsidDel="00000000" w:rsidR="00000000" w:rsidRPr="00000000">
        <w:rPr>
          <w:rtl w:val="0"/>
        </w:rPr>
        <w:t xml:space="preserve">Hackathon Project Objective</w:t>
      </w:r>
    </w:p>
    <w:p w:rsidR="00000000" w:rsidDel="00000000" w:rsidP="00000000" w:rsidRDefault="00000000" w:rsidRPr="00000000" w14:paraId="00000006">
      <w:pPr>
        <w:rPr/>
      </w:pPr>
      <w:r w:rsidDel="00000000" w:rsidR="00000000" w:rsidRPr="00000000">
        <w:rPr>
          <w:rtl w:val="0"/>
        </w:rPr>
        <w:t xml:space="preserve">Develop a platform or pipeline that utilizes digital twin technology to create Synthetic Control Arms (SCAs). Your goal is to demonstrate how these virtual cohorts can accelerate trial timelines by up to 30-50% while maintaining regulatory-grade evidence.</w:t>
      </w:r>
    </w:p>
    <w:p w:rsidR="00000000" w:rsidDel="00000000" w:rsidP="00000000" w:rsidRDefault="00000000" w:rsidRPr="00000000" w14:paraId="00000007">
      <w:pPr>
        <w:pStyle w:val="Heading1"/>
        <w:rPr/>
      </w:pPr>
      <w:bookmarkStart w:colFirst="0" w:colLast="0" w:name="_y1p61mioi5o9" w:id="4"/>
      <w:bookmarkEnd w:id="4"/>
      <w:r w:rsidDel="00000000" w:rsidR="00000000" w:rsidRPr="00000000">
        <w:rPr>
          <w:rtl w:val="0"/>
        </w:rPr>
        <w:t xml:space="preserve">Track 1: The Biostatistical Pipeline (R/R Shiny)</w:t>
      </w:r>
    </w:p>
    <w:p w:rsidR="00000000" w:rsidDel="00000000" w:rsidP="00000000" w:rsidRDefault="00000000" w:rsidRPr="00000000" w14:paraId="00000008">
      <w:pPr>
        <w:rPr/>
      </w:pPr>
      <w:r w:rsidDel="00000000" w:rsidR="00000000" w:rsidRPr="00000000">
        <w:rPr>
          <w:rtl w:val="0"/>
        </w:rPr>
        <w:t xml:space="preserve">This track focuses on the "In Silico" engine. Participants must build a statistical workflow to generate and validate a synthetic cohort.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Task</w:t>
      </w:r>
      <w:r w:rsidDel="00000000" w:rsidR="00000000" w:rsidRPr="00000000">
        <w:rPr>
          <w:rtl w:val="0"/>
        </w:rPr>
        <w:t xml:space="preserve">: Build an R Shiny application that ingests a patient dataset (e.g., NHANES or Project Data Sphere) and generates a matched synthetic control group.</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Key Requirements</w:t>
      </w:r>
      <w:r w:rsidDel="00000000" w:rsidR="00000000" w:rsidRPr="00000000">
        <w:rPr>
          <w:rtl w:val="0"/>
        </w:rPr>
        <w:t xml:space="preserve">:</w:t>
      </w:r>
    </w:p>
    <w:p w:rsidR="00000000" w:rsidDel="00000000" w:rsidP="00000000" w:rsidRDefault="00000000" w:rsidRPr="00000000" w14:paraId="0000000C">
      <w:pPr>
        <w:numPr>
          <w:ilvl w:val="1"/>
          <w:numId w:val="2"/>
        </w:numPr>
        <w:ind w:left="1440" w:hanging="360"/>
      </w:pPr>
      <w:r w:rsidDel="00000000" w:rsidR="00000000" w:rsidRPr="00000000">
        <w:rPr>
          <w:b w:val="1"/>
          <w:bCs w:val="1"/>
          <w:rtl w:val="0"/>
        </w:rPr>
        <w:t xml:space="preserve">Propensity Score Matching</w:t>
      </w:r>
      <w:r w:rsidDel="00000000" w:rsidR="00000000" w:rsidRPr="00000000">
        <w:rPr>
          <w:rtl w:val="0"/>
        </w:rPr>
        <w:t xml:space="preserve">: Implement logic to ensure the synthetic twin cohort matches the "treated" group baseline characteristics.</w:t>
      </w:r>
    </w:p>
    <w:p w:rsidR="00000000" w:rsidDel="00000000" w:rsidP="00000000" w:rsidRDefault="00000000" w:rsidRPr="00000000" w14:paraId="0000000D">
      <w:pPr>
        <w:numPr>
          <w:ilvl w:val="1"/>
          <w:numId w:val="2"/>
        </w:numPr>
        <w:ind w:left="1440" w:hanging="360"/>
      </w:pPr>
      <w:r w:rsidDel="00000000" w:rsidR="00000000" w:rsidRPr="00000000">
        <w:rPr>
          <w:b w:val="1"/>
          <w:bCs w:val="1"/>
          <w:rtl w:val="0"/>
        </w:rPr>
        <w:t xml:space="preserve">Survival Analysis</w:t>
      </w:r>
      <w:r w:rsidDel="00000000" w:rsidR="00000000" w:rsidRPr="00000000">
        <w:rPr>
          <w:rtl w:val="0"/>
        </w:rPr>
        <w:t xml:space="preserve">: Visualize Kaplan-Meier curves comparing the treatment group to the synthetic control arm.</w:t>
      </w:r>
    </w:p>
    <w:p w:rsidR="00000000" w:rsidDel="00000000" w:rsidP="00000000" w:rsidRDefault="00000000" w:rsidRPr="00000000" w14:paraId="0000000E">
      <w:pPr>
        <w:numPr>
          <w:ilvl w:val="1"/>
          <w:numId w:val="2"/>
        </w:numPr>
        <w:ind w:left="1440" w:hanging="360"/>
      </w:pPr>
      <w:r w:rsidDel="00000000" w:rsidR="00000000" w:rsidRPr="00000000">
        <w:rPr>
          <w:b w:val="1"/>
          <w:bCs w:val="1"/>
          <w:rtl w:val="0"/>
        </w:rPr>
        <w:t xml:space="preserve">Balance Assessment</w:t>
      </w:r>
      <w:r w:rsidDel="00000000" w:rsidR="00000000" w:rsidRPr="00000000">
        <w:rPr>
          <w:rtl w:val="0"/>
        </w:rPr>
        <w:t xml:space="preserve">: Generate "Love Plots" to show statistical balance across variables like age, biomarkers, and disease severity.</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Success Metric</w:t>
      </w:r>
      <w:r w:rsidDel="00000000" w:rsidR="00000000" w:rsidRPr="00000000">
        <w:rPr>
          <w:rtl w:val="0"/>
        </w:rPr>
        <w:t xml:space="preserve">: The ability to predict phase 2 trial outcomes with high accuracy (target &gt; 80%).</w:t>
      </w:r>
    </w:p>
    <w:p w:rsidR="00000000" w:rsidDel="00000000" w:rsidP="00000000" w:rsidRDefault="00000000" w:rsidRPr="00000000" w14:paraId="00000010">
      <w:pPr>
        <w:pStyle w:val="Heading1"/>
        <w:rPr/>
      </w:pPr>
      <w:bookmarkStart w:colFirst="0" w:colLast="0" w:name="_8bymf3noettx" w:id="5"/>
      <w:bookmarkEnd w:id="5"/>
      <w:r w:rsidDel="00000000" w:rsidR="00000000" w:rsidRPr="00000000">
        <w:rPr>
          <w:rtl w:val="0"/>
        </w:rPr>
        <w:t xml:space="preserve">Track 2: Patient-Facing Prognostic Modeling</w:t>
      </w:r>
    </w:p>
    <w:p w:rsidR="00000000" w:rsidDel="00000000" w:rsidP="00000000" w:rsidRDefault="00000000" w:rsidRPr="00000000" w14:paraId="00000011">
      <w:pPr>
        <w:rPr/>
      </w:pPr>
      <w:r w:rsidDel="00000000" w:rsidR="00000000" w:rsidRPr="00000000">
        <w:rPr>
          <w:rtl w:val="0"/>
        </w:rPr>
        <w:t xml:space="preserve">This track focuses on the human element: translating complex "twin" data into actionable insights for patients and doctors.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Task</w:t>
      </w:r>
      <w:r w:rsidDel="00000000" w:rsidR="00000000" w:rsidRPr="00000000">
        <w:rPr>
          <w:rtl w:val="0"/>
        </w:rPr>
        <w:t xml:space="preserve">: Create a "Trial Radar" or "Journey Map" dashboard that uses prognostic modeling to show a patient how they might progress under different trial scenarios.</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Key Requirements</w:t>
      </w:r>
      <w:r w:rsidDel="00000000" w:rsidR="00000000" w:rsidRPr="00000000">
        <w:rPr>
          <w:rtl w:val="0"/>
        </w:rPr>
        <w:t xml:space="preserve">:</w:t>
      </w:r>
    </w:p>
    <w:p w:rsidR="00000000" w:rsidDel="00000000" w:rsidP="00000000" w:rsidRDefault="00000000" w:rsidRPr="00000000" w14:paraId="00000015">
      <w:pPr>
        <w:numPr>
          <w:ilvl w:val="1"/>
          <w:numId w:val="3"/>
        </w:numPr>
        <w:ind w:left="1440" w:hanging="360"/>
      </w:pPr>
      <w:r w:rsidDel="00000000" w:rsidR="00000000" w:rsidRPr="00000000">
        <w:rPr>
          <w:b w:val="1"/>
          <w:bCs w:val="1"/>
          <w:rtl w:val="0"/>
        </w:rPr>
        <w:t xml:space="preserve">"What-If" Simulation</w:t>
      </w:r>
      <w:r w:rsidDel="00000000" w:rsidR="00000000" w:rsidRPr="00000000">
        <w:rPr>
          <w:rtl w:val="0"/>
        </w:rPr>
        <w:t xml:space="preserve">: Allow patients to see their predicted disease progression (Digital Twin) if they join a trial vs. standard care.</w:t>
      </w:r>
    </w:p>
    <w:p w:rsidR="00000000" w:rsidDel="00000000" w:rsidP="00000000" w:rsidRDefault="00000000" w:rsidRPr="00000000" w14:paraId="00000016">
      <w:pPr>
        <w:numPr>
          <w:ilvl w:val="1"/>
          <w:numId w:val="3"/>
        </w:numPr>
        <w:ind w:left="1440" w:hanging="360"/>
      </w:pPr>
      <w:r w:rsidDel="00000000" w:rsidR="00000000" w:rsidRPr="00000000">
        <w:rPr>
          <w:b w:val="1"/>
          <w:bCs w:val="1"/>
          <w:rtl w:val="0"/>
        </w:rPr>
        <w:t xml:space="preserve">Explainable AI (XAI)</w:t>
      </w:r>
      <w:r w:rsidDel="00000000" w:rsidR="00000000" w:rsidRPr="00000000">
        <w:rPr>
          <w:rtl w:val="0"/>
        </w:rPr>
        <w:t xml:space="preserve">: Use SHAP or similar frameworks to explain why the model is making specific predictions (e.g., "Your genetic biomarker X increases your predicted response probability").</w:t>
      </w:r>
    </w:p>
    <w:p w:rsidR="00000000" w:rsidDel="00000000" w:rsidP="00000000" w:rsidRDefault="00000000" w:rsidRPr="00000000" w14:paraId="00000017">
      <w:pPr>
        <w:numPr>
          <w:ilvl w:val="1"/>
          <w:numId w:val="3"/>
        </w:numPr>
        <w:ind w:left="1440" w:hanging="360"/>
      </w:pPr>
      <w:r w:rsidDel="00000000" w:rsidR="00000000" w:rsidRPr="00000000">
        <w:rPr>
          <w:b w:val="1"/>
          <w:bCs w:val="1"/>
          <w:rtl w:val="0"/>
        </w:rPr>
        <w:t xml:space="preserve">Real-Time Data Integration</w:t>
      </w:r>
      <w:r w:rsidDel="00000000" w:rsidR="00000000" w:rsidRPr="00000000">
        <w:rPr>
          <w:rtl w:val="0"/>
        </w:rPr>
        <w:t xml:space="preserve">: Incorporate mock wearable data or ePROs to update the digital twin in real-time.</w:t>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Success Metric</w:t>
      </w:r>
      <w:r w:rsidDel="00000000" w:rsidR="00000000" w:rsidRPr="00000000">
        <w:rPr>
          <w:rtl w:val="0"/>
        </w:rPr>
        <w:t xml:space="preserve">: User experience (UX) clarity and the ability to turn "failed matches" into "look-ahead" plans for future disease stages.</w:t>
      </w:r>
    </w:p>
    <w:p w:rsidR="00000000" w:rsidDel="00000000" w:rsidP="00000000" w:rsidRDefault="00000000" w:rsidRPr="00000000" w14:paraId="00000019">
      <w:pPr>
        <w:pStyle w:val="Heading1"/>
        <w:rPr/>
      </w:pPr>
      <w:bookmarkStart w:colFirst="0" w:colLast="0" w:name="_f0zj5l5gka9k" w:id="6"/>
      <w:bookmarkEnd w:id="6"/>
      <w:r w:rsidDel="00000000" w:rsidR="00000000" w:rsidRPr="00000000">
        <w:rPr>
          <w:rtl w:val="0"/>
        </w:rPr>
        <w:t xml:space="preserve">Recommended Resources &amp; Background</w:t>
      </w:r>
    </w:p>
    <w:p w:rsidR="00000000" w:rsidDel="00000000" w:rsidP="00000000" w:rsidRDefault="00000000" w:rsidRPr="00000000" w14:paraId="0000001A">
      <w:pPr>
        <w:rPr/>
      </w:pPr>
      <w:r w:rsidDel="00000000" w:rsidR="00000000" w:rsidRPr="00000000">
        <w:rPr>
          <w:rtl w:val="0"/>
        </w:rPr>
        <w:t xml:space="preserve">To succeed in 36 hours, leverage these existing frameworks and datasets: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e0e0e0" w:space="0" w:sz="8" w:val="single"/>
          <w:left w:color="000000" w:space="0" w:sz="0" w:val="nil"/>
          <w:bottom w:color="e0e0e0" w:space="0" w:sz="8" w:val="single"/>
          <w:right w:color="000000" w:space="0" w:sz="0" w:val="nil"/>
          <w:insideH w:color="eeeeee" w:space="0" w:sz="8" w:val="single"/>
          <w:insideV w:color="eeeeee"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C">
            <w:pPr>
              <w:rPr/>
            </w:pPr>
            <w:r w:rsidDel="00000000" w:rsidR="00000000" w:rsidRPr="00000000">
              <w:rPr>
                <w:rtl w:val="0"/>
              </w:rPr>
              <w:t xml:space="preserve">Resource Type</w:t>
            </w:r>
          </w:p>
        </w:tc>
        <w:tc>
          <w:tcPr/>
          <w:p w:rsidR="00000000" w:rsidDel="00000000" w:rsidP="00000000" w:rsidRDefault="00000000" w:rsidRPr="00000000" w14:paraId="0000001D">
            <w:pPr>
              <w:rPr/>
            </w:pPr>
            <w:r w:rsidDel="00000000" w:rsidR="00000000" w:rsidRPr="00000000">
              <w:rPr>
                <w:rtl w:val="0"/>
              </w:rPr>
              <w:t xml:space="preserve">Resource Link / Reference</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Foundational Concept</w:t>
            </w:r>
            <w:r w:rsidDel="00000000" w:rsidR="00000000" w:rsidRPr="00000000">
              <w:rPr>
                <w:rtl w:val="0"/>
              </w:rPr>
            </w:r>
          </w:p>
        </w:tc>
        <w:tc>
          <w:tcPr/>
          <w:p w:rsidR="00000000" w:rsidDel="00000000" w:rsidP="00000000" w:rsidRDefault="00000000" w:rsidRPr="00000000" w14:paraId="0000001F">
            <w:pPr>
              <w:rPr/>
            </w:pPr>
            <w:hyperlink r:id="rId6">
              <w:r w:rsidDel="00000000" w:rsidR="00000000" w:rsidRPr="00000000">
                <w:rPr>
                  <w:color w:val="1155cc"/>
                  <w:u w:val="single"/>
                  <w:rtl w:val="0"/>
                </w:rPr>
                <w:t xml:space="preserve">In Silico Trials &amp; Virtual Patients</w:t>
              </w:r>
            </w:hyperlink>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Statistical Methods</w:t>
            </w:r>
            <w:r w:rsidDel="00000000" w:rsidR="00000000" w:rsidRPr="00000000">
              <w:rPr>
                <w:rtl w:val="0"/>
              </w:rPr>
            </w:r>
          </w:p>
        </w:tc>
        <w:tc>
          <w:tcPr/>
          <w:p w:rsidR="00000000" w:rsidDel="00000000" w:rsidP="00000000" w:rsidRDefault="00000000" w:rsidRPr="00000000" w14:paraId="00000021">
            <w:pPr>
              <w:rPr/>
            </w:pPr>
            <w:hyperlink r:id="rId7">
              <w:r w:rsidDel="00000000" w:rsidR="00000000" w:rsidRPr="00000000">
                <w:rPr>
                  <w:color w:val="1155cc"/>
                  <w:u w:val="single"/>
                  <w:rtl w:val="0"/>
                </w:rPr>
                <w:t xml:space="preserve">Synthetic Control Methods for Clinical Trials</w:t>
              </w:r>
            </w:hyperlink>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Open Dataset</w:t>
            </w:r>
            <w:r w:rsidDel="00000000" w:rsidR="00000000" w:rsidRPr="00000000">
              <w:rPr>
                <w:rtl w:val="0"/>
              </w:rPr>
            </w:r>
          </w:p>
        </w:tc>
        <w:tc>
          <w:tcPr/>
          <w:p w:rsidR="00000000" w:rsidDel="00000000" w:rsidP="00000000" w:rsidRDefault="00000000" w:rsidRPr="00000000" w14:paraId="00000023">
            <w:pPr>
              <w:rPr/>
            </w:pPr>
            <w:hyperlink r:id="rId8">
              <w:r w:rsidDel="00000000" w:rsidR="00000000" w:rsidRPr="00000000">
                <w:rPr>
                  <w:color w:val="1155cc"/>
                  <w:u w:val="single"/>
                  <w:rtl w:val="0"/>
                </w:rPr>
                <w:t xml:space="preserve">NHANES Public Health Data</w:t>
              </w:r>
            </w:hyperlink>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Explainability</w:t>
            </w:r>
            <w:r w:rsidDel="00000000" w:rsidR="00000000" w:rsidRPr="00000000">
              <w:rPr>
                <w:rtl w:val="0"/>
              </w:rPr>
            </w:r>
          </w:p>
        </w:tc>
        <w:tc>
          <w:tcPr/>
          <w:p w:rsidR="00000000" w:rsidDel="00000000" w:rsidP="00000000" w:rsidRDefault="00000000" w:rsidRPr="00000000" w14:paraId="00000025">
            <w:pPr>
              <w:rPr/>
            </w:pPr>
            <w:hyperlink r:id="rId9">
              <w:r w:rsidDel="00000000" w:rsidR="00000000" w:rsidRPr="00000000">
                <w:rPr>
                  <w:color w:val="1155cc"/>
                  <w:u w:val="single"/>
                  <w:rtl w:val="0"/>
                </w:rPr>
                <w:t xml:space="preserve">SHAP (SHapley Additive exPlanations) Documentation</w:t>
              </w:r>
            </w:hyperlink>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Regulatory Context</w:t>
            </w:r>
            <w:r w:rsidDel="00000000" w:rsidR="00000000" w:rsidRPr="00000000">
              <w:rPr>
                <w:rtl w:val="0"/>
              </w:rPr>
            </w:r>
          </w:p>
        </w:tc>
        <w:tc>
          <w:tcPr/>
          <w:p w:rsidR="00000000" w:rsidDel="00000000" w:rsidP="00000000" w:rsidRDefault="00000000" w:rsidRPr="00000000" w14:paraId="00000027">
            <w:pPr>
              <w:rPr/>
            </w:pPr>
            <w:hyperlink r:id="rId10">
              <w:r w:rsidDel="00000000" w:rsidR="00000000" w:rsidRPr="00000000">
                <w:rPr>
                  <w:color w:val="1155cc"/>
                  <w:u w:val="single"/>
                  <w:rtl w:val="0"/>
                </w:rPr>
                <w:t xml:space="preserve">FDA Guidance on Decentralized Elements &amp; RWD</w:t>
              </w:r>
            </w:hyperlink>
            <w:r w:rsidDel="00000000" w:rsidR="00000000" w:rsidRPr="00000000">
              <w:rPr>
                <w:rtl w:val="0"/>
              </w:rPr>
            </w:r>
          </w:p>
        </w:tc>
      </w:tr>
    </w:tbl>
    <w:p w:rsidR="00000000" w:rsidDel="00000000" w:rsidP="00000000" w:rsidRDefault="00000000" w:rsidRPr="00000000" w14:paraId="00000028">
      <w:pPr>
        <w:pStyle w:val="Heading1"/>
        <w:rPr/>
      </w:pPr>
      <w:bookmarkStart w:colFirst="0" w:colLast="0" w:name="_m0iycko0pz0r" w:id="7"/>
      <w:bookmarkEnd w:id="7"/>
      <w:r w:rsidDel="00000000" w:rsidR="00000000" w:rsidRPr="00000000">
        <w:rPr>
          <w:rtl w:val="0"/>
        </w:rPr>
        <w:t xml:space="preserve">Data &amp; Technical Constraints</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Mock Data</w:t>
      </w:r>
      <w:r w:rsidDel="00000000" w:rsidR="00000000" w:rsidRPr="00000000">
        <w:rPr>
          <w:rtl w:val="0"/>
        </w:rPr>
        <w:t xml:space="preserve">: You may try to use synthetic data generators if real clinical data is unavailable, but this may erode and ruin the quality of your creation. Ensure your "Digital Twins" are grounded in realistic physiological parameters but ideally try to find real patient datasets (deidentified) online eg </w:t>
      </w:r>
      <w:hyperlink r:id="rId11">
        <w:r w:rsidDel="00000000" w:rsidR="00000000" w:rsidRPr="00000000">
          <w:rPr>
            <w:color w:val="1155cc"/>
            <w:u w:val="single"/>
            <w:rtl w:val="0"/>
          </w:rPr>
          <w:t xml:space="preserve">https://datasetsearch.research.google.com/</w:t>
        </w:r>
      </w:hyperlink>
      <w:r w:rsidDel="00000000" w:rsidR="00000000" w:rsidRPr="00000000">
        <w:rPr>
          <w:rtl w:val="0"/>
        </w:rPr>
        <w:t xml:space="preserve"> .</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Privacy</w:t>
      </w:r>
      <w:r w:rsidDel="00000000" w:rsidR="00000000" w:rsidRPr="00000000">
        <w:rPr>
          <w:rtl w:val="0"/>
        </w:rPr>
        <w:t xml:space="preserve">: All solutions must demonstrate "privacy-preserving" techniques, as synthetic data is often used to protect patient identity; this is most datasets you could find </w:t>
      </w:r>
      <w:hyperlink r:id="rId12">
        <w:r w:rsidDel="00000000" w:rsidR="00000000" w:rsidRPr="00000000">
          <w:rPr>
            <w:color w:val="1155cc"/>
            <w:u w:val="single"/>
            <w:rtl w:val="0"/>
          </w:rPr>
          <w:t xml:space="preserve">https://datasetsearch.research.google.com/</w:t>
        </w:r>
      </w:hyperlink>
      <w:r w:rsidDel="00000000" w:rsidR="00000000" w:rsidRPr="00000000">
        <w:rPr>
          <w:rtl w:val="0"/>
        </w:rPr>
        <w:t xml:space="preserve"> .</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Outcome Prediction</w:t>
      </w:r>
      <w:r w:rsidDel="00000000" w:rsidR="00000000" w:rsidRPr="00000000">
        <w:rPr>
          <w:rtl w:val="0"/>
        </w:rPr>
        <w:t xml:space="preserve">: Focus on high-burden areas like cancer, neurodegenerative disease, or other degenerative diseases like MASH (a liver disease), where digital twins have already shown a huge time saving in trial simulation.</w:t>
      </w:r>
    </w:p>
    <w:p w:rsidR="00000000" w:rsidDel="00000000" w:rsidP="00000000" w:rsidRDefault="00000000" w:rsidRPr="00000000" w14:paraId="0000002C">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Lora" w:cs="Lora" w:eastAsia="Lora" w:hAnsi="Lora"/>
      <w:b w:val="1"/>
      <w:bCs w:val="1"/>
      <w:i w:val="0"/>
      <w:iCs w:val="0"/>
      <w:color w:val="1a237e"/>
      <w:sz w:val="48"/>
      <w:szCs w:val="48"/>
    </w:rPr>
  </w:style>
  <w:style w:type="paragraph" w:styleId="Heading2">
    <w:name w:val="heading 2"/>
    <w:basedOn w:val="Normal"/>
    <w:next w:val="Normal"/>
    <w:pPr>
      <w:keepNext w:val="1"/>
      <w:keepLines w:val="1"/>
      <w:pageBreakBefore w:val="0"/>
      <w:spacing w:after="80" w:before="360" w:line="240" w:lineRule="auto"/>
    </w:pPr>
    <w:rPr>
      <w:rFonts w:ascii="Lora" w:cs="Lora" w:eastAsia="Lora" w:hAnsi="Lora"/>
      <w:b w:val="1"/>
      <w:bCs w:val="1"/>
      <w:i w:val="0"/>
      <w:iCs w:val="0"/>
      <w:color w:val="283593"/>
      <w:sz w:val="36"/>
      <w:szCs w:val="36"/>
    </w:rPr>
  </w:style>
  <w:style w:type="paragraph" w:styleId="Heading3">
    <w:name w:val="heading 3"/>
    <w:basedOn w:val="Normal"/>
    <w:next w:val="Normal"/>
    <w:pPr>
      <w:keepNext w:val="1"/>
      <w:keepLines w:val="1"/>
      <w:pageBreakBefore w:val="0"/>
      <w:spacing w:after="80" w:before="280" w:line="240" w:lineRule="auto"/>
    </w:pPr>
    <w:rPr>
      <w:rFonts w:ascii="Lora" w:cs="Lora" w:eastAsia="Lora" w:hAnsi="Lora"/>
      <w:b w:val="1"/>
      <w:bCs w:val="1"/>
      <w:i w:val="0"/>
      <w:iCs w:val="0"/>
      <w:color w:val="3949ab"/>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Lora" w:cs="Lora" w:eastAsia="Lora" w:hAnsi="Lora"/>
      <w:b w:val="1"/>
      <w:bCs w:val="1"/>
      <w:i w:val="0"/>
      <w:iCs w:val="0"/>
      <w:color w:val="1a237e"/>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a237e"/>
        <w:sz w:val="24"/>
        <w:szCs w:val="24"/>
      </w:rPr>
      <w:tcPr>
        <w:shd w:fill="f5f5f5"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atasetsearch.research.google.com/" TargetMode="External"/><Relationship Id="rId10" Type="http://schemas.openxmlformats.org/officeDocument/2006/relationships/hyperlink" Target="https://www.fda.gov" TargetMode="External"/><Relationship Id="rId12" Type="http://schemas.openxmlformats.org/officeDocument/2006/relationships/hyperlink" Target="https://datasetsearch.research.google.com/" TargetMode="External"/><Relationship Id="rId9" Type="http://schemas.openxmlformats.org/officeDocument/2006/relationships/hyperlink" Target="https://shap.readthedocs.io" TargetMode="External"/><Relationship Id="rId5" Type="http://schemas.openxmlformats.org/officeDocument/2006/relationships/styles" Target="styles.xml"/><Relationship Id="rId6" Type="http://schemas.openxmlformats.org/officeDocument/2006/relationships/hyperlink" Target="https://insilicotrials.com" TargetMode="External"/><Relationship Id="rId7" Type="http://schemas.openxmlformats.org/officeDocument/2006/relationships/hyperlink" Target="https://www.nature.com/articles/s41746-019-0118-2" TargetMode="External"/><Relationship Id="rId8" Type="http://schemas.openxmlformats.org/officeDocument/2006/relationships/hyperlink" Target="https://www.cdc.gov/nchs/nhanes/index.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