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3692E1AE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282A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Джуртубаев</w:t>
      </w:r>
      <w:proofErr w:type="spellEnd"/>
      <w:r w:rsidR="00282A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Рахим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282A7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282A7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282A7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0" w:name="_Toc128239911"/>
      <w:r w:rsidRPr="00C13930">
        <w:t>Введение</w:t>
      </w:r>
      <w:bookmarkEnd w:id="0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1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t>Теоретическая часть</w:t>
      </w:r>
      <w:bookmarkEnd w:id="1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2" w:name="_Toc128239913"/>
      <w:r w:rsidRPr="00D208C2">
        <w:t>Практическая часть</w:t>
      </w:r>
      <w:bookmarkEnd w:id="2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>
        <w:rPr>
          <w:rFonts w:ascii="Fira Code Retina" w:hAnsi="Fira Code Retina" w:cs="Fira Code Retina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Default="00323546" w:rsidP="00DD4C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>
        <w:rPr>
          <w:rFonts w:ascii="Times New Roman" w:hAnsi="Times New Roman" w:cs="Times New Roman"/>
          <w:sz w:val="32"/>
          <w:szCs w:val="32"/>
          <w:lang w:val="en-US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B13B" w14:textId="77777777" w:rsidR="0022009D" w:rsidRDefault="0022009D" w:rsidP="001120C9">
      <w:pPr>
        <w:spacing w:after="0" w:line="240" w:lineRule="auto"/>
      </w:pPr>
      <w:r>
        <w:separator/>
      </w:r>
    </w:p>
  </w:endnote>
  <w:endnote w:type="continuationSeparator" w:id="0">
    <w:p w14:paraId="1D5F9403" w14:textId="77777777" w:rsidR="0022009D" w:rsidRDefault="0022009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Code Retina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8BA4" w14:textId="77777777" w:rsidR="0022009D" w:rsidRDefault="0022009D" w:rsidP="001120C9">
      <w:pPr>
        <w:spacing w:after="0" w:line="240" w:lineRule="auto"/>
      </w:pPr>
      <w:r>
        <w:separator/>
      </w:r>
    </w:p>
  </w:footnote>
  <w:footnote w:type="continuationSeparator" w:id="0">
    <w:p w14:paraId="360CA837" w14:textId="77777777" w:rsidR="0022009D" w:rsidRDefault="0022009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0334724">
    <w:abstractNumId w:val="0"/>
  </w:num>
  <w:num w:numId="2" w16cid:durableId="1613174349">
    <w:abstractNumId w:val="2"/>
  </w:num>
  <w:num w:numId="3" w16cid:durableId="71701721">
    <w:abstractNumId w:val="4"/>
  </w:num>
  <w:num w:numId="4" w16cid:durableId="1336761774">
    <w:abstractNumId w:val="1"/>
  </w:num>
  <w:num w:numId="5" w16cid:durableId="117349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912DC7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Рахим Джуртубаев</cp:lastModifiedBy>
  <cp:revision>3</cp:revision>
  <dcterms:created xsi:type="dcterms:W3CDTF">2023-03-25T14:45:00Z</dcterms:created>
  <dcterms:modified xsi:type="dcterms:W3CDTF">2023-04-07T13:34:00Z</dcterms:modified>
</cp:coreProperties>
</file>