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 </w:t>
        <w:br w:type="textWrapping"/>
        <w:t xml:space="preserve">учреждение высшего образования 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4">
      <w:pPr>
        <w:shd w:fill="ffffff" w:val="clear"/>
        <w:spacing w:after="0" w:befor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5">
      <w:pPr>
        <w:spacing w:after="600" w:before="18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</w:t>
        <w:br w:type="textWrapping"/>
        <w:t xml:space="preserve">ПЗ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567" w:right="-402" w:hanging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Пилипенко Даниил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 /Профессиональный модуль: </w:t>
      </w:r>
    </w:p>
    <w:p w:rsidR="00000000" w:rsidDel="00000000" w:rsidP="00000000" w:rsidRDefault="00000000" w:rsidRPr="00000000" w14:paraId="0000000B">
      <w:pPr>
        <w:spacing w:after="0" w:lineRule="auto"/>
        <w:ind w:left="567" w:right="-402" w:hanging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40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567" w:right="-402" w:hanging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7"/>
        <w:gridCol w:w="1560"/>
        <w:gridCol w:w="4531"/>
        <w:tblGridChange w:id="0">
          <w:tblGrid>
            <w:gridCol w:w="3547"/>
            <w:gridCol w:w="1560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2ИСПИ-121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ind w:right="113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______________/Сибирев И.В. 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240" w:lineRule="auto"/>
              <w:ind w:right="108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 выполнения: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108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20.06.2023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240" w:lineRule="auto"/>
              <w:ind w:right="108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за работу: 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240" w:lineRule="auto"/>
              <w:ind w:right="108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20" w:before="13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567" w:left="1701" w:right="567" w:header="397" w:footer="397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  <w:br w:type="textWrapping"/>
        <w:t xml:space="preserve">2023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интерференция, интерференционная помеха?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4152"/>
        </w:tabs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4152"/>
        </w:tabs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Поясните понятие зоны освещенности (прямой видимости).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ослабление свободного пространства и от чего оно за-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висит?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Как зависит напряженность поля от расстояния между антеннами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в области освещенности?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Как зависит напряженность поля от высоты подвеса антенны в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области освещенности?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Сравните характер зависимости от расстояния напряженности по-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ля и мощности сигнала в точке приема при распространении радиоволн в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свободном пространстве?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Что такое интерференция?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1404"/>
        </w:tabs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Интерференция - это явление, когда две или более волны с разными частотами или фазами пересекаются в одной точке пространства.</w:t>
        <w:tab/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Поясните понятия: зоны освещенности, тени и полутени.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Нарисуйте и поясните прохождение лучей от передающей до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приемной антенны в области освещенности.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Что такое множитель ослабления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36"/>
        </w:tabs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Как зависит напряженность поля от расстояния между антеннами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в области освещенности?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Как зависит напряженность поля от высоты подвеса антенны в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области освещенности?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В чем заключается влияние тропосферы на распространение ра-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диоволн в свободном пространстве?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Что такое замирания (фединг) сигнала и каковы причины возник-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новения быстрых и медленных замираний? 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Основные технические характеристики стандарта GSM.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GSM (Global System for Mobile Communications)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Структурная схема стандарта GSM.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Назначение и функции, выполняемые ЦКПС - MSC.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ЦКПС - MSC (Mobile Switching Center)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Перечислить состав долговременных данных, хранящихся в реги-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страх HLR и VLR. 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 регистрах HLR (Home Location Register) и VLR (Visitor Location Register)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Каким образом реализуется процедура проверки сетью подлин-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ности абонента.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Назначение межсетевого функционального стыка IWF, эхопода-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вителя ЕС.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Межсетевой функциональный стык IWF (Interworking Function) и эхоподавитель ЕС (Echo Canceller)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Функции, выполняемые центром эксплуатации и технического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обслуживания ОМС.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Центр эксплуатации и технического обслуживания ОМС (Operations and Maintenance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Пояснить термин «приоритетный доступ». Какой блок реализует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эту процедуру?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Состав оборудования базовой станции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Назначение транскодера ТСЕ.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Транскодер ТСЕ (Transcoder Subsystem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Дать определение зоны Френеля и правило ее использования?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Что понимается под усредненной медианной мощностью сигнала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(УММС)?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Охарактеризовать способы расчета уровня сигнала на входе при-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емника.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Дать определение понятия «квазигладкой» местности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Квазигладкая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Назначение и особенности применения модели Окамуры.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Модель Окамуры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Назначение и особенности применения модели Окамуры-Хата.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Модель Окамуры-Хата - это модификация модели Окамуры,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Какие показатели позволяет рассчитывать онлайн-калькулятор?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Классификация ССС и параметры орбит ИСЗ, достоинства и недос-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татки.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среднеорбитальные системы. Каждый тип орбиты имеет свои достоинства и недостатки, в зависимости от конкретных требований к сети связи.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Структурная схема ССС и ее частотный план.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Перечислить основные параметры ССС.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Особенности распространения радиоволн на трассах ССС.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 Способы повышения энергетических показателей ССС.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000000" w:rsidDel="00000000" w:rsidP="00000000" w:rsidRDefault="00000000" w:rsidRPr="00000000" w14:paraId="000000AB">
      <w:pPr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34.0" w:type="dxa"/>
        <w:bottom w:w="17.0" w:type="dxa"/>
        <w:right w:w="3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