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ОТЧЕТ </w:t>
        <w:br w:type="textWrapping"/>
        <w:t xml:space="preserve">ПЗ 6</w:t>
      </w:r>
    </w:p>
    <w:p w:rsidR="00000000" w:rsidDel="00000000" w:rsidP="00000000" w:rsidRDefault="00000000" w:rsidRPr="00000000" w14:paraId="00000006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67" w:right="-402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/Профессиональный модуль: </w:t>
      </w:r>
    </w:p>
    <w:p w:rsidR="00000000" w:rsidDel="00000000" w:rsidP="00000000" w:rsidRDefault="00000000" w:rsidRPr="00000000" w14:paraId="0000000C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40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ind w:right="113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______________/Сибирев И.В.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240" w:lineRule="auto"/>
              <w:ind w:right="108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10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20.06.2023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за работу: 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before="1320" w:lineRule="auto"/>
        <w:jc w:val="center"/>
        <w:rPr>
          <w:sz w:val="28"/>
          <w:szCs w:val="28"/>
        </w:rPr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tl w:val="0"/>
        </w:rPr>
        <w:t xml:space="preserve">Москва </w:t>
        <w:br w:type="textWrapping"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313</wp:posOffset>
            </wp:positionV>
            <wp:extent cx="6799580" cy="222059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