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hd w:fill="ffffff" w:val="clear"/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  <w:br w:type="textWrapping"/>
        <w:t xml:space="preserve">по практической (самостоятельной)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67" w:right="-402" w:hanging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/Профессиональный модуль: Компьютерные сети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-40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7" w:right="-402" w:hanging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Группа: 2Исип-1121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="240" w:lineRule="auto"/>
              <w:ind w:right="11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И.В.Сибирев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240" w:line="240" w:lineRule="auto"/>
              <w:ind w:right="108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right="10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 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240" w:line="240" w:lineRule="auto"/>
              <w:ind w:right="108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за работу: ____________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3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116320" cy="326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