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Федеральное государственное образовательное бюджетное </w:t>
        <w:br/>
        <w:t xml:space="preserve">учреждение высшего образования </w:t>
      </w:r>
    </w:p>
    <w:p>
      <w:pPr>
        <w:spacing w:before="0" w:after="0" w:line="259"/>
        <w:ind w:right="0" w:left="0" w:firstLine="0"/>
        <w:jc w:val="center"/>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w:t>
      </w:r>
      <w:r>
        <w:rPr>
          <w:rFonts w:ascii="Calibri" w:hAnsi="Calibri" w:cs="Calibri" w:eastAsia="Calibri"/>
          <w:b/>
          <w:color w:val="000000"/>
          <w:spacing w:val="0"/>
          <w:position w:val="0"/>
          <w:sz w:val="22"/>
          <w:shd w:fill="FFFFFF" w:val="clear"/>
        </w:rPr>
        <w:t xml:space="preserve">Финансовый университет при Правительстве Российской Федерации</w:t>
      </w:r>
      <w:r>
        <w:rPr>
          <w:rFonts w:ascii="Calibri" w:hAnsi="Calibri" w:cs="Calibri" w:eastAsia="Calibri"/>
          <w:b/>
          <w:color w:val="000000"/>
          <w:spacing w:val="0"/>
          <w:position w:val="0"/>
          <w:sz w:val="22"/>
          <w:shd w:fill="FFFFFF" w:val="clear"/>
        </w:rPr>
        <w:t xml:space="preserve">»</w:t>
      </w:r>
    </w:p>
    <w:p>
      <w:pPr>
        <w:spacing w:before="0" w:after="0" w:line="259"/>
        <w:ind w:right="0" w:left="0" w:firstLine="0"/>
        <w:jc w:val="center"/>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w:t>
      </w:r>
      <w:r>
        <w:rPr>
          <w:rFonts w:ascii="Calibri" w:hAnsi="Calibri" w:cs="Calibri" w:eastAsia="Calibri"/>
          <w:b/>
          <w:color w:val="000000"/>
          <w:spacing w:val="0"/>
          <w:position w:val="0"/>
          <w:sz w:val="22"/>
          <w:shd w:fill="FFFFFF" w:val="clear"/>
        </w:rPr>
        <w:t xml:space="preserve">Финансовый университет)</w:t>
      </w:r>
    </w:p>
    <w:p>
      <w:pPr>
        <w:spacing w:before="240" w:after="0" w:line="259"/>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Колледж информатики и программирования</w:t>
      </w:r>
    </w:p>
    <w:p>
      <w:pPr>
        <w:spacing w:before="1800" w:after="60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ОТЧЕТ </w:t>
        <w:br/>
        <w:t xml:space="preserve">ПЗ 3</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59"/>
        <w:ind w:right="-402" w:left="567" w:hanging="567"/>
        <w:jc w:val="center"/>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Студента: </w:t>
      </w:r>
      <w:r>
        <w:rPr>
          <w:rFonts w:ascii="Times New Roman" w:hAnsi="Times New Roman" w:cs="Times New Roman" w:eastAsia="Times New Roman"/>
          <w:color w:val="auto"/>
          <w:spacing w:val="0"/>
          <w:position w:val="0"/>
          <w:sz w:val="28"/>
          <w:shd w:fill="auto" w:val="clear"/>
        </w:rPr>
        <w:t xml:space="preserve">Цыбина Тимофея Евгеньевича</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Дисциплина /Профессиональный модуль: </w:t>
      </w:r>
    </w:p>
    <w:p>
      <w:pPr>
        <w:spacing w:before="0" w:after="0" w:line="259"/>
        <w:ind w:right="-402" w:left="567" w:hanging="567"/>
        <w:jc w:val="left"/>
        <w:rPr>
          <w:rFonts w:ascii="Calibri" w:hAnsi="Calibri" w:cs="Calibri" w:eastAsia="Calibri"/>
          <w:b/>
          <w:color w:val="auto"/>
          <w:spacing w:val="0"/>
          <w:position w:val="0"/>
          <w:sz w:val="22"/>
          <w:shd w:fill="auto" w:val="clear"/>
        </w:rPr>
      </w:pPr>
    </w:p>
    <w:p>
      <w:pPr>
        <w:spacing w:before="0" w:after="0" w:line="259"/>
        <w:ind w:right="-402" w:left="0" w:firstLine="0"/>
        <w:jc w:val="left"/>
        <w:rPr>
          <w:rFonts w:ascii="Calibri" w:hAnsi="Calibri" w:cs="Calibri" w:eastAsia="Calibri"/>
          <w:b/>
          <w:color w:val="auto"/>
          <w:spacing w:val="0"/>
          <w:position w:val="0"/>
          <w:sz w:val="22"/>
          <w:shd w:fill="auto" w:val="clear"/>
        </w:rPr>
      </w:pPr>
    </w:p>
    <w:p>
      <w:pPr>
        <w:spacing w:before="0" w:after="0" w:line="259"/>
        <w:ind w:right="-402" w:left="567" w:hanging="567"/>
        <w:jc w:val="left"/>
        <w:rPr>
          <w:rFonts w:ascii="Calibri" w:hAnsi="Calibri" w:cs="Calibri" w:eastAsia="Calibri"/>
          <w:b/>
          <w:color w:val="auto"/>
          <w:spacing w:val="0"/>
          <w:position w:val="0"/>
          <w:sz w:val="22"/>
          <w:shd w:fill="auto" w:val="clear"/>
        </w:rPr>
      </w:pPr>
    </w:p>
    <w:tbl>
      <w:tblPr/>
      <w:tblGrid>
        <w:gridCol w:w="3547"/>
        <w:gridCol w:w="1560"/>
        <w:gridCol w:w="4531"/>
      </w:tblGrid>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Группа: </w:t>
            </w:r>
            <w:r>
              <w:rPr>
                <w:rFonts w:ascii="Calibri" w:hAnsi="Calibri" w:cs="Calibri" w:eastAsia="Calibri"/>
                <w:b/>
                <w:color w:val="auto"/>
                <w:spacing w:val="0"/>
                <w:position w:val="0"/>
                <w:sz w:val="22"/>
                <w:shd w:fill="FFFF00" w:val="clear"/>
              </w:rPr>
              <w:t xml:space="preserve">2ИСИП-121</w:t>
            </w: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Преподаватель:</w:t>
            </w:r>
          </w:p>
        </w:tc>
      </w:tr>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120" w:after="0" w:line="240"/>
              <w:ind w:right="113"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______________/</w:t>
            </w:r>
            <w:r>
              <w:rPr>
                <w:rFonts w:ascii="Calibri" w:hAnsi="Calibri" w:cs="Calibri" w:eastAsia="Calibri"/>
                <w:color w:val="auto"/>
                <w:spacing w:val="0"/>
                <w:position w:val="0"/>
                <w:sz w:val="22"/>
                <w:shd w:fill="auto" w:val="clear"/>
              </w:rPr>
              <w:t xml:space="preserve">Сибирев И.В. /</w:t>
            </w:r>
          </w:p>
        </w:tc>
      </w:tr>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240" w:after="0" w:line="240"/>
              <w:ind w:right="108"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Дата выполнения:</w:t>
            </w:r>
          </w:p>
        </w:tc>
      </w:tr>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108"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3.06.2023 </w:t>
            </w:r>
            <w:r>
              <w:rPr>
                <w:rFonts w:ascii="Calibri" w:hAnsi="Calibri" w:cs="Calibri" w:eastAsia="Calibri"/>
                <w:color w:val="auto"/>
                <w:spacing w:val="0"/>
                <w:position w:val="0"/>
                <w:sz w:val="22"/>
                <w:shd w:fill="auto" w:val="clear"/>
              </w:rPr>
              <w:t xml:space="preserve">г.</w:t>
            </w:r>
          </w:p>
        </w:tc>
      </w:tr>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240" w:after="0" w:line="240"/>
              <w:ind w:right="108"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Оценка за работу: ____________</w:t>
            </w:r>
          </w:p>
        </w:tc>
      </w:tr>
      <w:tr>
        <w:trPr>
          <w:trHeight w:val="1" w:hRule="atLeast"/>
          <w:jc w:val="left"/>
        </w:trPr>
        <w:tc>
          <w:tcPr>
            <w:tcW w:w="3547"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0"/>
              <w:left w:val="single" w:color="000000" w:sz="0"/>
              <w:bottom w:val="single" w:color="000000" w:sz="0"/>
              <w:right w:val="single" w:color="000000" w:sz="0"/>
            </w:tcBorders>
            <w:shd w:color="000000" w:fill="ffffff" w:val="clear"/>
            <w:tcMar>
              <w:left w:w="34" w:type="dxa"/>
              <w:right w:w="34" w:type="dxa"/>
            </w:tcMar>
            <w:vAlign w:val="top"/>
          </w:tcPr>
          <w:p>
            <w:pPr>
              <w:spacing w:before="240" w:after="0" w:line="240"/>
              <w:ind w:right="108" w:left="0" w:firstLine="0"/>
              <w:jc w:val="left"/>
              <w:rPr>
                <w:rFonts w:ascii="Calibri" w:hAnsi="Calibri" w:cs="Calibri" w:eastAsia="Calibri"/>
                <w:color w:val="auto"/>
                <w:spacing w:val="0"/>
                <w:position w:val="0"/>
                <w:sz w:val="22"/>
                <w:shd w:fill="auto" w:val="clear"/>
              </w:rPr>
            </w:pPr>
          </w:p>
        </w:tc>
      </w:tr>
    </w:tbl>
    <w:p>
      <w:pPr>
        <w:spacing w:before="1320" w:after="12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Москва </w:t>
        <w:br/>
        <w:t xml:space="preserve">2023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Проверка работоспособности локальной компьютерной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Изучение алгоритма проверки работоспособности локальной компьютерной сети;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Проверка работоспособности локальной компьютерной сети заданной конфигурации.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Краткая теоретическая справка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условия работоспособности сети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49 = 47 </w:t>
      </w:r>
      <w:r>
        <w:rPr>
          <w:rFonts w:ascii="Times New Roman" w:hAnsi="Times New Roman" w:cs="Times New Roman" w:eastAsia="Times New Roman"/>
          <w:color w:val="auto"/>
          <w:spacing w:val="0"/>
          <w:position w:val="0"/>
          <w:sz w:val="28"/>
          <w:shd w:fill="auto" w:val="clear"/>
        </w:rPr>
        <w:t xml:space="preserve">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Задание 2.3.1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Всё пространство делиться на 3 области коллизии. Путь максимально рассматриваемой длины (оценка работоспособности)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t4; t11-t7; t14-t15.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T5-t3-t4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34 + 27 + 107 = 168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PDV: 1. 34 * 0,0113 + 27 * 0,113 + 107 * 0,1 = 17,593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15,3 + 42 + 156,5 = 213,8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12,3 + 42 + 165 = 219,3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PDV = 17,593 + 219,3 = 236,893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PVV: 1. 16+11 = 27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11+11 = 22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PVV &lt;= 27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T7-t11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42+120 = 162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PDV: 1. 15,3 + 156,5 = 171,8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12,3 + 165 = 177,3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42 * 0,113 + 120 * 0,1 = 16,746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PDV = 177,3 + 16,746 = 194,046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PVV: 1.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PVV &lt;=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T15-t14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5 + 11 =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PDV: 1. (5 +11) * 0,113 = 1,808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15,3 + 165 = 180,3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180,3 + 1,808 = 182,108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PVV: 1.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PVV &lt;=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 сеть работоспособна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Задание 2.3.2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Сеть разбивается на 2 области коллизии. Путь максимально рассматриваемой длины (оценка работоспособности): t7-t5, t8-t10-t12.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T7-t5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120 + 110 = 230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PDV: 1. PDVc = 230 * 1,112 = 255,76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PDVa = 100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PDV</w:t>
      </w:r>
      <w:r>
        <w:rPr>
          <w:rFonts w:ascii="Times New Roman" w:hAnsi="Times New Roman" w:cs="Times New Roman" w:eastAsia="Times New Roman"/>
          <w:color w:val="auto"/>
          <w:spacing w:val="0"/>
          <w:position w:val="0"/>
          <w:sz w:val="28"/>
          <w:shd w:fill="auto" w:val="clear"/>
        </w:rPr>
        <w:t xml:space="preserve">к = 2 * 92 = 184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PDV = 100 + 184 + 255,76 = 539,76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T8-t10-t12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105+40+40 = 185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PDV: 1. PDVc = 105 * 1 + 80 * 1,112 = 193,96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PDV</w:t>
      </w:r>
      <w:r>
        <w:rPr>
          <w:rFonts w:ascii="Times New Roman" w:hAnsi="Times New Roman" w:cs="Times New Roman" w:eastAsia="Times New Roman"/>
          <w:color w:val="auto"/>
          <w:spacing w:val="0"/>
          <w:position w:val="0"/>
          <w:sz w:val="28"/>
          <w:shd w:fill="auto" w:val="clear"/>
        </w:rPr>
        <w:t xml:space="preserve">а = 150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PDV</w:t>
      </w:r>
      <w:r>
        <w:rPr>
          <w:rFonts w:ascii="Times New Roman" w:hAnsi="Times New Roman" w:cs="Times New Roman" w:eastAsia="Times New Roman"/>
          <w:color w:val="auto"/>
          <w:spacing w:val="0"/>
          <w:position w:val="0"/>
          <w:sz w:val="28"/>
          <w:shd w:fill="auto" w:val="clear"/>
        </w:rPr>
        <w:t xml:space="preserve">к = 3 * 92 = 276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PDV = 193,96 + 150 + 276 = 619,96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Вывод: сеть не работоспособна.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Ответы на контрольные вопросы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r>
      <w:r>
        <w:rPr>
          <w:rFonts w:ascii="Times New Roman" w:hAnsi="Times New Roman" w:cs="Times New Roman" w:eastAsia="Times New Roman"/>
          <w:color w:val="auto"/>
          <w:spacing w:val="0"/>
          <w:position w:val="0"/>
          <w:sz w:val="28"/>
          <w:shd w:fill="auto" w:val="clear"/>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r>
      <w:r>
        <w:rPr>
          <w:rFonts w:ascii="Times New Roman" w:hAnsi="Times New Roman" w:cs="Times New Roman" w:eastAsia="Times New Roman"/>
          <w:color w:val="auto"/>
          <w:spacing w:val="0"/>
          <w:position w:val="0"/>
          <w:sz w:val="28"/>
          <w:shd w:fill="auto" w:val="clear"/>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r>
      <w:r>
        <w:rPr>
          <w:rFonts w:ascii="Times New Roman" w:hAnsi="Times New Roman" w:cs="Times New Roman" w:eastAsia="Times New Roman"/>
          <w:color w:val="auto"/>
          <w:spacing w:val="0"/>
          <w:position w:val="0"/>
          <w:sz w:val="28"/>
          <w:shd w:fill="auto" w:val="clear"/>
        </w:rPr>
        <w:t xml:space="preserve">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r>
      <w:r>
        <w:rPr>
          <w:rFonts w:ascii="Times New Roman" w:hAnsi="Times New Roman" w:cs="Times New Roman" w:eastAsia="Times New Roman"/>
          <w:color w:val="auto"/>
          <w:spacing w:val="0"/>
          <w:position w:val="0"/>
          <w:sz w:val="28"/>
          <w:shd w:fill="auto" w:val="clear"/>
        </w:rPr>
        <w:t xml:space="preserve">Алгоритм проверки Ethernet: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Провести анализ сети классического Ethernet (скорость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передачи информации 10 Мбит/с);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Выполнить разбиение сети на области коллизий при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необходимости;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Произвести оценку работоспособности сети для каждой из</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областей коллизий, произведя сравнение расчетных значений PDV 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PVV </w:t>
      </w:r>
      <w:r>
        <w:rPr>
          <w:rFonts w:ascii="Times New Roman" w:hAnsi="Times New Roman" w:cs="Times New Roman" w:eastAsia="Times New Roman"/>
          <w:color w:val="auto"/>
          <w:spacing w:val="0"/>
          <w:position w:val="0"/>
          <w:sz w:val="28"/>
          <w:shd w:fill="auto" w:val="clear"/>
        </w:rPr>
        <w:t xml:space="preserve">с их нормативными величинами;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r>
      <w:r>
        <w:rPr>
          <w:rFonts w:ascii="Times New Roman" w:hAnsi="Times New Roman" w:cs="Times New Roman" w:eastAsia="Times New Roman"/>
          <w:color w:val="auto"/>
          <w:spacing w:val="0"/>
          <w:position w:val="0"/>
          <w:sz w:val="28"/>
          <w:shd w:fill="auto" w:val="clear"/>
        </w:rPr>
        <w:t xml:space="preserve">Алгоритм проверки Fast Ethernet: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Провести анализ сети Fast Ethernet;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Выполнить разбиение сети на области коллизий при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необходимости;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Произвести оценку работоспособности сети для каждой из</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областей коллизий;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10BASE5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качестве среды передачи данных</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использовался толстый коаксиальный кабель (диаметр 10 мм) 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волновым сопротивлением 50 Ом. К коаксиальному кабелю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подключались специальные устройства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трансиверы, которые при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контакте с кабелем прокалывали его оболочку и обеспечивали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подключение к его экрану (медной оплетке) и к центральной жиле.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трансиверного кабеля 50 или 12,5 м. Максимальная длина сегмента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могла достигать 500 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Максимальное число компьютеров, подключенных к сегменту,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достигать 100 единиц. Расстояние между компьютерами не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менее 2,5 м. При меньшем расстоянии компьютеры начинают влиять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 на друга и связь между ними может ухудшиться.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10BASE2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качестве среды передачи информации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используется тонкий коаксиальный кабель (диаметр 5 мм) с волновым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сопротивлением 50 Ом. Так как этот кабель достаточно гибкий, то его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подключают непосредственно к компьютерам (нет необходимости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использовать трансиверы и специальные трансиверные кабели).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сеть можно объединить 5 сегментов 10BASE2 с помощью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четырех репитеров, при этом длина сети может достигать 925 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длина одного сегмента до 185 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Максимальное число компьютеров, подключенных к сегменту,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достигать 30 единиц. Расстояние между компьютерами не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менее 0,5 м, что обусловлено взаимным влиянием их сетевых плат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сетевых адаптеров).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10BASE-T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качестве среды передачи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данных используется витая пара (кабель UTP) и восьми контактные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коннекторы с защелкой RJ-45.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кабеля не может превышать 100 м, что обусловлено более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сильным затуханием электрического сигнала в витой паре по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сравнению с коаксиальным кабелем.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Минимальная длина кабеля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2,5 </w:t>
      </w:r>
      <w:r>
        <w:rPr>
          <w:rFonts w:ascii="Times New Roman" w:hAnsi="Times New Roman" w:cs="Times New Roman" w:eastAsia="Times New Roman"/>
          <w:color w:val="auto"/>
          <w:spacing w:val="0"/>
          <w:position w:val="0"/>
          <w:sz w:val="28"/>
          <w:shd w:fill="auto" w:val="clear"/>
        </w:rPr>
        <w:t xml:space="preserve">м.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ЛВС 10BaseT может обслуживать до 1024 компьютеров.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t xml:space="preserve">10BASE-FL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Длина сегмента может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достигать 2 км.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 оптоволоконного концентратора к FOMAU шел оптоволоконный кабель, а от FOMAU к сетевому адаптеру компьютера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витая пара.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Физическая топология сегмента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пассивная звезда.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проверки целостности канала передачи информации в сегменте 10BASE-FL используется фоновый сигнал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прямоугольные импульсы с частотой 1 МГц и скважностью, равной двум.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tab/>
        <w:t xml:space="preserve">100BASE-TX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предполагает использование в качестве среды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передачи информации кабеля UTP (четыре витые пары в кабеле)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пятой категории. Для связи компьютеров и концентраторов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используются две витые пары. В сегменте предусмотрена топология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пассивная звезда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пассивное дерево</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кодирования информации в сегменте сети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используется код 4В/5В.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Максимальная длина сегмента до 100 м. Следует отметить, что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стандарт рекомендует ограничится длиной сегмента 90 м для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подстраховки от потери компьютерной сетью работоспособности,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обусловленной случайными отклонениями параметров сетевого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оборудования от их паспортных значений.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t xml:space="preserve">100BASE-T4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пассивная звезда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пассивное дерево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Информация в сегменте кодируется кодом 8В/6Т (восемь двоичных бит преобразуется в шесть трехуровневых символов).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100BASE-T4 </w:t>
      </w:r>
      <w:r>
        <w:rPr>
          <w:rFonts w:ascii="Times New Roman" w:hAnsi="Times New Roman" w:cs="Times New Roman" w:eastAsia="Times New Roman"/>
          <w:color w:val="auto"/>
          <w:spacing w:val="0"/>
          <w:position w:val="0"/>
          <w:sz w:val="28"/>
          <w:shd w:fill="auto" w:val="clear"/>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пассивная звезда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пассивное дерево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Информация в сегменте кодируется кодом 8В/6Т (восемь двоичных бит преобразуется в шесть трехуровневых символов).</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