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Федеральное государственное образовательное бюджетное </w:t>
        <w:br/>
        <w:t xml:space="preserve">учреждение высшего образования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Финансовый университет при Правительстве Российской Федерации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FFFFFF" w:val="clear"/>
        </w:rPr>
        <w:t xml:space="preserve">Финансовый университет)</w:t>
      </w:r>
    </w:p>
    <w:p>
      <w:pPr>
        <w:spacing w:before="24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Колледж информатики и программирования</w:t>
      </w:r>
    </w:p>
    <w:p>
      <w:pPr>
        <w:spacing w:before="1800" w:after="6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ОТЧЕТ </w:t>
        <w:br/>
        <w:t xml:space="preserve">по лабораторной работе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9</w:t>
      </w:r>
    </w:p>
    <w:p>
      <w:pPr>
        <w:spacing w:before="0" w:after="0" w:line="240"/>
        <w:ind w:right="-402" w:left="567" w:hanging="567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Студент: Зотов Кирилл Николаевич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Дисциплина /Профессиональный модуль: Компьютерные сети</w:t>
      </w:r>
    </w:p>
    <w:p>
      <w:pPr>
        <w:spacing w:before="0" w:after="0" w:line="240"/>
        <w:ind w:right="-402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-402" w:left="567" w:hanging="56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tbl>
      <w:tblPr>
        <w:tblInd w:w="79" w:type="dxa"/>
      </w:tblPr>
      <w:tblGrid>
        <w:gridCol w:w="3547"/>
        <w:gridCol w:w="1560"/>
        <w:gridCol w:w="4531"/>
      </w:tblGrid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Группа: 2ИСИП-121</w:t>
            </w: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Преподаватель:</w:t>
            </w: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120" w:after="0" w:line="240"/>
              <w:ind w:right="113" w:left="0" w:firstLine="0"/>
              <w:jc w:val="righ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______________/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И.В.Сибирев/</w:t>
            </w: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547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560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531" w:type="dxa"/>
            <w:tcBorders>
              <w:top w:val="single" w:color="836967" w:sz="0"/>
              <w:left w:val="single" w:color="836967" w:sz="0"/>
              <w:bottom w:val="single" w:color="836967" w:sz="0"/>
              <w:right w:val="single" w:color="836967" w:sz="0"/>
            </w:tcBorders>
            <w:shd w:color="000000" w:fill="ffffff" w:val="clear"/>
            <w:tcMar>
              <w:left w:w="34" w:type="dxa"/>
              <w:right w:w="34" w:type="dxa"/>
            </w:tcMar>
            <w:vAlign w:val="top"/>
          </w:tcPr>
          <w:p>
            <w:pPr>
              <w:spacing w:before="240" w:after="0" w:line="240"/>
              <w:ind w:right="108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Оценка за работу: ____________</w:t>
            </w:r>
          </w:p>
        </w:tc>
      </w:tr>
    </w:tbl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Москва </w:t>
        <w:br/>
        <w:t xml:space="preserve">2023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Скриншот части вышек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697" w:dyaOrig="10467">
          <v:rect xmlns:o="urn:schemas-microsoft-com:office:office" xmlns:v="urn:schemas-microsoft-com:vml" id="rectole0000000000" style="width:234.850000pt;height:523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Все вышки поблизости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102" w:dyaOrig="10386">
          <v:rect xmlns:o="urn:schemas-microsoft-com:office:office" xmlns:v="urn:schemas-microsoft-com:vml" id="rectole0000000001" style="width:255.100000pt;height:519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Всего в этом районе находится 1597 вышек.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Мониторинг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292" w:dyaOrig="9597">
          <v:rect xmlns:o="urn:schemas-microsoft-com:office:office" xmlns:v="urn:schemas-microsoft-com:vml" id="rectole0000000002" style="width:214.600000pt;height:479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Мощность сигнала нормальная, а качество хорошее.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Проведённый замер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575" w:dyaOrig="10204">
          <v:rect xmlns:o="urn:schemas-microsoft-com:office:office" xmlns:v="urn:schemas-microsoft-com:vml" id="rectole0000000003" style="width:228.750000pt;height:510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Почти все вышки работают на частоте 2600МГц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Замер скорости интернета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988" w:dyaOrig="8929">
          <v:rect xmlns:o="urn:schemas-microsoft-com:office:office" xmlns:v="urn:schemas-microsoft-com:vml" id="rectole0000000004" style="width:199.400000pt;height:446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Скорость скачивания достаточно большая, а отправки не очень.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