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3DDD51AE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A729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5E4A18BB" w14:textId="5820C791" w:rsidR="003750C0" w:rsidRPr="00A72993" w:rsidRDefault="005F70B8" w:rsidP="00A7299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№</w:t>
      </w:r>
      <w:r w:rsidR="00F24F57" w:rsidRPr="00F24F5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3750C0" w:rsidRPr="00A729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 w:rsidR="00F24F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Спутниковые системы связи</w:t>
      </w:r>
      <w:r w:rsidR="003750C0" w:rsidRPr="00A72993">
        <w:rPr>
          <w:rFonts w:ascii="Times New Roman" w:hAnsi="Times New Roman" w:cs="Times New Roman"/>
          <w:b/>
          <w:sz w:val="28"/>
          <w:szCs w:val="28"/>
        </w:rPr>
        <w:t>»</w:t>
      </w:r>
    </w:p>
    <w:p w14:paraId="2500526B" w14:textId="46985D8F" w:rsidR="00C30C16" w:rsidRPr="00146E59" w:rsidRDefault="00C30C16" w:rsidP="003750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1B2D261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 w:rsidR="00902E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02E1F" w:rsidRPr="00902E1F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Пузачёвой Ольги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DD404" w14:textId="1A16F3A1" w:rsidR="00146E59" w:rsidRPr="00902E1F" w:rsidRDefault="00C30C16" w:rsidP="00902E1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A72993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4BBB8E72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42BC338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354DE" w:rsidRPr="001354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68DF253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A7299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2290925" w:rsidR="00146E59" w:rsidRPr="00C8141B" w:rsidRDefault="00252714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 w:rsidR="00BF251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6967AB63" w:rsidR="00AE5B30" w:rsidRDefault="00A72993" w:rsidP="00AE5B30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AE5B3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552ADC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="00BC41A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BF251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AE5B30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48530246" w14:textId="7A0BB769" w:rsidR="004773C1" w:rsidRDefault="004773C1" w:rsidP="004773C1">
      <w:pPr>
        <w:rPr>
          <w:lang w:val="en-US"/>
        </w:rPr>
      </w:pPr>
    </w:p>
    <w:p w14:paraId="0FEFAB30" w14:textId="77777777" w:rsidR="00CC605F" w:rsidRDefault="0033528A" w:rsidP="00CC60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CA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r w:rsidR="00CC60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883C71" w14:textId="403D6F9D" w:rsidR="0033528A" w:rsidRPr="00CC605F" w:rsidRDefault="00E15E16" w:rsidP="00CC60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и расчет основных технических характеристик ССПО и способов их обеспечения»</w:t>
      </w:r>
    </w:p>
    <w:p w14:paraId="58189A66" w14:textId="68CCA120" w:rsidR="0033528A" w:rsidRPr="00A636E3" w:rsidRDefault="00735CA9" w:rsidP="0033528A">
      <w:pPr>
        <w:rPr>
          <w:rFonts w:ascii="Times New Roman" w:hAnsi="Times New Roman" w:cs="Times New Roman"/>
          <w:b/>
          <w:sz w:val="28"/>
          <w:szCs w:val="28"/>
        </w:rPr>
      </w:pPr>
      <w:r w:rsidRPr="00A636E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6887333" w14:textId="42F4E12B" w:rsidR="001C68FE" w:rsidRPr="001C68FE" w:rsidRDefault="001C68FE" w:rsidP="001C68F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8FE">
        <w:rPr>
          <w:rFonts w:ascii="Times New Roman" w:hAnsi="Times New Roman" w:cs="Times New Roman"/>
          <w:sz w:val="28"/>
          <w:szCs w:val="28"/>
        </w:rPr>
        <w:t>1.1 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</w:t>
      </w:r>
    </w:p>
    <w:p w14:paraId="0BB82659" w14:textId="77777777" w:rsidR="001C68FE" w:rsidRPr="001C68FE" w:rsidRDefault="001C68FE" w:rsidP="001C68F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8FE">
        <w:rPr>
          <w:rFonts w:ascii="Times New Roman" w:hAnsi="Times New Roman" w:cs="Times New Roman"/>
          <w:sz w:val="28"/>
          <w:szCs w:val="28"/>
        </w:rPr>
        <w:t>и способами их обеспечения.</w:t>
      </w:r>
    </w:p>
    <w:p w14:paraId="32A3EE5D" w14:textId="77777777" w:rsidR="001C68FE" w:rsidRPr="001C68FE" w:rsidRDefault="001C68FE" w:rsidP="001C68F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8FE">
        <w:rPr>
          <w:rFonts w:ascii="Times New Roman" w:hAnsi="Times New Roman" w:cs="Times New Roman"/>
          <w:sz w:val="28"/>
          <w:szCs w:val="28"/>
        </w:rPr>
        <w:t>1.2 Расчет основных технических характеристик ССПО.</w:t>
      </w:r>
    </w:p>
    <w:p w14:paraId="55FC2AF1" w14:textId="77777777" w:rsidR="001C68FE" w:rsidRPr="001C68FE" w:rsidRDefault="001C68FE" w:rsidP="001C68F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8FE">
        <w:rPr>
          <w:rFonts w:ascii="Times New Roman" w:hAnsi="Times New Roman" w:cs="Times New Roman"/>
          <w:sz w:val="28"/>
          <w:szCs w:val="28"/>
        </w:rPr>
        <w:t>1.3 Получение навыков оценки электромагнитной совместимости</w:t>
      </w:r>
    </w:p>
    <w:p w14:paraId="4608527E" w14:textId="77777777" w:rsidR="001C68FE" w:rsidRPr="001C68FE" w:rsidRDefault="001C68FE" w:rsidP="001C68F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68FE">
        <w:rPr>
          <w:rFonts w:ascii="Times New Roman" w:hAnsi="Times New Roman" w:cs="Times New Roman"/>
          <w:sz w:val="28"/>
          <w:szCs w:val="28"/>
        </w:rPr>
        <w:t>(ЭМС) аппаратуры ССПО с использованием основных технических ха-</w:t>
      </w:r>
    </w:p>
    <w:p w14:paraId="0D4E4456" w14:textId="6B1CD532" w:rsidR="00735CA9" w:rsidRDefault="001C68FE" w:rsidP="00ED7D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68FE">
        <w:rPr>
          <w:rFonts w:ascii="Times New Roman" w:hAnsi="Times New Roman" w:cs="Times New Roman"/>
          <w:sz w:val="28"/>
          <w:szCs w:val="28"/>
        </w:rPr>
        <w:t>рактеристик</w:t>
      </w:r>
      <w:proofErr w:type="spellEnd"/>
      <w:r w:rsidRPr="001C68FE">
        <w:rPr>
          <w:rFonts w:ascii="Times New Roman" w:hAnsi="Times New Roman" w:cs="Times New Roman"/>
          <w:sz w:val="28"/>
          <w:szCs w:val="28"/>
        </w:rPr>
        <w:t>.</w:t>
      </w:r>
    </w:p>
    <w:p w14:paraId="4C2BC79D" w14:textId="77777777" w:rsidR="00ED7D1A" w:rsidRPr="0033528A" w:rsidRDefault="00ED7D1A" w:rsidP="00ED7D1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3B87F" w14:textId="6E58BFC3" w:rsidR="00123007" w:rsidRPr="00A636E3" w:rsidRDefault="00ED7D1A" w:rsidP="007A2241">
      <w:pPr>
        <w:rPr>
          <w:rFonts w:ascii="Times New Roman" w:hAnsi="Times New Roman" w:cs="Times New Roman"/>
          <w:b/>
          <w:sz w:val="28"/>
          <w:szCs w:val="28"/>
        </w:rPr>
      </w:pPr>
      <w:r w:rsidRPr="00A636E3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сведения:</w:t>
      </w:r>
    </w:p>
    <w:p w14:paraId="6EB6C8BA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Главные элементы системы связи с подвижными объектами (ССПО)</w:t>
      </w:r>
    </w:p>
    <w:p w14:paraId="753F7E1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[2, 3]:</w:t>
      </w:r>
    </w:p>
    <w:p w14:paraId="1FD5B970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 коммутации подвижной службы (ЦКПС);</w:t>
      </w:r>
    </w:p>
    <w:p w14:paraId="6537B941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базовые и абонентские станции (БС и АС);</w:t>
      </w:r>
    </w:p>
    <w:p w14:paraId="25CADBF7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стационарные линии связи (кабельные, радиорелейные и др.) БС</w:t>
      </w:r>
    </w:p>
    <w:p w14:paraId="7265550A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своим ЦКПС;</w:t>
      </w:r>
    </w:p>
    <w:p w14:paraId="347C5752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стационарные линии связи ЦКПС сети с транзитными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212EB3D7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торами ТФОП и обмена информацией по общему каналу сигнализации</w:t>
      </w:r>
    </w:p>
    <w:p w14:paraId="17B60AC9" w14:textId="22890988" w:rsidR="00884E0A" w:rsidRPr="00ED6905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ОКС 7</w:t>
      </w:r>
      <w:r w:rsidRPr="00ED69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8FA503" w14:textId="4FE52CAD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Сота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территория, обслуживаемая одной БС при всенаправленных антеннах. В зависимости от радиуса r0 соты различают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макросоты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с଴ ≥ 0,5 км,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микросоты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gramStart"/>
      <w:r w:rsidRPr="00884E0A">
        <w:rPr>
          <w:rFonts w:ascii="Segoe UI Historic" w:eastAsia="Times New Roman" w:hAnsi="Segoe UI Historic" w:cs="Segoe UI Historic"/>
          <w:sz w:val="28"/>
          <w:szCs w:val="28"/>
          <w:lang w:eastAsia="ru-RU"/>
        </w:rPr>
        <w:t>ݎ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଴&lt;</w:t>
      </w:r>
      <w:proofErr w:type="gram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0,5 км и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пикосоты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радиусом несколько десятков метров.</w:t>
      </w:r>
    </w:p>
    <w:p w14:paraId="14BA2402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БС поддерживает радиосвязь с АС, находящимися в своей</w:t>
      </w:r>
    </w:p>
    <w:p w14:paraId="440411E1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соте. Во избежание взаимных помех соседние БС работают на разных</w:t>
      </w:r>
    </w:p>
    <w:p w14:paraId="6B2EC492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частотах. Каждой соте присваивается частотная группа и для всей ССПО</w:t>
      </w:r>
    </w:p>
    <w:p w14:paraId="7C37FB17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составляется частотно-территориальный план (ЧТП).</w:t>
      </w:r>
    </w:p>
    <w:p w14:paraId="0D061871" w14:textId="24405AC0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Частотно-территориальное</w:t>
      </w:r>
      <w:r w:rsidR="00E26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ланирование</w:t>
      </w:r>
      <w:r w:rsidR="00E26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сетей</w:t>
      </w:r>
      <w:r w:rsidR="00E26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ССПО</w:t>
      </w:r>
      <w:r w:rsidR="00E26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 выбор структуры (конфигурации) сети, места установки БС,</w:t>
      </w:r>
      <w:r w:rsidR="002F2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типа, высоты и ориентации антенн, распределение частот между</w:t>
      </w:r>
      <w:r w:rsidR="002F28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БС. Для уменьшения</w:t>
      </w:r>
      <w:r w:rsidR="001528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капитальных затрат должна осуществляться оптимизация частотно-территориального плана, т. е. необходимо разрабатывать</w:t>
      </w:r>
      <w:r w:rsidR="001528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план, обеспечивающий заданную зону обслуживания, емкость сети, требуемое качество обслуживания при минимальном числе базовых станций</w:t>
      </w:r>
      <w:r w:rsidR="001528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и используемых частот. Планирование должно обеспечивать внутрисистемную и межсистемную электромагнитную совместимость (ЭМС) радиосредств. В первом случае обеспечивается ЭМС между радиостанциями</w:t>
      </w:r>
      <w:r w:rsidR="000E4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проектируемой сети, во втором - между радиосредствами проектируемой</w:t>
      </w:r>
      <w:r w:rsidR="000E4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сети и радиосредствами других систем,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работающими в общих и смежных</w:t>
      </w:r>
      <w:r w:rsidR="000E43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полосах частот и являющимися потенциальными источниками помех.</w:t>
      </w:r>
    </w:p>
    <w:p w14:paraId="3DE462D8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ЭМС </w:t>
      </w:r>
      <w:proofErr w:type="gram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радиоэлектронных систем совместно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DB0D05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ционировать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реальных условиях эксплуатации с сохранением своих ос-</w:t>
      </w:r>
    </w:p>
    <w:p w14:paraId="033635BD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новных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технических характеристик при воздействии на нее всевозможных</w:t>
      </w:r>
    </w:p>
    <w:p w14:paraId="51B83EBE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непреднамеренных помех и не создавать помехи недопустимого уровня</w:t>
      </w:r>
    </w:p>
    <w:p w14:paraId="244BE9E0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 радиосредствам. Для обеспечения ЭМС требуется уменьшить до</w:t>
      </w:r>
    </w:p>
    <w:p w14:paraId="0F58019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допустимого уровня действие различных видов помех.</w:t>
      </w:r>
    </w:p>
    <w:p w14:paraId="3E4258DF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ЧТП ССПО условно можно разделить на две части (рисунок 1):</w:t>
      </w:r>
    </w:p>
    <w:p w14:paraId="5DC46D22" w14:textId="4FC87CF1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1 Частотный план - распределение частот приема f</w:t>
      </w:r>
      <w:r w:rsidR="00DE50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передачи</w:t>
      </w:r>
    </w:p>
    <w:p w14:paraId="539B9FA5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f0ПРД между каналами, присвоенное стандарту</w:t>
      </w:r>
    </w:p>
    <w:p w14:paraId="1448652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0ПРМ</w:t>
      </w:r>
    </w:p>
    <w:p w14:paraId="385DEF80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B9C2E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Территориальный план - привязка частотного плана к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1F775471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территории, в котором указывается:</w:t>
      </w:r>
    </w:p>
    <w:p w14:paraId="3FEF26D4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размерность кластера - NКЛ;</w:t>
      </w:r>
    </w:p>
    <w:p w14:paraId="54B15A32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частотных групп между сотами;</w:t>
      </w:r>
    </w:p>
    <w:p w14:paraId="32DE1F6F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каналов в каждой частотной группе, присвоенной соте, - NЧГ;</w:t>
      </w:r>
    </w:p>
    <w:p w14:paraId="0E68B50D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номинальные значения частот каналов в такой группе - f0;</w:t>
      </w:r>
    </w:p>
    <w:p w14:paraId="61F67163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2D"/>
      </w: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расположение сот на территории и размер (радиус) r соты.</w:t>
      </w:r>
    </w:p>
    <w:p w14:paraId="4668CF9C" w14:textId="459EA135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ССПО используется принцип многократного повторного </w:t>
      </w: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3DF17C0C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зования</w:t>
      </w:r>
      <w:proofErr w:type="spellEnd"/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 связи: одни и те же частоты предоставляются различным</w:t>
      </w:r>
    </w:p>
    <w:p w14:paraId="7430B32B" w14:textId="77777777" w:rsidR="00884E0A" w:rsidRPr="00884E0A" w:rsidRDefault="00884E0A" w:rsidP="00884E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 на всей территории, обслуживаемой системой. Принцип</w:t>
      </w:r>
    </w:p>
    <w:p w14:paraId="0ED72D1B" w14:textId="77777777" w:rsidR="002E506B" w:rsidRPr="002E506B" w:rsidRDefault="00884E0A" w:rsidP="002E50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E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построения предполагает работу многих БС на совпадающих частотах</w:t>
      </w:r>
      <w:r w:rsidRPr="00ED6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506B" w:rsidRPr="002E506B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2 - БС</w:t>
      </w:r>
      <w:r w:rsidR="002E506B" w:rsidRPr="002E506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="002E506B" w:rsidRPr="002E506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центральной соты и БС М1-М6). В результате этого БС</w:t>
      </w:r>
    </w:p>
    <w:p w14:paraId="6FEA1403" w14:textId="77777777" w:rsidR="002E506B" w:rsidRPr="002E506B" w:rsidRDefault="002E506B" w:rsidP="002E50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06B">
        <w:rPr>
          <w:rFonts w:ascii="Times New Roman" w:eastAsia="Times New Roman" w:hAnsi="Times New Roman" w:cs="Times New Roman"/>
          <w:sz w:val="28"/>
          <w:szCs w:val="28"/>
          <w:lang w:eastAsia="ru-RU"/>
        </w:rPr>
        <w:t>М1-М6 создают на входе АС центральной соты интерференционные или</w:t>
      </w:r>
    </w:p>
    <w:p w14:paraId="020EA191" w14:textId="77777777" w:rsidR="002E506B" w:rsidRPr="002E506B" w:rsidRDefault="002E506B" w:rsidP="002E50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E506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соканальные</w:t>
      </w:r>
      <w:proofErr w:type="spellEnd"/>
      <w:r w:rsidRPr="002E50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помехи, ухудшающие внутрисистемную ЭМС ССПО.</w:t>
      </w:r>
    </w:p>
    <w:p w14:paraId="7E3F5FB9" w14:textId="18957035" w:rsidR="00884E0A" w:rsidRDefault="00D75E2D" w:rsidP="00D75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D24B40" wp14:editId="2D9DC4D8">
            <wp:extent cx="4620270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5DA6" w14:textId="102083B1" w:rsidR="00D75E2D" w:rsidRDefault="00D75E2D" w:rsidP="00D75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Основные параметры ЧТП</w:t>
      </w:r>
    </w:p>
    <w:p w14:paraId="4A68E0E3" w14:textId="77777777" w:rsidR="00D75E2D" w:rsidRPr="00884E0A" w:rsidRDefault="00D75E2D" w:rsidP="00D75E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E0632" w14:textId="0CD9FF23" w:rsidR="00D75E2D" w:rsidRPr="00D75E2D" w:rsidRDefault="00D75E2D" w:rsidP="00D75E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Интерференционная помеха от таких БС рассматривается как внутрисистемная помеха, определяющая их электромагнитную совместимость (ЭМС), и именно эта помеха определяет такой параметр структуры, как размерность кластера NКЛ. На основе геометрии однородной модели ССПО, размеры сот в которой постоянны, расстояние 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между БС, работающими на совпадающих частотах, определяется </w:t>
      </w:r>
      <w:proofErr w:type="spellStart"/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соотКнЛошением</w:t>
      </w:r>
      <w:proofErr w:type="spellEnd"/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[2, 3</w:t>
      </w:r>
      <w:r w:rsidR="007C45A2" w:rsidRPr="00F62E18">
        <w:rPr>
          <w:noProof/>
        </w:rPr>
        <w:t>]</w:t>
      </w:r>
      <w:r w:rsidR="00A97BC8" w:rsidRPr="00A97BC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0959D40" wp14:editId="76BE7BE2">
            <wp:extent cx="933580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(1)где </w:t>
      </w:r>
      <w:r w:rsidR="00F62E18" w:rsidRPr="00F62E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0E242EF" wp14:editId="332EC363">
            <wp:extent cx="1343212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E18" w:rsidRPr="00F62E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коэффициент ослабления интерференционной помехи (</w:t>
      </w:r>
      <w:proofErr w:type="spellStart"/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коИэфКфЛициент</w:t>
      </w:r>
      <w:proofErr w:type="spellEnd"/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ЭМС сети); </w:t>
      </w:r>
      <w:r w:rsidR="004A0F8C" w:rsidRPr="004A0F8C">
        <w:rPr>
          <w:rFonts w:ascii="Segoe UI Historic" w:eastAsia="Times New Roman" w:hAnsi="Segoe UI Historic" w:cs="Segoe UI Historic"/>
          <w:sz w:val="28"/>
          <w:szCs w:val="28"/>
          <w:lang w:eastAsia="ru-RU"/>
        </w:rPr>
        <w:drawing>
          <wp:inline distT="0" distB="0" distL="0" distR="0" wp14:anchorId="7F7A38B6" wp14:editId="0EDE9A81">
            <wp:extent cx="981212" cy="171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F8C" w:rsidRPr="004A0F8C">
        <w:rPr>
          <w:rFonts w:ascii="Segoe UI Historic" w:eastAsia="Times New Roman" w:hAnsi="Segoe UI Historic" w:cs="Segoe UI Historic"/>
          <w:sz w:val="28"/>
          <w:szCs w:val="28"/>
          <w:lang w:eastAsia="ru-RU"/>
        </w:rPr>
        <w:t xml:space="preserve"> </w:t>
      </w:r>
      <w:r w:rsidRPr="00D75E2D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напряженности поля сигнала от АС и интерференционной помехи в точке расположения БС центральной соты.</w:t>
      </w:r>
    </w:p>
    <w:p w14:paraId="5DC18ABB" w14:textId="6315ECBF" w:rsidR="00ED7D1A" w:rsidRDefault="00B4265C" w:rsidP="00B4265C">
      <w:pPr>
        <w:jc w:val="center"/>
      </w:pPr>
      <w:r w:rsidRPr="00B4265C">
        <w:drawing>
          <wp:inline distT="0" distB="0" distL="0" distR="0" wp14:anchorId="284FD745" wp14:editId="1A023E1F">
            <wp:extent cx="3038899" cy="2953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1181" w14:textId="77777777" w:rsidR="00B4265C" w:rsidRPr="00B4265C" w:rsidRDefault="00B4265C" w:rsidP="00B426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5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Фрагмент ЧТП при NКЛ = 7</w:t>
      </w:r>
    </w:p>
    <w:p w14:paraId="16836200" w14:textId="77777777" w:rsidR="00B4265C" w:rsidRPr="00B4265C" w:rsidRDefault="00B4265C" w:rsidP="00B426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5C">
        <w:rPr>
          <w:rFonts w:ascii="Times New Roman" w:eastAsia="Times New Roman" w:hAnsi="Times New Roman" w:cs="Times New Roman"/>
          <w:sz w:val="28"/>
          <w:szCs w:val="28"/>
          <w:lang w:eastAsia="ru-RU"/>
        </w:rPr>
        <w:t>М1 - М6 - БС, работающие на совпадающих частотах и создающие</w:t>
      </w:r>
    </w:p>
    <w:p w14:paraId="6FA63390" w14:textId="0C3675BD" w:rsidR="00E84382" w:rsidRDefault="00B4265C" w:rsidP="00E843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6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интерференционные помехи</w:t>
      </w:r>
    </w:p>
    <w:p w14:paraId="2A0A6C8B" w14:textId="0CD8790E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одного мешающего сигнала отношение мощностей сигнал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интерференционная помеха на границе соты равно</w:t>
      </w:r>
    </w:p>
    <w:p w14:paraId="6CF2E0AB" w14:textId="42783DD4" w:rsidR="00E84382" w:rsidRPr="00E84382" w:rsidRDefault="002550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E8B786" wp14:editId="0FD54A6D">
            <wp:extent cx="1495634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82"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, (2)</w:t>
      </w:r>
    </w:p>
    <w:p w14:paraId="3CA1E799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84382">
        <w:rPr>
          <w:rFonts w:ascii="Segoe UI Historic" w:eastAsia="Times New Roman" w:hAnsi="Segoe UI Historic" w:cs="Segoe UI Historic"/>
          <w:sz w:val="28"/>
          <w:szCs w:val="28"/>
          <w:lang w:eastAsia="ru-RU"/>
        </w:rPr>
        <w:t>݊</w:t>
      </w: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показатель затухания при распространении сигналов: в зависимо-</w:t>
      </w:r>
    </w:p>
    <w:p w14:paraId="2A3EAC94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</w:t>
      </w:r>
      <w:proofErr w:type="spellEnd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условий распространения сигнала принимает значении </w:t>
      </w:r>
      <w:r w:rsidRPr="00E84382">
        <w:rPr>
          <w:rFonts w:ascii="Segoe UI Historic" w:eastAsia="Times New Roman" w:hAnsi="Segoe UI Historic" w:cs="Segoe UI Historic"/>
          <w:sz w:val="28"/>
          <w:szCs w:val="28"/>
          <w:lang w:eastAsia="ru-RU"/>
        </w:rPr>
        <w:t>݊</w:t>
      </w: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2...4.</w:t>
      </w:r>
    </w:p>
    <w:p w14:paraId="416F74FE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Подставив (1) в (2) и учитывая, что в однородной модели на одной</w:t>
      </w:r>
    </w:p>
    <w:p w14:paraId="6BE81C32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частоте наблюдаются примерно одинаковые мешающие сигналы от </w:t>
      </w:r>
      <w:proofErr w:type="spellStart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шес</w:t>
      </w:r>
      <w:proofErr w:type="spellEnd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428EA7E5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БС, для допустимого отношения сигнал-интерференция на входе при-</w:t>
      </w:r>
    </w:p>
    <w:p w14:paraId="75CBCE3C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емника</w:t>
      </w:r>
      <w:proofErr w:type="spellEnd"/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Pr="00E84382">
        <w:rPr>
          <w:rFonts w:ascii="Segoe UI Historic" w:eastAsia="Times New Roman" w:hAnsi="Segoe UI Historic" w:cs="Segoe UI Historic"/>
          <w:sz w:val="28"/>
          <w:szCs w:val="28"/>
          <w:lang w:eastAsia="ru-RU"/>
        </w:rPr>
        <w:t>݊</w:t>
      </w: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 запишем:</w:t>
      </w:r>
    </w:p>
    <w:p w14:paraId="3ABC6C8C" w14:textId="4EFBA23F" w:rsidR="00E84382" w:rsidRPr="00E84382" w:rsidRDefault="00397277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27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8C24CD" wp14:editId="696CA51C">
            <wp:extent cx="3124636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4382"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14:paraId="699D0DB3" w14:textId="77777777" w:rsidR="00E84382" w:rsidRPr="00E84382" w:rsidRDefault="00E843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Соотношение (3) позволяет определить размерность кластера:</w:t>
      </w:r>
    </w:p>
    <w:p w14:paraId="3EE6DEFC" w14:textId="33659288" w:rsidR="00E84382" w:rsidRDefault="00892535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53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CB41F84" wp14:editId="6529E0AB">
            <wp:extent cx="1448002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382"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1E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4382" w:rsidRPr="00E84382">
        <w:rPr>
          <w:rFonts w:ascii="Times New Roman" w:eastAsia="Times New Roman" w:hAnsi="Times New Roman" w:cs="Times New Roman"/>
          <w:sz w:val="28"/>
          <w:szCs w:val="28"/>
          <w:lang w:eastAsia="ru-RU"/>
        </w:rPr>
        <w:t>(4)</w:t>
      </w:r>
    </w:p>
    <w:p w14:paraId="5AB33090" w14:textId="77E14288" w:rsidR="00C42A8E" w:rsidRPr="00C42A8E" w:rsidRDefault="00C42A8E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E07831E" wp14:editId="213DD930">
            <wp:extent cx="1324160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(5)</w:t>
      </w:r>
    </w:p>
    <w:p w14:paraId="725D3CE0" w14:textId="23EDE5C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</w:t>
      </w:r>
      <w:r w:rsidR="0075797C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B1FB267" wp14:editId="2A0BDB6E">
            <wp:extent cx="419158" cy="2667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97C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допустимое отношение сигнал-интерференция (в дБ) в </w:t>
      </w:r>
      <w:proofErr w:type="gram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одно-родной</w:t>
      </w:r>
      <w:proofErr w:type="gram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модели, которое определяет стандартом ССПО.</w:t>
      </w:r>
    </w:p>
    <w:p w14:paraId="48F429DC" w14:textId="5F499E0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Допустимое отношение сигнал-интерференция на входе приемника</w:t>
      </w:r>
      <w:r w:rsidR="009E65C3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ССПО различных стандартов составляет:</w:t>
      </w:r>
    </w:p>
    <w:p w14:paraId="5DCA4196" w14:textId="77777777" w:rsidR="00D04ED0" w:rsidRPr="00E32A18" w:rsidRDefault="009E65C3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367C310" wp14:editId="0EB2FB88">
            <wp:extent cx="3153215" cy="64779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015F" w14:textId="418A27DC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в цифровых системах можно использовать кластеры с</w:t>
      </w:r>
      <w:r w:rsidR="00D04ED0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меньшей размерностью, что, в свою очередь, повышает частотную эффективность цифровых систем.</w:t>
      </w:r>
    </w:p>
    <w:p w14:paraId="4776C9B6" w14:textId="40145C09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Следовательно, в цифровой системе GSM допустимая мощность интерференционной помехи на входе приемника больше, чем в аналоговой</w:t>
      </w:r>
      <w:r w:rsidR="00D04ED0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системе NMT-450.</w:t>
      </w:r>
    </w:p>
    <w:p w14:paraId="318F0D9E" w14:textId="072101EF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каналов в соте (канальная эффективность, </w:t>
      </w:r>
      <w:proofErr w:type="spell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радиоемкость</w:t>
      </w:r>
      <w:proofErr w:type="spell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соты)</w:t>
      </w:r>
    </w:p>
    <w:p w14:paraId="2F5BB1F8" w14:textId="77777777" w:rsidR="00D04ED0" w:rsidRPr="00E32A18" w:rsidRDefault="00D04ED0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63E578F" wp14:editId="70B1B873">
            <wp:extent cx="981212" cy="2953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61F6" w14:textId="1F862614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ССПО обычно работают в диапазоне ультравысоких частот (УВЧ)</w:t>
      </w:r>
      <w:r w:rsidR="001026F2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 Ее протяженность</w:t>
      </w:r>
      <w:r w:rsidR="001026F2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расстоянием прямой видимости</w:t>
      </w:r>
    </w:p>
    <w:p w14:paraId="7E610A28" w14:textId="50C6BC49" w:rsidR="00C42A8E" w:rsidRPr="00C42A8E" w:rsidRDefault="00FF56F6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0491A28" wp14:editId="0F7D30D3">
            <wp:extent cx="1590897" cy="49536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A8E"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(7)</w:t>
      </w:r>
    </w:p>
    <w:p w14:paraId="17619D87" w14:textId="061C4E7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(здесь </w:t>
      </w:r>
      <w:proofErr w:type="spell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dПВ</w:t>
      </w:r>
      <w:proofErr w:type="spell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выражено в километрах, </w:t>
      </w:r>
      <w:proofErr w:type="gram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h ,</w:t>
      </w:r>
      <w:proofErr w:type="gram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 - высоты расположения (</w:t>
      </w:r>
      <w:proofErr w:type="spell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подве-са</w:t>
      </w:r>
      <w:proofErr w:type="spell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) антенн БС и АС - в метрах</w:t>
      </w:r>
      <w:r w:rsidR="00E32A18" w:rsidRPr="00E32A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01843C0" w14:textId="7777777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распространении радиосигнала на открытых трассах могут быть</w:t>
      </w:r>
    </w:p>
    <w:p w14:paraId="4DEC0653" w14:textId="7777777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следующие параметры радиоволн:</w:t>
      </w:r>
    </w:p>
    <w:p w14:paraId="72BB755E" w14:textId="7777777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1 Действующее значение напряженности электрического поля в</w:t>
      </w:r>
    </w:p>
    <w:p w14:paraId="1C928179" w14:textId="77777777" w:rsidR="00C42A8E" w:rsidRP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свободном пространстве для направленной передающей антенны с </w:t>
      </w:r>
      <w:proofErr w:type="spell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3B7DCF35" w14:textId="0A51FC57" w:rsidR="00C42A8E" w:rsidRDefault="00C42A8E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>фициентом</w:t>
      </w:r>
      <w:proofErr w:type="spellEnd"/>
      <w:r w:rsidRPr="00C42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усиления G1, к которому подведена мощность Р1:</w:t>
      </w:r>
      <w:r w:rsidR="00A63BBE"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3F76C1" w14:textId="17880515" w:rsidR="00A63BBE" w:rsidRPr="00A63BBE" w:rsidRDefault="00A63BBE" w:rsidP="00A63BBE">
      <w:pPr>
        <w:shd w:val="clear" w:color="auto" w:fill="FFFFFF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1F9B2A4" wp14:editId="6346DF98">
            <wp:extent cx="1524213" cy="4763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BBE">
        <w:rPr>
          <w:rFonts w:ascii="Helvetica" w:hAnsi="Helvetica"/>
          <w:color w:val="1A1A1A"/>
          <w:sz w:val="23"/>
          <w:szCs w:val="23"/>
        </w:rPr>
        <w:t xml:space="preserve"> </w:t>
      </w:r>
      <w:r w:rsidRPr="00A63BBE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(8)</w:t>
      </w:r>
    </w:p>
    <w:p w14:paraId="6BBB9D22" w14:textId="3A333A28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t>2 Плотность потока мощности (мощность, приходящаяся на един</w:t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ицу поверхности):</w:t>
      </w:r>
    </w:p>
    <w:p w14:paraId="5A4AF575" w14:textId="00D1CC33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E278993" wp14:editId="7DD5B406">
            <wp:extent cx="1505160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(9)</w:t>
      </w:r>
    </w:p>
    <w:p w14:paraId="3A39AA1D" w14:textId="77777777" w:rsidR="00A63BBE" w:rsidRPr="00A63BBE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t>3 Мощность сигнала от БС на входе приемника АС зависит от про-</w:t>
      </w:r>
    </w:p>
    <w:p w14:paraId="513FEF94" w14:textId="77777777" w:rsidR="00A63BBE" w:rsidRPr="00A63BBE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t>тяженности</w:t>
      </w:r>
      <w:proofErr w:type="spellEnd"/>
      <w:r w:rsidRPr="00A63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 трассы и частоты (длины волны)</w:t>
      </w:r>
    </w:p>
    <w:p w14:paraId="0B93779A" w14:textId="2E862C7C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00408F3" wp14:editId="55D81377">
            <wp:extent cx="2495898" cy="46679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(10)</w:t>
      </w:r>
    </w:p>
    <w:p w14:paraId="6C657021" w14:textId="0A83F160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уровень мощности (в дБ) сигнала от БС на входе приемника АС</w:t>
      </w:r>
    </w:p>
    <w:p w14:paraId="02CFAB72" w14:textId="71AB2F7C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BDF7D4A" wp14:editId="77D664F5">
            <wp:extent cx="2219635" cy="276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(11)</w:t>
      </w:r>
    </w:p>
    <w:p w14:paraId="4F499F7B" w14:textId="16C46C48" w:rsidR="00A63BBE" w:rsidRPr="00390982" w:rsidRDefault="00A63BBE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p0(f, d) - уровень мощности сигнала в точке приема при </w:t>
      </w:r>
      <w:proofErr w:type="spellStart"/>
      <w:proofErr w:type="gram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-нении</w:t>
      </w:r>
      <w:proofErr w:type="gram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свободном пространстве:</w:t>
      </w:r>
    </w:p>
    <w:p w14:paraId="087AC1BA" w14:textId="669DE4FC" w:rsidR="000F3316" w:rsidRPr="00A63BBE" w:rsidRDefault="000F3316" w:rsidP="00A63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E9F942" wp14:editId="1D0C0C88">
            <wp:extent cx="2267266" cy="2476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(12)</w:t>
      </w:r>
    </w:p>
    <w:p w14:paraId="7D2B6F2B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рП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уровень мощности передатчика; </w:t>
      </w:r>
      <w:proofErr w:type="gram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g ,</w:t>
      </w:r>
      <w:proofErr w:type="gram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 - коэффициенты усиления передающей и приемной антенн соответст1вен2но, выраженные в </w:t>
      </w: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децибе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0654C73A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лах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а1 и а2 - потери </w:t>
      </w:r>
      <w:proofErr w:type="gram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фидере</w:t>
      </w:r>
      <w:proofErr w:type="gram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передающей и приемной антенн </w:t>
      </w: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D6BA042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венно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aСВ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20 </w:t>
      </w: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lg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(4πd/</w:t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C"/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ослабление свободного пространства; d - про-</w:t>
      </w:r>
    </w:p>
    <w:p w14:paraId="24EFF9EA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тяженность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трассы; </w:t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C"/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рабочая длина волны.</w:t>
      </w:r>
    </w:p>
    <w:p w14:paraId="25535C41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иметь в виду, что энергетические возможности передатчика</w:t>
      </w:r>
    </w:p>
    <w:p w14:paraId="0A06DFB7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характеризуются эквивалентной изотропной излучаемой мощно-</w:t>
      </w:r>
    </w:p>
    <w:p w14:paraId="44C12880" w14:textId="77777777" w:rsidR="00390982" w:rsidRPr="00390982" w:rsidRDefault="00390982" w:rsidP="00390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стью</w:t>
      </w:r>
      <w:proofErr w:type="spellEnd"/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(ЭИИМ)</w:t>
      </w:r>
    </w:p>
    <w:p w14:paraId="064A44BD" w14:textId="440344D2" w:rsidR="00A63BBE" w:rsidRPr="00C42A8E" w:rsidRDefault="00390982" w:rsidP="00C42A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FDF97D" wp14:editId="1D58F652">
            <wp:extent cx="971686" cy="3048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(13)</w:t>
      </w:r>
    </w:p>
    <w:p w14:paraId="17C259E3" w14:textId="13E30A77" w:rsidR="00C42A8E" w:rsidRPr="00E84382" w:rsidRDefault="00390982" w:rsidP="00E84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982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учитывающей влияние направленных свойств передающей антенны.</w:t>
      </w:r>
    </w:p>
    <w:p w14:paraId="3B84446E" w14:textId="1C1B7154" w:rsidR="007D783F" w:rsidRDefault="007D783F" w:rsidP="00E32A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0A883215" w14:textId="77777777" w:rsidR="00CC605F" w:rsidRDefault="001D6118" w:rsidP="001D61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№2</w:t>
      </w:r>
    </w:p>
    <w:p w14:paraId="452FA3A3" w14:textId="3925BCFB" w:rsidR="001D6118" w:rsidRDefault="001D6118" w:rsidP="001D61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«Исследование энергетических показателей ССПО при высокоподнятых антеннах»</w:t>
      </w:r>
    </w:p>
    <w:p w14:paraId="778F3664" w14:textId="77777777" w:rsidR="00342B1F" w:rsidRDefault="00342B1F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1D292" w14:textId="0B25FDC0" w:rsidR="0008763C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</w:p>
    <w:p w14:paraId="4A77F9CC" w14:textId="44C2D93F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1 Ознакомление с методами исследования энергетических показателей ССПО при высокоподнятых антеннах.</w:t>
      </w:r>
    </w:p>
    <w:p w14:paraId="77B6EECF" w14:textId="77777777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2 Расчет энергетических показателей ССПО при высокоподнятых</w:t>
      </w:r>
    </w:p>
    <w:p w14:paraId="3FF46406" w14:textId="77777777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антеннах.</w:t>
      </w:r>
    </w:p>
    <w:p w14:paraId="3AEF4DBB" w14:textId="7E35A256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3 Формирование умения использовать автоматизированный онлайн-калькулятор для расчета уровня сигнала на входе приемника при</w:t>
      </w:r>
    </w:p>
    <w:p w14:paraId="0985C73E" w14:textId="77777777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при распространении сигнала в свободном</w:t>
      </w:r>
    </w:p>
    <w:p w14:paraId="6C3953DD" w14:textId="77777777" w:rsidR="008449A0" w:rsidRP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9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пространстве и с учетом влияния земной поверхности и тропосферы.</w:t>
      </w:r>
    </w:p>
    <w:p w14:paraId="365ED871" w14:textId="3B9127A3" w:rsidR="008449A0" w:rsidRDefault="008449A0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A78A6" w14:textId="7F364FBF" w:rsidR="0094681D" w:rsidRDefault="0094681D" w:rsidP="00844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78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работы:</w:t>
      </w:r>
    </w:p>
    <w:p w14:paraId="619E4B65" w14:textId="1C238891" w:rsidR="00347A45" w:rsidRDefault="00347A45" w:rsidP="00C16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7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1A3AEBA9" wp14:editId="6FF4F069">
            <wp:extent cx="5579998" cy="4097866"/>
            <wp:effectExtent l="0" t="0" r="190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9044" cy="41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AE6B" w14:textId="77777777" w:rsidR="000D63A9" w:rsidRDefault="000D63A9" w:rsidP="000D6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1F7B8" w14:textId="726B91DD" w:rsidR="0094681D" w:rsidRDefault="0094681D" w:rsidP="00C16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1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A7E0E1" wp14:editId="4311794F">
            <wp:extent cx="6041319" cy="465666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46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E851" w14:textId="6D9F93EB" w:rsidR="0094681D" w:rsidRDefault="00677936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DC718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онлайн-калькулятора (однолучевая модел</w:t>
      </w:r>
      <w:r w:rsidR="00DC718C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DFA8181" w14:textId="735F786F" w:rsidR="004A737A" w:rsidRDefault="005C1284" w:rsidP="005C12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128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09C1F07" wp14:editId="673D673B">
            <wp:extent cx="6120130" cy="3155315"/>
            <wp:effectExtent l="0" t="0" r="0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330" w14:textId="5EEE7604" w:rsidR="00DC718C" w:rsidRDefault="00784215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Двухлучевая модель</w:t>
      </w:r>
    </w:p>
    <w:p w14:paraId="7D326DC3" w14:textId="12A9CAC7" w:rsidR="00197A12" w:rsidRDefault="00197A12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97A6C" w14:textId="77777777" w:rsidR="00197A12" w:rsidRDefault="00197A12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№3</w:t>
      </w:r>
    </w:p>
    <w:p w14:paraId="16D4EE5E" w14:textId="52EBAA84" w:rsidR="00197A12" w:rsidRPr="00197A12" w:rsidRDefault="00197A12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«Система сотовой связи стандарта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GSM</w:t>
      </w:r>
      <w:r w:rsidRPr="00E21DD9">
        <w:rPr>
          <w:rFonts w:ascii="Times New Roman" w:eastAsia="Times New Roman" w:hAnsi="Times New Roman" w:cs="Times New Roman"/>
          <w:sz w:val="28"/>
          <w:szCs w:val="28"/>
          <w:lang w:eastAsia="ru-RU"/>
        </w:rPr>
        <w:t>-900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9384830" w14:textId="3BF6383E" w:rsidR="00347A45" w:rsidRDefault="00347A45" w:rsidP="00DC71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878FD" w14:textId="2BD93AF1" w:rsidR="00E21DD9" w:rsidRDefault="00E21DD9" w:rsidP="00E21D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</w:p>
    <w:p w14:paraId="17896F06" w14:textId="3A6EEE87" w:rsidR="00E21DD9" w:rsidRDefault="00E21DD9" w:rsidP="00E21D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DD9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основные технические характеристики, функциональное построение и интерфейсы, принятые в цифровой сотовой системе подвижной радиосвязи стандарта GSM.</w:t>
      </w:r>
    </w:p>
    <w:p w14:paraId="4CC173E1" w14:textId="77777777" w:rsidR="00D740F8" w:rsidRPr="00E21DD9" w:rsidRDefault="00D740F8" w:rsidP="00E21D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A1B67A" w14:textId="1DF86C58" w:rsidR="00DD45D8" w:rsidRPr="00DD45D8" w:rsidRDefault="00DD45D8" w:rsidP="00DD4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GSM (Global System for Mobile communications) тесно свя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со всеми современными стандартами цифровых сетей, в первую очередь с ISDN и IN (Intelligent Network). Основные функциональные элементы GSM входят в разрабатываемый международный стандарт глобальной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подвижной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UMTS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Universal</w:t>
      </w:r>
      <w:proofErr w:type="spellEnd"/>
    </w:p>
    <w:p w14:paraId="3C51E9C8" w14:textId="5E6132B3" w:rsidR="00DD45D8" w:rsidRPr="00DD45D8" w:rsidRDefault="00DD45D8" w:rsidP="00DD4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MobileTelecommunications</w:t>
      </w:r>
      <w:proofErr w:type="spellEnd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System).</w:t>
      </w:r>
    </w:p>
    <w:p w14:paraId="1500568B" w14:textId="5922C89E" w:rsidR="00DD45D8" w:rsidRPr="00DD45D8" w:rsidRDefault="00DD45D8" w:rsidP="00DD45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определениями ITU - T (</w:t>
      </w:r>
      <w:proofErr w:type="spellStart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Intemational</w:t>
      </w:r>
      <w:proofErr w:type="spellEnd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Telecom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unication Union - Telecommunications Standardization Sector) сеть GSM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предоставлять следующие услуги: по переносу информации (bearer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services);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(teleservices);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</w:t>
      </w: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(supplementary services).</w:t>
      </w:r>
    </w:p>
    <w:p w14:paraId="24A8C18E" w14:textId="77777777" w:rsidR="00D740F8" w:rsidRPr="00D740F8" w:rsidRDefault="00DD45D8" w:rsidP="00D740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GSM является цифровой системой передачи данных, речь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кодируется и передается в виде цифрового потока. Кроме того, предоставляются разнообразные услуги передачи данных. Абоненты GSM могут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обмен информацией с абонентами ISDN, обычных телефонных сетей, сетей с коммутацией пакетов и сетей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 с коммутацией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каналов, используя различные методы и протоколы доступа, например,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Х.25 или Х.32. Возможна передача факсимильных сообщений, </w:t>
      </w:r>
      <w:proofErr w:type="spellStart"/>
      <w:r w:rsidRPr="00DD45D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мых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использовании соответствующего адаптера для факс-аппарата. Уникальной возможностью GSM, которой не было в аналоговых системах, является двунаправленная </w:t>
      </w:r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передача коротких сообщений SMS (</w:t>
      </w:r>
      <w:proofErr w:type="spell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(до 160 байт), передаваемых в режиме с промежуточным хранением данных. Адресату, являющимся абонентом SMS, может быть послано сообщение, после которого отправителю посылается подтверждение о получении. Короткие сообщения можно использовать в режиме широковещания, </w:t>
      </w:r>
      <w:proofErr w:type="gram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того, чтобы</w:t>
      </w:r>
      <w:proofErr w:type="gram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извещать абонентов об изменении условий дорожного движения в регионе. Текущие спецификации в виде </w:t>
      </w:r>
      <w:proofErr w:type="spellStart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дополнительних</w:t>
      </w:r>
      <w:proofErr w:type="spellEnd"/>
      <w:r w:rsidR="00D740F8"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возможностей описывают услуги по переносу информации и предоставлению связи (например, перенаправление вызова в случае недоступности подвижного абонента). Ожидается появление новых возможностей, таких, как идентификация вызова, постановка вызова в очередь, переговоры сразу нескольких абонентов и др.</w:t>
      </w:r>
    </w:p>
    <w:p w14:paraId="075D88F1" w14:textId="530C111F" w:rsidR="00D740F8" w:rsidRPr="00D740F8" w:rsidRDefault="00D740F8" w:rsidP="00D740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рекомендацией СЕРТ 1980 г., касающейся использования спектра частот подвижной связи в диапазоне частот 862…960 МГц, стандарт GSM на цифровую общеевропейскую сотовую систему наземной подвижной связи предусматривает работу передатчиков в двух диапазонах частот: 890…915 МГц (для передатчиков подвижных станций ПС–MS), 935…960 МГц (для передатчиков базовых станций БС–BTS).</w:t>
      </w:r>
    </w:p>
    <w:p w14:paraId="73F259FB" w14:textId="77777777" w:rsidR="00D740F8" w:rsidRPr="00D740F8" w:rsidRDefault="00D740F8" w:rsidP="00D74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стандарте GSM используется узкополосный многостанционный доступ с временным разделением каналов (NB-TDMA). В структуре TDMA кадра содержится 8 временных позиций на каждой из 124 несущих.</w:t>
      </w:r>
    </w:p>
    <w:p w14:paraId="294898D9" w14:textId="05FA2C4E" w:rsidR="00D740F8" w:rsidRPr="00D740F8" w:rsidRDefault="00D740F8" w:rsidP="00D74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защиты от ошибок в радиоканалах при передаче информационных сообщений применяется блочное и </w:t>
      </w:r>
      <w:proofErr w:type="spell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сверточное</w:t>
      </w:r>
      <w:proofErr w:type="spell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кодирование с перемежением. Повышение эффективности кодирования и перемежения при малой скорости перемещения подвижных станций достигается медленным переключением рабочих частот (SFH) в процессе сеанса связи со скоростью 217 скачков в секунду.</w:t>
      </w:r>
    </w:p>
    <w:p w14:paraId="11AD6599" w14:textId="3F2FD16C" w:rsidR="00D740F8" w:rsidRPr="00D740F8" w:rsidRDefault="00D740F8" w:rsidP="00D74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борьбы с интерференционными замираниями принимаемых сигналов, вызванными многолучевым распространением радиоволн в условиях города, в аппаратуре связи используются эквалайзеры, обеспечивающие выравнивание импульсных сигналов со среднеквадратическим отклонением времени задержки до 16 </w:t>
      </w:r>
      <w:proofErr w:type="spell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Система синхронизации рассчитана на компенсацию абсолютного времени задержки сигналов до 233 </w:t>
      </w:r>
      <w:proofErr w:type="spell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соответствует максимальной дальности связи или максимальному радиусу ячейки (соты) 35 км. В стандарте GSM выбрана гауссовская манипуляция </w:t>
      </w:r>
      <w:proofErr w:type="gram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с минимальным сдвигам</w:t>
      </w:r>
      <w:proofErr w:type="gram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(GМSК); индекс манипуляции – 0,3. Обработка речи </w:t>
      </w:r>
      <w:proofErr w:type="spell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</w:t>
      </w:r>
      <w:proofErr w:type="spell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0059CE24" w14:textId="4E495630" w:rsidR="001610B9" w:rsidRPr="00862E59" w:rsidRDefault="00D740F8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</w:t>
      </w:r>
      <w:proofErr w:type="spellEnd"/>
      <w:r w:rsidRPr="00D74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принятой системы прерывистой передачи речи (DТХ), кото</w:t>
      </w:r>
      <w:r w:rsidR="001610B9" w:rsidRPr="001610B9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рая </w:t>
      </w:r>
      <w:r w:rsidR="001610B9"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включение передатчика только при наличии речевого </w:t>
      </w:r>
      <w:r w:rsidR="001610B9"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сигнала и отключение передатчика в паузах и в конце разговора. В качестве речепреобразующего устройства выбран речевой кодек с регулярным</w:t>
      </w:r>
      <w:r w:rsidR="001610B9"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10B9"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импульсным возбуждением / долговременным предсказанием и линейным предикативным кодированием с предсказанием (RPE/LTP – LPC –кодек). Общая скорость преобразования речевого сигнала – 13 кбит/с.</w:t>
      </w:r>
    </w:p>
    <w:p w14:paraId="492AFFED" w14:textId="3D3B6B06" w:rsidR="001610B9" w:rsidRPr="001610B9" w:rsidRDefault="001610B9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стандарте GSM достигается высокая степень безопасности передачи сообщений; осуществляется шифрование сообщений по алгоритму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шифрования с открытым ключом (RSA).</w:t>
      </w:r>
    </w:p>
    <w:p w14:paraId="179A37D0" w14:textId="7D8EF07B" w:rsidR="001610B9" w:rsidRPr="001610B9" w:rsidRDefault="001610B9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характеристики стандарта GSM, функциональное построение и интерфейсы, принятые в стандарте GSM приведены в [1, 2, 6].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подсистемы GSM: MSC (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Mobile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Switching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Centre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центр коммутации подвижной связи (ЦКПС); BSS (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Station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Sistem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оборудование базовой станции; ОМС (Operations and Maintenance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Cetre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центр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и обслуживания; МS (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Mobile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Stations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подвижные (абонентские) станции ПС.</w:t>
      </w:r>
    </w:p>
    <w:p w14:paraId="167A3DAD" w14:textId="7E1F4DEB" w:rsidR="001610B9" w:rsidRPr="001610B9" w:rsidRDefault="001610B9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сопряжение элементов системы осуществляется рядом интерфейсов. Все сетевые функциональные компоненты в стандарте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GSM взаимодействуют в соответствии с системой общеканальной сигнализации СОКС №7 (SS №7). SS №7 стандартизована на международном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 и предназначена для обмена сигнальной информацией в цифровых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 связи с цифровыми программно-управляемыми станциями. Система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оптимизирована для работы по цифровым каналам со скоростью 64 кбит/с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позволяет управлять процессом соединения, а также передавать информацию техобслуживания и эксплуатации. Кроме того, ее можно применять в качестве надежной транспортной системы для передачи других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информации между станциями и специализированными центрами в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сетях </w:t>
      </w:r>
      <w:proofErr w:type="gram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.</w:t>
      </w:r>
      <w:proofErr w:type="gram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SS №7 использует метод передачи сигнальной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 по специальному каналу, общему для одного или нескольких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пучков информационных каналов. Сигнальная информация должна передаваться в правильной последовательности, без потерь, при этом могут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задействованы и наземные и спутниковые каналы. Сеть SS №7 является обязательным условием создания сети стандарта GSM.</w:t>
      </w:r>
    </w:p>
    <w:p w14:paraId="608341D5" w14:textId="15B1A214" w:rsidR="001610B9" w:rsidRPr="001610B9" w:rsidRDefault="001610B9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ЦКПС - MSC обслуживает группу сот и обеспечивает все виды соединений, в которых нуждается в процессе работы ПС. MSC аналогичен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ISDN коммутационной станции и представляет собой интерфейс между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фиксированными сетями (PSTN, PDN, ISDN и т.д.) и сетью подвижной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связи. Он обеспечивает маршрутизацию вызовов и функции управления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вызовами. Кроме выполнения функций обычной ISDN коммутационной</w:t>
      </w:r>
    </w:p>
    <w:p w14:paraId="268171E1" w14:textId="77777777" w:rsidR="001610B9" w:rsidRPr="001610B9" w:rsidRDefault="001610B9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станции, на MSC возлагаются функции коммутации радиоканалов. К ним</w:t>
      </w:r>
    </w:p>
    <w:p w14:paraId="0EFD4F6A" w14:textId="77777777" w:rsidR="001610B9" w:rsidRPr="00862E5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 эстафетная передача, в процессе которой достигается непре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рывность связи при перемещении ПС </w:t>
      </w:r>
      <w:proofErr w:type="gramStart"/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соты</w:t>
      </w:r>
      <w:proofErr w:type="gramEnd"/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соту</w:t>
      </w:r>
      <w:proofErr w:type="spellEnd"/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переключение ра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бочих каналов в соте при появлении помех или неисправностях.</w:t>
      </w:r>
    </w:p>
    <w:p w14:paraId="19A70E05" w14:textId="5448AA96" w:rsidR="001610B9" w:rsidRPr="00862E5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MSC обеспечивает обслуживание подвижных абонентов,</w:t>
      </w:r>
      <w:r w:rsidR="004E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расположенных в пределах определенной географической зоны (например, Москва и область). MSC управляет процедурами установления вызова и маршрутизации. Для телефонной сети общего пользования (PSTN)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MSC обеспечивает функции сигнализации по протоколу SS №7, передачи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вызова или другие виды интерфейсов в соответствии с требованиями конкретного проекта.</w:t>
      </w:r>
    </w:p>
    <w:p w14:paraId="415C5A8A" w14:textId="77777777" w:rsidR="001610B9" w:rsidRPr="00862E5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MSC формирует данные, необходимые для выписки счетов за предоставленные сетью услуги связи, накапливает данные по состоявшимся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разговорам и передает их в центр расчетов (биллинг-центр). MSC составляет также статистические данные, необходимые для контроля работы и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 сети.</w:t>
      </w:r>
    </w:p>
    <w:p w14:paraId="2F0D16CD" w14:textId="77777777" w:rsidR="001610B9" w:rsidRPr="00862E5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MSC поддерживает также процедуры безопасности, применяемые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управления доступами к радиоканалам.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1305DA7" w14:textId="77777777" w:rsidR="001610B9" w:rsidRPr="00862E5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MSC не только участвует в управлении вызовами, но также управляет процедурами регистрации местоположения и передачи управления,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роме передачи управления в подсистеме базовых станций (BSS). Регистрация местоположения подвижных станций необходима для обеспечения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доставки вызова перемещающимся подвижным абонентам от абонентов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телефонной сети общего пользования (</w:t>
      </w:r>
      <w:proofErr w:type="spellStart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ТфОП</w:t>
      </w:r>
      <w:proofErr w:type="spellEnd"/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других подвижных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абонентов. Процедура передачи вызова позволяет сохранять соединения и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 ведение разговора, когда подвижная станция перемещается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одной зоны обслуживания в другую. Передача вызовов в сотах, управляемых одним контроллером базовых станций (BSC), осуществляется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 BSC. Когда передача вызовов осуществляется между двумя сетями,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управляемыми разными BSC, то первичное управление осуществляется в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MSC. В стандарте GSM также предусмотрены процедуры передачи вызова между сетями (контроллерами), относящимися к разным MSC. ЦКПС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постоянное слежение за подвижными станциями, используя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положения (HLR) и перемещения (VLR). В HLR хранится та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 информации о местоположении какой-либо ПС, которая позволяет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ЦКПС доставить вызов станции. Регистр HLR содержит международный</w:t>
      </w:r>
      <w:r w:rsidRPr="00862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идентификационный номер подвижного абонента (IMSI). Он используется для опознавания ПС в центре аутентификации (AUC) (таблица 1, рисунок 1).</w:t>
      </w:r>
    </w:p>
    <w:p w14:paraId="052A5609" w14:textId="0E0AF2B4" w:rsidR="001610B9" w:rsidRPr="001610B9" w:rsidRDefault="001610B9" w:rsidP="001610B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0B9">
        <w:rPr>
          <w:rFonts w:ascii="Times New Roman" w:eastAsia="Times New Roman" w:hAnsi="Times New Roman" w:cs="Times New Roman"/>
          <w:sz w:val="28"/>
          <w:szCs w:val="28"/>
          <w:lang w:eastAsia="ru-RU"/>
        </w:rPr>
        <w:t>VLR содержит такие же данные, как и HLR, однако эти данные содержатся в VLR только до тех пор, пока абонент находится в зоне, контролируемой VLR.</w:t>
      </w:r>
    </w:p>
    <w:p w14:paraId="4EFA94FC" w14:textId="735D4A39" w:rsidR="001610B9" w:rsidRDefault="00FD3551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 HLR представляет собой справочную базу данных о постоянно прописанных в сети абонентах. В ней содержатся опознавательные номера и адреса, а также параметры подлинности абонентов, состав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 связи, специальная информация о маршрутизации. Ведется регистрация данных о роуминге (блуждании) абонента, включая данные о временном идентификационном номере подвижного абонента (TMSI) и соответствующем VLR.</w:t>
      </w:r>
    </w:p>
    <w:p w14:paraId="5CF5663D" w14:textId="77777777" w:rsidR="00596612" w:rsidRPr="001610B9" w:rsidRDefault="00596612" w:rsidP="001610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C3FFC" w14:textId="411FFFE9" w:rsidR="001610B9" w:rsidRPr="00596612" w:rsidRDefault="00FD3551" w:rsidP="00FD355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Состав долговременных данных, хранящихся в HLR и VLR</w:t>
      </w:r>
    </w:p>
    <w:p w14:paraId="03A95534" w14:textId="546D2C44" w:rsidR="00FD3551" w:rsidRDefault="00FD3551" w:rsidP="00FD3551">
      <w:pPr>
        <w:shd w:val="clear" w:color="auto" w:fill="FFFFFF"/>
        <w:jc w:val="center"/>
        <w:rPr>
          <w:rFonts w:eastAsia="Times New Roman" w:cs="Times New Roman"/>
          <w:color w:val="1A1A1A"/>
          <w:sz w:val="23"/>
          <w:szCs w:val="23"/>
          <w:lang w:eastAsia="ru-RU"/>
        </w:rPr>
      </w:pPr>
      <w:r w:rsidRPr="00FD3551">
        <w:rPr>
          <w:rFonts w:eastAsia="Times New Roman" w:cs="Times New Roman"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7965E20E" wp14:editId="549E353C">
            <wp:extent cx="4667901" cy="380100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28AA" w14:textId="2AB1B5C4" w:rsidR="00FD3551" w:rsidRPr="00FD3551" w:rsidRDefault="00FD3551" w:rsidP="00FD3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данным, содержащимся в HLR, имеют дистанционный доступ все</w:t>
      </w:r>
      <w:r w:rsidR="00EE0735"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MSC и VLR сети и, если в сети имеются несколько HLR, в базе данных</w:t>
      </w:r>
      <w:r w:rsidR="00EE0735"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содержится только одна запись об абоненте, поэтому каждый HLR представляет собой определенную часть общей базы данных сети об абонентах. Доступ к базе данных об абонентах осуществляется по номеру IMSI</w:t>
      </w:r>
      <w:r w:rsidR="00EE0735"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355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MSISDN (номеру подвижного абонента в сети ISDN). К базе данных</w:t>
      </w:r>
    </w:p>
    <w:p w14:paraId="65C4D7D0" w14:textId="77777777" w:rsidR="00EE0735" w:rsidRPr="00596612" w:rsidRDefault="00EE0735" w:rsidP="00EE0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получить доступ MSC или VLR, относящиеся к другим сетям, в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 обеспечения межсетевого роуминга абонентов.</w:t>
      </w:r>
    </w:p>
    <w:p w14:paraId="7B481500" w14:textId="5C2B028F" w:rsidR="00FD3551" w:rsidRPr="001610B9" w:rsidRDefault="00EE0735" w:rsidP="00EE0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Второе основное устройство, обеспечивающее контроль за передвижением ПС из зоны в зону, — регистр перемещения VLR. С его помощью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достигается функционирование ПС за пределами зоны, контролируемой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HLR. Когда в процессе перемещения подвижная станция переходит из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зоны действия одного контроллера базовой станции BSC, объединяющего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группу базовых станций, в зону действия другого BSC, она регистрируется новым BSC, и в VLR заносится информация о номере области связи,</w:t>
      </w:r>
      <w:r w:rsidR="0078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обеспечит доставку вызовов ПС. Для сохранности данных, находящихся в HLR и VLR, в случае</w:t>
      </w:r>
      <w:r w:rsidRPr="005966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073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 этих регистров.</w:t>
      </w:r>
      <w:r w:rsidR="0078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1F5A86" w14:textId="3C3D20C7" w:rsidR="00D740F8" w:rsidRDefault="0078237A" w:rsidP="007823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37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F124F2C" wp14:editId="6C741456">
            <wp:extent cx="4601217" cy="4267796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3DC0" w14:textId="35584472" w:rsidR="0078237A" w:rsidRPr="00D740F8" w:rsidRDefault="0078237A" w:rsidP="007823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37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Состав временных данных, хранящихся в HLR и VLR</w:t>
      </w:r>
    </w:p>
    <w:p w14:paraId="2E8CC157" w14:textId="77777777" w:rsidR="0078237A" w:rsidRDefault="0078237A" w:rsidP="0078237A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6DFE00B" w14:textId="592A1423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сети подвижной связи GSM соты группируются в географические зоны (LA), которым присваивается свой идентификационный номер (LAC). Каждый VLR содержит данные об абонентах в нескольких LA. Когда подвижный абонент перемещается из одной LA в другую, данные о его местоположении автоматически обновляются в VLR. Если старая и</w:t>
      </w:r>
    </w:p>
    <w:p w14:paraId="3A269E17" w14:textId="33911380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LA находятся под управлением различных VLR, то данные на старом VLR стираются после их копирования в новый VLR. Текущий адрес VLR абонента, содержащийся в HLR, также обновляется.</w:t>
      </w:r>
    </w:p>
    <w:p w14:paraId="33C422DB" w14:textId="4A8D17E4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VLR обеспечивает также присвоение номера «блуждающей» ПС (MSRN). Когда подвижная станция принимает входящий вызов, VLR выбирает его MSRN и передает его на MSC, который осуществляет маршрутизацию этого вызова к БС, находящимся рядом с подвижным абонентом.</w:t>
      </w:r>
    </w:p>
    <w:p w14:paraId="2903404E" w14:textId="78BB69CB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VLR также распределяет номера передачи управления при передаче соединений от одного MSC к другому. Кроме того, VLR управляет распределением новых TMSI и передает их в HLR. Он также управляет процедурами установления подлинности во время обработки вызова. По решению оператора TMSI может периодически изменяться для усложнения процедуры идентификации абонентов. Доступ к базе данных VLR может</w:t>
      </w:r>
    </w:p>
    <w:p w14:paraId="14002334" w14:textId="5C97BDB9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обеспечиваться через IMSI, TMSI или MSRN. В целом VLR представляет собой локальную базу данных о подвижном абоненте для той зоны, где находится абонент, что позволяет исключить постоянные запросы в HLR и сократить время на обслуживание вызовов.</w:t>
      </w:r>
    </w:p>
    <w:p w14:paraId="27F64AA5" w14:textId="639FAA74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BSS - оборудование базовой станции, состоит из контроллера базовой станции (BSC) и приемо-передающих базовых станций (BTS). Контроллер базовой станции может управлять несколькими приемо-передающими блоками. BSS управляет распределением радиоканалов, контролирует соединения, регулирует их очередность, обеспечивает режим работы с прыгающей частотой, модуляцию и демодуляцию сигналов, кодирование и декодирование сообщений, кодирование речи, адаптацию скорости передачи для речи, данных и вызова, определяет очередность передачи сообщений персонального вызова.</w:t>
      </w:r>
    </w:p>
    <w:p w14:paraId="71DE31CC" w14:textId="7C89776C" w:rsidR="0078237A" w:rsidRPr="00086321" w:rsidRDefault="0078237A" w:rsidP="00782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BSS совместно с MSC, HLR, VLR выполняет некоторые функции, например: освобождение канала, главным образом, под контролем MSC, но MSC может запросить базовую станцию обеспечить освобождение канала, если вызов не проходит из-за радиопомех. BSS и MSC совместно осуществляют приоритетную передачу информации для некоторых категорий подвижных станций.</w:t>
      </w:r>
    </w:p>
    <w:p w14:paraId="2F1EC8B5" w14:textId="77777777" w:rsidR="00DC706D" w:rsidRPr="00086321" w:rsidRDefault="0078237A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MS - подвижная станция (ПС), состоит из оборудования, которое</w:t>
      </w:r>
      <w:r w:rsidR="00DC706D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 для</w:t>
      </w:r>
      <w:r w:rsidR="00DC706D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доступа абонентов сетей GSM к существующим</w:t>
      </w:r>
      <w:r w:rsidR="00DC706D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фиксированным сетям электросвязи. В рамках стандарта GSM приняты</w:t>
      </w:r>
      <w:r w:rsidR="00DC706D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пять классов подвижных станций от модели 1-го класса с выходной мощностью 20 Вт, устанавливаемой на транспортном средстве, до портативной модели 5-го класса, максимальной мощностью 0,8 Вт. При передаче сообщений предусматривается адаптивная регулировка мощности передатчика, обеспечивающая требуемое качество связи.</w:t>
      </w:r>
    </w:p>
    <w:p w14:paraId="63618DA0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Подвижный абонент и станция независимы друг от друга. Как уже отмечалось, каждый абонент имеет свой международный идентификационный номер (IMSI), записанный на его интеллектуальную карточку. Такой подход позволяет устанавливать радиотелефоны, например, в такси и автомобилях, сдаваемых на прокат. Каждой ПС также присваивается свой международный идентификационный номер (IMEI). Этот номер используется для предотвращения доступа к сетям GSM похищенной станции или станции без полномочий.</w:t>
      </w:r>
    </w:p>
    <w:p w14:paraId="715FD226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EIR- регистр идентификации оборудования, содержит централизованную базу данных для подтверждения подлинности международного идентификационного номера оборудования ПС (IМЕI). Эта база данных относится исключительно к оборудованию ПС. База данных EIR состоит из списков номеров IМЕI, организованных следующим образом:</w:t>
      </w:r>
    </w:p>
    <w:p w14:paraId="3C56F210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БЕЛЫЙ СПИСОК - содержит номера IМЕI, о которых есть сведения, что они закреплены за санкционированными подвижными станциями.</w:t>
      </w:r>
    </w:p>
    <w:p w14:paraId="5603183A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ЧЕРНЫЙ СПИСОК - содержит номера IМЕI подвижных станций, которые украдены или которым отказано в обслуживании по другой причине.</w:t>
      </w:r>
    </w:p>
    <w:p w14:paraId="0A77D64A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СЕРЫЙ СПИСОК - содержит номера IМЕI ПС, у которых существуют проблемы, выявленные по данным программного обеспечения, что не является основанием для внесения в «черный список».</w:t>
      </w:r>
    </w:p>
    <w:p w14:paraId="5961107C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К базе данных EIR получают дистанционный доступ MSC данной сети, а также MSC других подвижных сетей.</w:t>
      </w:r>
    </w:p>
    <w:p w14:paraId="6508A17B" w14:textId="77777777" w:rsidR="00DC706D" w:rsidRPr="00086321" w:rsidRDefault="00DC706D" w:rsidP="00DC70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в случае с HLR, сеть может иметь более одного EIR, при этом каждый EIR управляет определенными группами IМЕI. В состав MSC входит транслятор, который при получении номера IМЕI возвращает адрес EIR, управляющий соответствующей частью базы данных об оборудовании.</w:t>
      </w:r>
    </w:p>
    <w:p w14:paraId="27C7F71B" w14:textId="67E80A6B" w:rsidR="001A4B72" w:rsidRPr="00086321" w:rsidRDefault="00DC706D" w:rsidP="001A4B72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исключения несанкционированного использования ресурсов системы связи вводятся механизмы аутентификации - удостоверения подлинности абонента. Центр аутентификации состоит из нескольких блоков и формирует ключи и алгоритмы аутентификации. С его помощью проверяются полномочия абонента и осуществляется его доступ к сети связи. АUС принимает решения о параметрах процесса аутентификации и определяет ключи шифрования абонентских станций на основе базы данных, </w:t>
      </w:r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сосредоточенной в регистре идентификации оборудования </w:t>
      </w:r>
      <w:proofErr w:type="spellStart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proofErr w:type="spellEnd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Identification</w:t>
      </w:r>
      <w:proofErr w:type="spellEnd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</w:t>
      </w:r>
      <w:proofErr w:type="spellEnd"/>
      <w:r w:rsidR="001A4B72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A9699B" w14:textId="77777777" w:rsidR="00D237AC" w:rsidRPr="00086321" w:rsidRDefault="001A4B72" w:rsidP="001A4B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подвижный абонент на время пользования системой связи</w:t>
      </w:r>
      <w:r w:rsidR="00D237AC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стандартный модуль подлинности абонента (SIM), который содержит, международный идентификационный номер (IMSI), свой индивидуальный ключ аутентификации (</w:t>
      </w:r>
      <w:proofErr w:type="spellStart"/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Ki</w:t>
      </w:r>
      <w:proofErr w:type="spellEnd"/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), алгоритм аутентификации (А3).</w:t>
      </w:r>
    </w:p>
    <w:p w14:paraId="0F869ACB" w14:textId="77777777" w:rsidR="00D237AC" w:rsidRPr="00086321" w:rsidRDefault="001A4B72" w:rsidP="001A4B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заложенной в SIM информации в результате взаимного</w:t>
      </w:r>
      <w:r w:rsidR="00D237AC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обмена данными между подвижной станцией и сетью осуществляется</w:t>
      </w:r>
      <w:r w:rsidR="00D237AC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 цикл аутентификации и разрешается доступ абонента к сети.</w:t>
      </w:r>
    </w:p>
    <w:p w14:paraId="7A05A711" w14:textId="1A58BC8D" w:rsidR="001A4B72" w:rsidRPr="00086321" w:rsidRDefault="001A4B72" w:rsidP="001A4B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Процедура проверки сетью подлинности</w:t>
      </w:r>
      <w:r w:rsidR="00D237AC"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реализуется сле</w:t>
      </w: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дующим образом (рисунок 2).</w:t>
      </w:r>
    </w:p>
    <w:p w14:paraId="4858FB80" w14:textId="59A7CC8E" w:rsidR="00DC706D" w:rsidRPr="00086321" w:rsidRDefault="001A1862" w:rsidP="001A186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D9C1859" wp14:editId="285ED896">
            <wp:extent cx="4515480" cy="229584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4A2A" w14:textId="5D8B6291" w:rsidR="001A1862" w:rsidRDefault="004E53F6" w:rsidP="001A1862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32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Принцип аутентификации</w:t>
      </w:r>
    </w:p>
    <w:p w14:paraId="5CC7C02A" w14:textId="237CA75F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Сеть передает случайный номер (RAND) на ПС. На ней с помощью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Ki</w:t>
      </w:r>
      <w:proofErr w:type="spellEnd"/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 аутентификации A3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B"/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ляется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5D"/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начение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отклика (SRES): SRES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3D"/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Ki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RAND</w:t>
      </w:r>
    </w:p>
    <w:p w14:paraId="302622C6" w14:textId="53011D49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ПС посылает вычисленное значение SRES в сеть, которая сверяет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принятого SRES со значением SRES, вычисленным сетью. Если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значения совпадают, ПС приступает к передаче сообщений. В противном случае связь прерывается, и индикатор ПС показывает, что опознавание не состоялось. Для обеспечения секретности вычисление SRES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 в рамках SIM.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Несекретная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(например, K) не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подвергается обработке в модуле</w:t>
      </w:r>
    </w:p>
    <w:p w14:paraId="4210D295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SIM.</w:t>
      </w:r>
    </w:p>
    <w:p w14:paraId="404A2AD5" w14:textId="1EB1BA41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IWF - межсетевой функциональный стык, является одной из составных частей MSC. Он обеспечивает абонентам доступ к средствам преобразования протокола и скорости передачи данных так, чтобы можно было</w:t>
      </w:r>
      <w:r w:rsidRP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передавать их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его терминальным оборудованием (DIE) сети GSM и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обычным терминальным оборудованием фиксированной сети. Межсетевой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функциональный стык также «выделяет» модем из своего банка оборудования для сопряжения с соответствующим модемом фиксированной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сети. IWF также обеспечивает интерфейсы типа прямого соединения для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оборудования, поставляемого клиентам, например, для пакетной передачи</w:t>
      </w:r>
      <w:r w:rsidR="00BC6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PAD по протоколу Х.25.</w:t>
      </w:r>
    </w:p>
    <w:p w14:paraId="785A000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 -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эхоподавитель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используется в MSC со стороны PSTN для всех</w:t>
      </w:r>
    </w:p>
    <w:p w14:paraId="2FBFCD6F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телефонных каналов (независимо от их протяженности) из-за физических</w:t>
      </w:r>
    </w:p>
    <w:p w14:paraId="6C38DA7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задержек в трактах распространения, включая радиоканал, сетей GSM.</w:t>
      </w:r>
    </w:p>
    <w:p w14:paraId="5C22CBF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Типовой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эхоподавитель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обеспечивать подавление в интервале 68</w:t>
      </w:r>
    </w:p>
    <w:p w14:paraId="3DF7CBE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миллисекунд на участке между выходом ЕС и телефоном фиксированной</w:t>
      </w:r>
    </w:p>
    <w:p w14:paraId="66570CF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телефонной сети. Общая задержка в канале GSM при распространении в</w:t>
      </w:r>
    </w:p>
    <w:p w14:paraId="4C444D0A" w14:textId="4DFF8CEE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прямом и обратном направлениях, вызванная обработкой сигнала, кодированием/декодированием речи, канальным кодированием и т.д., составляет около 180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Эта задержка была бы незаметна подвижному абоненту, если бы в телефонный канал не был включен гибридный трансформа-</w:t>
      </w:r>
    </w:p>
    <w:p w14:paraId="734C541E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 с преобразованием тракта с двухпроводного на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четырехпроводный</w:t>
      </w:r>
      <w:proofErr w:type="spellEnd"/>
    </w:p>
    <w:p w14:paraId="5243FAC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режим, установка которого необходима в MSC. так как стандартное со-</w:t>
      </w:r>
    </w:p>
    <w:p w14:paraId="14F8BC7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единение с PSTN является двухпроводным. При соединении двух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абонен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2563446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фиксированной сети эхо-сигналы отсутствуют. Без включения ЕС за-</w:t>
      </w:r>
    </w:p>
    <w:p w14:paraId="6C44D499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держка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распространения сигналов в тракте GSM будет вызывать раз-</w:t>
      </w:r>
    </w:p>
    <w:p w14:paraId="279CEAF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дражение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абонентов, прерывать речь и отвлекать внимание.</w:t>
      </w:r>
    </w:p>
    <w:p w14:paraId="49EEE97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 - центр эксплуатации и технического обслуживания, является</w:t>
      </w:r>
    </w:p>
    <w:p w14:paraId="6D7F24A3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центральным элементом сети GSM, который обеспечивает контроль и</w:t>
      </w:r>
    </w:p>
    <w:p w14:paraId="41AD7A13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другими компонентами сети и контроль качества ее работы.</w:t>
      </w:r>
    </w:p>
    <w:p w14:paraId="3731044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 соединяется с другими компонентами сети GSM по каналам пакет-</w:t>
      </w:r>
    </w:p>
    <w:p w14:paraId="6E7E7F7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ной передачи протокола Х.25. OМС обеспечивает функции обработки</w:t>
      </w:r>
    </w:p>
    <w:p w14:paraId="05ED10B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аварийных сигналов, предназначенных для оповещения обслуживающего</w:t>
      </w:r>
    </w:p>
    <w:p w14:paraId="72A6E22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персонала, и регистрирует сведения об аварийных ситуациях в других</w:t>
      </w:r>
    </w:p>
    <w:p w14:paraId="073F737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компонентах </w:t>
      </w:r>
      <w:proofErr w:type="gram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В</w:t>
      </w:r>
      <w:proofErr w:type="gram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зависимости от характера неисправности ОМС по-</w:t>
      </w:r>
    </w:p>
    <w:p w14:paraId="283DB982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зволяет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обеспечить ее устранение автоматически или при активном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63026DD1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шательстве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персонала. ОМС может обеспечить проверку состояния обо-</w:t>
      </w:r>
    </w:p>
    <w:p w14:paraId="6F3BD09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рудования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и прохождения вызова ПС. ОМС позволяет производить</w:t>
      </w:r>
    </w:p>
    <w:p w14:paraId="64BE9071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нагрузкой в сети. Функция эффективного управления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DB8197C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статистических данных о нагрузке от компонентов сети GSM, за-</w:t>
      </w:r>
    </w:p>
    <w:p w14:paraId="1AB6B37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писи их в дисковые файлы и вывод на дисплей для визуального анализа.</w:t>
      </w:r>
    </w:p>
    <w:p w14:paraId="6E0FBB2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ОМС обеспечивает управление изменениями программного обеспечения</w:t>
      </w:r>
    </w:p>
    <w:p w14:paraId="6C8C196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и базами данных о конфигурации элементов сети. Загрузка программного</w:t>
      </w:r>
    </w:p>
    <w:p w14:paraId="55B7EBB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 в память может производиться из ОМС в другие элементы</w:t>
      </w:r>
    </w:p>
    <w:p w14:paraId="0BDAE78F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или из них в ОМС.</w:t>
      </w:r>
    </w:p>
    <w:p w14:paraId="2C461C10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NMC - центр управления сетью, позволяет обеспечивать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рациональ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18AF4C69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иерархическое управление сетью GSM. Он обеспечивает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18130D45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цию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техническое обслуживание на уровне всей сети, поддерживаемой</w:t>
      </w:r>
    </w:p>
    <w:p w14:paraId="2DF0E19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центрами ОМС, которые отвечают за управление региональными сетями.</w:t>
      </w:r>
    </w:p>
    <w:p w14:paraId="0D0B2950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NMC обеспечивает управление графиком во всей сети и обеспечивает</w:t>
      </w:r>
    </w:p>
    <w:p w14:paraId="003C922C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диспетчерское управление сетью при сложных аварийных ситуациях, как</w:t>
      </w:r>
    </w:p>
    <w:p w14:paraId="2EC046A0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выход из строя или перегрузка узлов. Кроме того, он контроли-</w:t>
      </w:r>
    </w:p>
    <w:p w14:paraId="21623B2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рует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состояние устройств автоматического управления, задействованных</w:t>
      </w:r>
    </w:p>
    <w:p w14:paraId="5083EC8E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оборудовании сети, и отражает на дисплее состояние сети для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016F5E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 NMC. Это позволяет операторам контролировать региональные про-</w:t>
      </w:r>
    </w:p>
    <w:p w14:paraId="3BE565F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блемы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при необходимости, оказывать помощь ОМС, ответственному за</w:t>
      </w:r>
    </w:p>
    <w:p w14:paraId="6A8622C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конкретный регион. Таким образом, персонал NMC знает состояние всей</w:t>
      </w:r>
    </w:p>
    <w:p w14:paraId="36F108E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 и может дать указание персоналу ОМС изменить стратегию решения</w:t>
      </w:r>
    </w:p>
    <w:p w14:paraId="57EF733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региональной проблемы.</w:t>
      </w:r>
    </w:p>
    <w:p w14:paraId="1824C58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NMC концентрирует внимание на маршрутах сигнализации и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55BA81C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нениях между узлами с тем, чтобы не допускать условий для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6F111F1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перегрузки в сети. Контролируются также маршруты соединений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ме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EE3460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жду сетью GSM и PSTN во избежание распространении условий пере-</w:t>
      </w:r>
    </w:p>
    <w:p w14:paraId="7002075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грузки между сетями. При этом персонал NMC координирует вопросы</w:t>
      </w:r>
    </w:p>
    <w:p w14:paraId="18E10A4C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сетью с персоналом других NMC. NMC обеспечивает также</w:t>
      </w:r>
    </w:p>
    <w:p w14:paraId="0C54D02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управления графиком для сетевого оборудования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2CC2AAD5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базовых станций (BSS). Операторы NMC в экстремальных ситуациях</w:t>
      </w:r>
    </w:p>
    <w:p w14:paraId="43208379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задействовать такие процедуры управления, как «приоритетный</w:t>
      </w:r>
    </w:p>
    <w:p w14:paraId="5160877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доступ», когда только абоненты с высоким приоритетом (экстренные</w:t>
      </w:r>
    </w:p>
    <w:p w14:paraId="7F3A614E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службы) могут получить доступ к системе.</w:t>
      </w:r>
    </w:p>
    <w:p w14:paraId="7DB3F58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NMC может брать на себя ответственность в каком-либо регионе, ко-</w:t>
      </w:r>
    </w:p>
    <w:p w14:paraId="7BE02B1D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гда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местный ОМС является необслуживаемым, при этом ОМС действует в</w:t>
      </w:r>
    </w:p>
    <w:p w14:paraId="61E2F25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 транзитного пункта между NMC и оборудованием сети. NMC</w:t>
      </w:r>
    </w:p>
    <w:p w14:paraId="5A77E8B8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операторов функциями, аналогичными функциям ОМС.</w:t>
      </w:r>
    </w:p>
    <w:p w14:paraId="4527B103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NMC является также важным инструментом планирования сети, так</w:t>
      </w:r>
    </w:p>
    <w:p w14:paraId="1EBE959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NMC контролирует сеть и ее работу на сетевом уровне, а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107D58A3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обеспечивает планировщиков сети данными, определяющими ее</w:t>
      </w:r>
    </w:p>
    <w:p w14:paraId="33BE2115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оптимальное развитие.</w:t>
      </w:r>
    </w:p>
    <w:p w14:paraId="2008017E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ТСЕ - транскодер, обеспечивает преобразование выходных сигналов</w:t>
      </w:r>
    </w:p>
    <w:p w14:paraId="6E2DF099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канала передачи речи и данных MSC (64 кбит/с ИКМ) к виду,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37415C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вующему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рекомендациям GSM по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радиоинтерфейсу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Рек.GSM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04.08). В</w:t>
      </w:r>
    </w:p>
    <w:p w14:paraId="4773E78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соответствии с этими требованиями скорость передачи речи, представ-</w:t>
      </w:r>
    </w:p>
    <w:p w14:paraId="4486127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ленной в цифровой форме, составляет 13 кбит/с. Этот канал передачи</w:t>
      </w:r>
    </w:p>
    <w:p w14:paraId="667F32B3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цифровых речевых сигналов называется «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полноскоростным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». Стандартом</w:t>
      </w:r>
    </w:p>
    <w:p w14:paraId="38C8E43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предусматривается в перспективе использование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полускоростного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363B5EC3" w14:textId="0D097FE5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вого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канала (скорость передачи 6,5 кбит/с).</w:t>
      </w:r>
    </w:p>
    <w:p w14:paraId="7EE40791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Снижение скорости передачи обеспечивается применением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0D0351DF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ального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речепреобразующего устройства, использующего линейное пре-</w:t>
      </w:r>
    </w:p>
    <w:p w14:paraId="536885C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дикативное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кодирование (LPC), долговременное предсказание (LTP), ос-</w:t>
      </w:r>
    </w:p>
    <w:p w14:paraId="6BE195E9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таточное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импульсное возбуждение (RPE - иногда называется RELP).</w:t>
      </w:r>
    </w:p>
    <w:p w14:paraId="4840EB5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Транскодер обычно располагается вместе с MSС, тогда передача</w:t>
      </w:r>
    </w:p>
    <w:p w14:paraId="7D90CDB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цифровых сообщений в направлении к контроллеру базовых станций -</w:t>
      </w:r>
    </w:p>
    <w:p w14:paraId="37306A94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BSC ведется с добавлением к потоку со скоростью передачи 13 кбит/с,</w:t>
      </w:r>
    </w:p>
    <w:p w14:paraId="577570B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дополнительных битов (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стафингование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) до скорости передачи данных 16</w:t>
      </w:r>
    </w:p>
    <w:p w14:paraId="4F727BEA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кбит/с. Затем осуществляется уплотнение с кратностью 4 в стандартный</w:t>
      </w:r>
    </w:p>
    <w:p w14:paraId="7608B2DF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 64 кбит/с. Так формируется определенная Рекомендациями GSM</w:t>
      </w:r>
    </w:p>
    <w:p w14:paraId="46C3004F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30-канальная ИКМ линия, обеспечивающая передачу 120 речевых </w:t>
      </w:r>
      <w:proofErr w:type="spellStart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</w:t>
      </w:r>
      <w:proofErr w:type="spellEnd"/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41EFB4BC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лов. Шестнадцатый канал (64 кбит/с), «временное окно», выделяется от-</w:t>
      </w:r>
    </w:p>
    <w:p w14:paraId="23F56890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дельно для передачи информации сигнализации и часто содержит график</w:t>
      </w:r>
    </w:p>
    <w:p w14:paraId="18B9351B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SS№7 или LAPD. В другом канале (64 кбит/с) могут передаваться также</w:t>
      </w:r>
    </w:p>
    <w:p w14:paraId="143709A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пакеты данных, согласующиеся с протоколом Х.25 МККТТ.</w:t>
      </w:r>
    </w:p>
    <w:p w14:paraId="1E7A1207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результирующая скорость передачи по указанному</w:t>
      </w:r>
    </w:p>
    <w:p w14:paraId="4C125F86" w14:textId="77777777" w:rsidR="00FE176D" w:rsidRPr="00FE176D" w:rsidRDefault="00FE176D" w:rsidP="00FE17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6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интерфейсу составляет 30х64 кбит/с + 64 кбит/с + 64 кбит/с = 2048 кбит/с.</w:t>
      </w:r>
    </w:p>
    <w:p w14:paraId="475149F0" w14:textId="2927DB5C" w:rsidR="00FE176D" w:rsidRDefault="00FE176D" w:rsidP="00FE176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7260B" w14:textId="215FB60E" w:rsidR="00355A33" w:rsidRDefault="00355A33" w:rsidP="004D60CD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  <w:r w:rsidR="004D60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«Исследование влияния параметров земной поверхности на энергетические показатели ССПО»</w:t>
      </w:r>
    </w:p>
    <w:p w14:paraId="6FD7F5CC" w14:textId="33A26AB5" w:rsidR="00E9364B" w:rsidRDefault="00E9364B" w:rsidP="00E936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</w:p>
    <w:p w14:paraId="2C46C2DD" w14:textId="2E4AED89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1 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</w:p>
    <w:p w14:paraId="31AE5EDE" w14:textId="77777777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2 Расчет с использованием онлайн-калькулятора геометрических</w:t>
      </w:r>
    </w:p>
    <w:p w14:paraId="097A488A" w14:textId="77777777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 зоны Френеля для трасс радиосигнала в ССПО.</w:t>
      </w:r>
    </w:p>
    <w:p w14:paraId="333D7A19" w14:textId="77777777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3 Формирование умения пользования автоматизированным онлайн-</w:t>
      </w:r>
    </w:p>
    <w:p w14:paraId="0C3224FF" w14:textId="67328772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калькулятором для расчета уровня сигнала на входе приемника при высокоподнятых антеннах с учетом влияния препятствий в соответствии с </w:t>
      </w:r>
      <w:proofErr w:type="spellStart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</w:p>
    <w:p w14:paraId="7AC1F1AC" w14:textId="77777777" w:rsidR="00E9364B" w:rsidRPr="00E9364B" w:rsidRDefault="00E9364B" w:rsidP="00E936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делью</w:t>
      </w:r>
      <w:proofErr w:type="spellEnd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E9364B">
        <w:rPr>
          <w:rFonts w:ascii="Times New Roman" w:eastAsia="Times New Roman" w:hAnsi="Times New Roman" w:cs="Times New Roman"/>
          <w:sz w:val="28"/>
          <w:szCs w:val="28"/>
          <w:lang w:eastAsia="ru-RU"/>
        </w:rPr>
        <w:t>–Хата.</w:t>
      </w:r>
    </w:p>
    <w:p w14:paraId="78E47239" w14:textId="2EAFBA59" w:rsidR="00E9364B" w:rsidRDefault="00E9364B" w:rsidP="00E936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AF4FA" w14:textId="6267D0E9" w:rsidR="00BF607C" w:rsidRDefault="00BF607C" w:rsidP="00BF607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0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D56767A" wp14:editId="390BFDFD">
            <wp:extent cx="4429743" cy="3258005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F60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расчета параметров 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607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зоны Френеля</w:t>
      </w:r>
    </w:p>
    <w:p w14:paraId="5A1DBF9B" w14:textId="67A28187" w:rsidR="00CA49D3" w:rsidRPr="00CA49D3" w:rsidRDefault="00CA49D3" w:rsidP="00CA49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виртуальной клавиши </w:t>
      </w:r>
      <w:proofErr w:type="spellStart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Figure</w:t>
      </w:r>
      <w:proofErr w:type="spellEnd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переход между моделью ССПО и результатами расчета. В нижнем поле в окнах желтого цвета вводятся исходные данные для расчета 1 – 5 (см. пояснения к рисунку 2) и частота связи </w:t>
      </w:r>
      <w:proofErr w:type="spellStart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Frequency</w:t>
      </w:r>
      <w:proofErr w:type="spellEnd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 [МГц]. Остальные параметры 6 – 12, а также серединные (</w:t>
      </w:r>
      <w:proofErr w:type="spellStart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Middle</w:t>
      </w:r>
      <w:proofErr w:type="spellEnd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параметры зоны рассчитываются при нажатии виртуальной клавиши </w:t>
      </w:r>
      <w:proofErr w:type="spellStart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Calculation</w:t>
      </w:r>
      <w:proofErr w:type="spellEnd"/>
      <w:r w:rsidRPr="00CA49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ED30C5" w14:textId="452331C2" w:rsidR="00BF607C" w:rsidRPr="00BF607C" w:rsidRDefault="00F30B96" w:rsidP="00BF60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B9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04DDC52" wp14:editId="560A1D57">
            <wp:extent cx="4372585" cy="1924319"/>
            <wp:effectExtent l="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F33C" w14:textId="42CF33D1" w:rsidR="00BF607C" w:rsidRPr="00E9364B" w:rsidRDefault="00E74986" w:rsidP="00BF607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Конвертор пересчета электрических величин</w:t>
      </w:r>
    </w:p>
    <w:p w14:paraId="0E7B0B16" w14:textId="2166AF89" w:rsidR="00BB3537" w:rsidRPr="00BB3537" w:rsidRDefault="00F1133D" w:rsidP="00032213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33D">
        <w:rPr>
          <w:rFonts w:eastAsia="Times New Roman" w:cs="Times New Roman"/>
          <w:color w:val="1A1A1A"/>
          <w:sz w:val="23"/>
          <w:szCs w:val="23"/>
          <w:lang w:eastAsia="ru-RU"/>
        </w:rPr>
        <w:lastRenderedPageBreak/>
        <w:drawing>
          <wp:inline distT="0" distB="0" distL="0" distR="0" wp14:anchorId="1B00181D" wp14:editId="6DA9DC23">
            <wp:extent cx="4353533" cy="2953162"/>
            <wp:effectExtent l="0" t="0" r="952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br/>
      </w:r>
      <w:r w:rsidRPr="00F11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расчета трасс с учетом влияния препятствий по модели </w:t>
      </w:r>
      <w:proofErr w:type="spellStart"/>
      <w:r w:rsidRPr="00F1133D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F1133D">
        <w:rPr>
          <w:rFonts w:ascii="Times New Roman" w:eastAsia="Times New Roman" w:hAnsi="Times New Roman" w:cs="Times New Roman"/>
          <w:sz w:val="28"/>
          <w:szCs w:val="28"/>
          <w:lang w:eastAsia="ru-RU"/>
        </w:rPr>
        <w:t>–Хата</w:t>
      </w:r>
    </w:p>
    <w:sectPr w:rsidR="00BB3537" w:rsidRPr="00BB3537" w:rsidSect="00C21207">
      <w:headerReference w:type="default" r:id="rId36"/>
      <w:footerReference w:type="default" r:id="rId37"/>
      <w:type w:val="continuous"/>
      <w:pgSz w:w="11906" w:h="16838" w:code="9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334A" w14:textId="77777777" w:rsidR="00D85046" w:rsidRDefault="00D85046" w:rsidP="001120C9">
      <w:pPr>
        <w:spacing w:after="0" w:line="240" w:lineRule="auto"/>
      </w:pPr>
      <w:r>
        <w:separator/>
      </w:r>
    </w:p>
  </w:endnote>
  <w:endnote w:type="continuationSeparator" w:id="0">
    <w:p w14:paraId="2B3BA6EB" w14:textId="77777777" w:rsidR="00D85046" w:rsidRDefault="00D85046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1A4B72" w:rsidRPr="003063CC" w:rsidRDefault="001A4B72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33B56" w14:textId="77777777" w:rsidR="00D85046" w:rsidRDefault="00D85046" w:rsidP="001120C9">
      <w:pPr>
        <w:spacing w:after="0" w:line="240" w:lineRule="auto"/>
      </w:pPr>
      <w:r>
        <w:separator/>
      </w:r>
    </w:p>
  </w:footnote>
  <w:footnote w:type="continuationSeparator" w:id="0">
    <w:p w14:paraId="4BAAA589" w14:textId="77777777" w:rsidR="00D85046" w:rsidRDefault="00D85046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1BC" w14:textId="77777777" w:rsidR="001A4B72" w:rsidRPr="00D26314" w:rsidRDefault="001A4B7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8974B4"/>
    <w:multiLevelType w:val="hybridMultilevel"/>
    <w:tmpl w:val="B9104FFE"/>
    <w:lvl w:ilvl="0" w:tplc="3F1C71F6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0EED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6D88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B8CC5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4254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0A012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B80CD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AE5F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286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AA3082"/>
    <w:multiLevelType w:val="hybridMultilevel"/>
    <w:tmpl w:val="5CC80196"/>
    <w:lvl w:ilvl="0" w:tplc="500C4C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B898B2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36A1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B43CF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8D8C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CEF91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E02AA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6B48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AE5CC0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5804D0"/>
    <w:multiLevelType w:val="hybridMultilevel"/>
    <w:tmpl w:val="B3B00416"/>
    <w:lvl w:ilvl="0" w:tplc="2CBA553A">
      <w:start w:val="1"/>
      <w:numFmt w:val="bullet"/>
      <w:lvlText w:val="-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80B5A">
      <w:start w:val="1"/>
      <w:numFmt w:val="bullet"/>
      <w:lvlText w:val="o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0E35BC">
      <w:start w:val="1"/>
      <w:numFmt w:val="bullet"/>
      <w:lvlText w:val="▪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267580">
      <w:start w:val="1"/>
      <w:numFmt w:val="bullet"/>
      <w:lvlText w:val="•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94DA46">
      <w:start w:val="1"/>
      <w:numFmt w:val="bullet"/>
      <w:lvlText w:val="o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665EC">
      <w:start w:val="1"/>
      <w:numFmt w:val="bullet"/>
      <w:lvlText w:val="▪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60A92A">
      <w:start w:val="1"/>
      <w:numFmt w:val="bullet"/>
      <w:lvlText w:val="•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2210E2">
      <w:start w:val="1"/>
      <w:numFmt w:val="bullet"/>
      <w:lvlText w:val="o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025E">
      <w:start w:val="1"/>
      <w:numFmt w:val="bullet"/>
      <w:lvlText w:val="▪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2054B"/>
    <w:multiLevelType w:val="multilevel"/>
    <w:tmpl w:val="682E02C0"/>
    <w:lvl w:ilvl="0">
      <w:start w:val="4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D63F44"/>
    <w:multiLevelType w:val="hybridMultilevel"/>
    <w:tmpl w:val="E11CB0DE"/>
    <w:lvl w:ilvl="0" w:tplc="1048E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063BFA"/>
    <w:multiLevelType w:val="hybridMultilevel"/>
    <w:tmpl w:val="6E84607E"/>
    <w:lvl w:ilvl="0" w:tplc="45CADCA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368DB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406B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0A4C5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E30D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E010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B4E76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8E206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63B3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464CD1"/>
    <w:multiLevelType w:val="hybridMultilevel"/>
    <w:tmpl w:val="0452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80106"/>
    <w:multiLevelType w:val="hybridMultilevel"/>
    <w:tmpl w:val="D588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20B95"/>
    <w:multiLevelType w:val="hybridMultilevel"/>
    <w:tmpl w:val="959CE8D0"/>
    <w:lvl w:ilvl="0" w:tplc="F872C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A96DE2"/>
    <w:multiLevelType w:val="hybridMultilevel"/>
    <w:tmpl w:val="A65C9490"/>
    <w:lvl w:ilvl="0" w:tplc="DAD80D00">
      <w:start w:val="1"/>
      <w:numFmt w:val="bullet"/>
      <w:lvlText w:val="-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F8C3A8">
      <w:start w:val="1"/>
      <w:numFmt w:val="bullet"/>
      <w:lvlText w:val="o"/>
      <w:lvlJc w:val="left"/>
      <w:pPr>
        <w:ind w:left="1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C84C42">
      <w:start w:val="1"/>
      <w:numFmt w:val="bullet"/>
      <w:lvlText w:val="▪"/>
      <w:lvlJc w:val="left"/>
      <w:pPr>
        <w:ind w:left="2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6814D8">
      <w:start w:val="1"/>
      <w:numFmt w:val="bullet"/>
      <w:lvlText w:val="•"/>
      <w:lvlJc w:val="left"/>
      <w:pPr>
        <w:ind w:left="3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63E64">
      <w:start w:val="1"/>
      <w:numFmt w:val="bullet"/>
      <w:lvlText w:val="o"/>
      <w:lvlJc w:val="left"/>
      <w:pPr>
        <w:ind w:left="3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C3D20">
      <w:start w:val="1"/>
      <w:numFmt w:val="bullet"/>
      <w:lvlText w:val="▪"/>
      <w:lvlJc w:val="left"/>
      <w:pPr>
        <w:ind w:left="4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90F402">
      <w:start w:val="1"/>
      <w:numFmt w:val="bullet"/>
      <w:lvlText w:val="•"/>
      <w:lvlJc w:val="left"/>
      <w:pPr>
        <w:ind w:left="5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04D66C">
      <w:start w:val="1"/>
      <w:numFmt w:val="bullet"/>
      <w:lvlText w:val="o"/>
      <w:lvlJc w:val="left"/>
      <w:pPr>
        <w:ind w:left="6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2AD8A">
      <w:start w:val="1"/>
      <w:numFmt w:val="bullet"/>
      <w:lvlText w:val="▪"/>
      <w:lvlJc w:val="left"/>
      <w:pPr>
        <w:ind w:left="6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27A95"/>
    <w:multiLevelType w:val="hybridMultilevel"/>
    <w:tmpl w:val="004CB7C6"/>
    <w:lvl w:ilvl="0" w:tplc="B4AA4E4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2E0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3824D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D2FEB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16F09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B59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6693C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64601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56560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865CE1"/>
    <w:multiLevelType w:val="hybridMultilevel"/>
    <w:tmpl w:val="3F24C724"/>
    <w:lvl w:ilvl="0" w:tplc="4CBC406A">
      <w:start w:val="1"/>
      <w:numFmt w:val="decimal"/>
      <w:lvlText w:val="%1)"/>
      <w:lvlJc w:val="left"/>
      <w:pPr>
        <w:ind w:left="105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7" w15:restartNumberingAfterBreak="0">
    <w:nsid w:val="55086D1B"/>
    <w:multiLevelType w:val="hybridMultilevel"/>
    <w:tmpl w:val="CB76F650"/>
    <w:lvl w:ilvl="0" w:tplc="0CBE2562">
      <w:start w:val="1"/>
      <w:numFmt w:val="bullet"/>
      <w:lvlText w:val="-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8E91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87C9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EBB2A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6FED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EE81B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12723E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882AC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20F6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CC5C73"/>
    <w:multiLevelType w:val="hybridMultilevel"/>
    <w:tmpl w:val="C2CC9B96"/>
    <w:lvl w:ilvl="0" w:tplc="6FD240D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4492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B4016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E8429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6F56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A68D3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BE940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DCBBE2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68C26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334222"/>
    <w:multiLevelType w:val="hybridMultilevel"/>
    <w:tmpl w:val="67023C4E"/>
    <w:lvl w:ilvl="0" w:tplc="DABE3DD0">
      <w:start w:val="4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1A7B8B"/>
    <w:multiLevelType w:val="hybridMultilevel"/>
    <w:tmpl w:val="BA446C22"/>
    <w:lvl w:ilvl="0" w:tplc="E08260A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A8F5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8501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A821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8415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A59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022E2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0E7AB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96BB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786095"/>
    <w:multiLevelType w:val="hybridMultilevel"/>
    <w:tmpl w:val="06346CCE"/>
    <w:lvl w:ilvl="0" w:tplc="A0EABC8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0298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38CCA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224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D2F61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E4A41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A357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9E181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09FA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21"/>
  </w:num>
  <w:num w:numId="6">
    <w:abstractNumId w:val="20"/>
  </w:num>
  <w:num w:numId="7">
    <w:abstractNumId w:val="7"/>
  </w:num>
  <w:num w:numId="8">
    <w:abstractNumId w:val="18"/>
  </w:num>
  <w:num w:numId="9">
    <w:abstractNumId w:val="3"/>
  </w:num>
  <w:num w:numId="10">
    <w:abstractNumId w:val="2"/>
  </w:num>
  <w:num w:numId="11">
    <w:abstractNumId w:val="15"/>
  </w:num>
  <w:num w:numId="12">
    <w:abstractNumId w:val="1"/>
  </w:num>
  <w:num w:numId="13">
    <w:abstractNumId w:val="17"/>
  </w:num>
  <w:num w:numId="14">
    <w:abstractNumId w:val="13"/>
  </w:num>
  <w:num w:numId="15">
    <w:abstractNumId w:val="19"/>
  </w:num>
  <w:num w:numId="16">
    <w:abstractNumId w:val="4"/>
  </w:num>
  <w:num w:numId="17">
    <w:abstractNumId w:val="12"/>
  </w:num>
  <w:num w:numId="18">
    <w:abstractNumId w:val="14"/>
  </w:num>
  <w:num w:numId="19">
    <w:abstractNumId w:val="10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59A3"/>
    <w:rsid w:val="00005C36"/>
    <w:rsid w:val="000077B2"/>
    <w:rsid w:val="00032213"/>
    <w:rsid w:val="0004072E"/>
    <w:rsid w:val="00046FA2"/>
    <w:rsid w:val="00055474"/>
    <w:rsid w:val="00071392"/>
    <w:rsid w:val="00086321"/>
    <w:rsid w:val="0008763C"/>
    <w:rsid w:val="00087C78"/>
    <w:rsid w:val="000A335C"/>
    <w:rsid w:val="000A3AD2"/>
    <w:rsid w:val="000A4B09"/>
    <w:rsid w:val="000C0711"/>
    <w:rsid w:val="000C2F65"/>
    <w:rsid w:val="000D63A9"/>
    <w:rsid w:val="000E312A"/>
    <w:rsid w:val="000E4337"/>
    <w:rsid w:val="000E4C58"/>
    <w:rsid w:val="000E4FBF"/>
    <w:rsid w:val="000F183C"/>
    <w:rsid w:val="000F2B01"/>
    <w:rsid w:val="000F3316"/>
    <w:rsid w:val="000F4EE9"/>
    <w:rsid w:val="00102127"/>
    <w:rsid w:val="001026F2"/>
    <w:rsid w:val="001060C0"/>
    <w:rsid w:val="00111288"/>
    <w:rsid w:val="001120C9"/>
    <w:rsid w:val="00123007"/>
    <w:rsid w:val="00134543"/>
    <w:rsid w:val="001354DE"/>
    <w:rsid w:val="00146E59"/>
    <w:rsid w:val="00152836"/>
    <w:rsid w:val="0016083B"/>
    <w:rsid w:val="001610B9"/>
    <w:rsid w:val="00161657"/>
    <w:rsid w:val="00163084"/>
    <w:rsid w:val="00164557"/>
    <w:rsid w:val="00171B19"/>
    <w:rsid w:val="0019363C"/>
    <w:rsid w:val="00195DFE"/>
    <w:rsid w:val="001975D8"/>
    <w:rsid w:val="00197A12"/>
    <w:rsid w:val="001A1862"/>
    <w:rsid w:val="001A4B72"/>
    <w:rsid w:val="001B1C5A"/>
    <w:rsid w:val="001B1DD3"/>
    <w:rsid w:val="001B41D3"/>
    <w:rsid w:val="001C4355"/>
    <w:rsid w:val="001C68FE"/>
    <w:rsid w:val="001D2548"/>
    <w:rsid w:val="001D6118"/>
    <w:rsid w:val="001D7366"/>
    <w:rsid w:val="001E2C7D"/>
    <w:rsid w:val="001E3AEF"/>
    <w:rsid w:val="001F5C2A"/>
    <w:rsid w:val="002027B5"/>
    <w:rsid w:val="00202881"/>
    <w:rsid w:val="002120D7"/>
    <w:rsid w:val="0022009D"/>
    <w:rsid w:val="002225D4"/>
    <w:rsid w:val="00232872"/>
    <w:rsid w:val="002374C2"/>
    <w:rsid w:val="002443DC"/>
    <w:rsid w:val="0024589F"/>
    <w:rsid w:val="00245FDF"/>
    <w:rsid w:val="00247A85"/>
    <w:rsid w:val="00250789"/>
    <w:rsid w:val="00252714"/>
    <w:rsid w:val="00255082"/>
    <w:rsid w:val="00263328"/>
    <w:rsid w:val="00263D98"/>
    <w:rsid w:val="00266DF2"/>
    <w:rsid w:val="00267BE3"/>
    <w:rsid w:val="0027721A"/>
    <w:rsid w:val="00282051"/>
    <w:rsid w:val="002851CC"/>
    <w:rsid w:val="0028694C"/>
    <w:rsid w:val="002A3643"/>
    <w:rsid w:val="002B4545"/>
    <w:rsid w:val="002D470C"/>
    <w:rsid w:val="002E506B"/>
    <w:rsid w:val="002F2889"/>
    <w:rsid w:val="003003ED"/>
    <w:rsid w:val="003063CC"/>
    <w:rsid w:val="00314A15"/>
    <w:rsid w:val="003219CC"/>
    <w:rsid w:val="00321CF3"/>
    <w:rsid w:val="00326D03"/>
    <w:rsid w:val="0033528A"/>
    <w:rsid w:val="003364F5"/>
    <w:rsid w:val="00342B1F"/>
    <w:rsid w:val="00347A45"/>
    <w:rsid w:val="00353812"/>
    <w:rsid w:val="00355A33"/>
    <w:rsid w:val="00362349"/>
    <w:rsid w:val="00364285"/>
    <w:rsid w:val="003750C0"/>
    <w:rsid w:val="0037607B"/>
    <w:rsid w:val="003772BC"/>
    <w:rsid w:val="00382B45"/>
    <w:rsid w:val="00383ED9"/>
    <w:rsid w:val="00385229"/>
    <w:rsid w:val="0038651C"/>
    <w:rsid w:val="00390982"/>
    <w:rsid w:val="00396234"/>
    <w:rsid w:val="00397277"/>
    <w:rsid w:val="003A76D0"/>
    <w:rsid w:val="003C2DE2"/>
    <w:rsid w:val="003C4F97"/>
    <w:rsid w:val="003C5390"/>
    <w:rsid w:val="003C5432"/>
    <w:rsid w:val="003D615D"/>
    <w:rsid w:val="003E5B40"/>
    <w:rsid w:val="003F0818"/>
    <w:rsid w:val="00414009"/>
    <w:rsid w:val="00414173"/>
    <w:rsid w:val="0043493A"/>
    <w:rsid w:val="004458BE"/>
    <w:rsid w:val="004604BB"/>
    <w:rsid w:val="004671B4"/>
    <w:rsid w:val="0047198F"/>
    <w:rsid w:val="00474655"/>
    <w:rsid w:val="00475AA2"/>
    <w:rsid w:val="00476C21"/>
    <w:rsid w:val="004773C1"/>
    <w:rsid w:val="004959E1"/>
    <w:rsid w:val="004970F7"/>
    <w:rsid w:val="004A0F8C"/>
    <w:rsid w:val="004A737A"/>
    <w:rsid w:val="004D356C"/>
    <w:rsid w:val="004D4DB7"/>
    <w:rsid w:val="004D60CD"/>
    <w:rsid w:val="004D70F1"/>
    <w:rsid w:val="004E2A5E"/>
    <w:rsid w:val="004E2DC7"/>
    <w:rsid w:val="004E53F6"/>
    <w:rsid w:val="004F0BD4"/>
    <w:rsid w:val="004F6E3E"/>
    <w:rsid w:val="0050091D"/>
    <w:rsid w:val="005024AD"/>
    <w:rsid w:val="00511591"/>
    <w:rsid w:val="0053334B"/>
    <w:rsid w:val="0054431D"/>
    <w:rsid w:val="00550384"/>
    <w:rsid w:val="00552ADC"/>
    <w:rsid w:val="00552CFE"/>
    <w:rsid w:val="00554142"/>
    <w:rsid w:val="00554C63"/>
    <w:rsid w:val="00560E2E"/>
    <w:rsid w:val="00561BA8"/>
    <w:rsid w:val="00567F06"/>
    <w:rsid w:val="005829B6"/>
    <w:rsid w:val="00582A6F"/>
    <w:rsid w:val="00583321"/>
    <w:rsid w:val="005851BC"/>
    <w:rsid w:val="00596612"/>
    <w:rsid w:val="005A1055"/>
    <w:rsid w:val="005A4AD4"/>
    <w:rsid w:val="005B5397"/>
    <w:rsid w:val="005C1284"/>
    <w:rsid w:val="005C6000"/>
    <w:rsid w:val="005E4839"/>
    <w:rsid w:val="005F2003"/>
    <w:rsid w:val="005F70B8"/>
    <w:rsid w:val="00620D4E"/>
    <w:rsid w:val="00635C78"/>
    <w:rsid w:val="00644D2A"/>
    <w:rsid w:val="006466EA"/>
    <w:rsid w:val="00650E53"/>
    <w:rsid w:val="00660949"/>
    <w:rsid w:val="00665034"/>
    <w:rsid w:val="00674B45"/>
    <w:rsid w:val="00677936"/>
    <w:rsid w:val="00680298"/>
    <w:rsid w:val="006848F5"/>
    <w:rsid w:val="006863B8"/>
    <w:rsid w:val="0069050F"/>
    <w:rsid w:val="00695235"/>
    <w:rsid w:val="006A44FD"/>
    <w:rsid w:val="006B272C"/>
    <w:rsid w:val="006D00B0"/>
    <w:rsid w:val="006E0C95"/>
    <w:rsid w:val="006E4223"/>
    <w:rsid w:val="006F183E"/>
    <w:rsid w:val="006F4C0B"/>
    <w:rsid w:val="00735CA9"/>
    <w:rsid w:val="007361CA"/>
    <w:rsid w:val="00744D98"/>
    <w:rsid w:val="007463F4"/>
    <w:rsid w:val="0075797C"/>
    <w:rsid w:val="00757A4A"/>
    <w:rsid w:val="0076474C"/>
    <w:rsid w:val="00771268"/>
    <w:rsid w:val="00776CEB"/>
    <w:rsid w:val="0078237A"/>
    <w:rsid w:val="00784215"/>
    <w:rsid w:val="007A2241"/>
    <w:rsid w:val="007A6084"/>
    <w:rsid w:val="007A7A71"/>
    <w:rsid w:val="007B0C36"/>
    <w:rsid w:val="007B107F"/>
    <w:rsid w:val="007B6100"/>
    <w:rsid w:val="007C45A2"/>
    <w:rsid w:val="007D0F6D"/>
    <w:rsid w:val="007D777C"/>
    <w:rsid w:val="007D783F"/>
    <w:rsid w:val="007D7B51"/>
    <w:rsid w:val="007E58C0"/>
    <w:rsid w:val="007F6F0A"/>
    <w:rsid w:val="00802495"/>
    <w:rsid w:val="008159DA"/>
    <w:rsid w:val="00825D94"/>
    <w:rsid w:val="008323C5"/>
    <w:rsid w:val="008449A0"/>
    <w:rsid w:val="00847CF7"/>
    <w:rsid w:val="008563C5"/>
    <w:rsid w:val="008606CE"/>
    <w:rsid w:val="00862B9E"/>
    <w:rsid w:val="00862E59"/>
    <w:rsid w:val="0086507A"/>
    <w:rsid w:val="00881A84"/>
    <w:rsid w:val="00883287"/>
    <w:rsid w:val="00884E0A"/>
    <w:rsid w:val="008854B0"/>
    <w:rsid w:val="00885CE2"/>
    <w:rsid w:val="00887A7B"/>
    <w:rsid w:val="00892535"/>
    <w:rsid w:val="008A5DC2"/>
    <w:rsid w:val="008B5C27"/>
    <w:rsid w:val="008C0BD1"/>
    <w:rsid w:val="008C1F2C"/>
    <w:rsid w:val="00902E1F"/>
    <w:rsid w:val="00904A03"/>
    <w:rsid w:val="0090716F"/>
    <w:rsid w:val="009103F0"/>
    <w:rsid w:val="00912DC7"/>
    <w:rsid w:val="00922FB9"/>
    <w:rsid w:val="0093041C"/>
    <w:rsid w:val="00932E2E"/>
    <w:rsid w:val="0094681D"/>
    <w:rsid w:val="00952581"/>
    <w:rsid w:val="00957C1D"/>
    <w:rsid w:val="00967BF7"/>
    <w:rsid w:val="00976D3B"/>
    <w:rsid w:val="00976F61"/>
    <w:rsid w:val="009840F2"/>
    <w:rsid w:val="009860DB"/>
    <w:rsid w:val="00991D15"/>
    <w:rsid w:val="009B1D6E"/>
    <w:rsid w:val="009E1995"/>
    <w:rsid w:val="009E1D4E"/>
    <w:rsid w:val="009E65C3"/>
    <w:rsid w:val="009F25B0"/>
    <w:rsid w:val="00A03468"/>
    <w:rsid w:val="00A12EBD"/>
    <w:rsid w:val="00A13DEB"/>
    <w:rsid w:val="00A13FB7"/>
    <w:rsid w:val="00A1400D"/>
    <w:rsid w:val="00A30EDD"/>
    <w:rsid w:val="00A351A7"/>
    <w:rsid w:val="00A36050"/>
    <w:rsid w:val="00A37729"/>
    <w:rsid w:val="00A41DE5"/>
    <w:rsid w:val="00A42718"/>
    <w:rsid w:val="00A44DD6"/>
    <w:rsid w:val="00A54002"/>
    <w:rsid w:val="00A636E3"/>
    <w:rsid w:val="00A63BBE"/>
    <w:rsid w:val="00A674A1"/>
    <w:rsid w:val="00A71474"/>
    <w:rsid w:val="00A7162E"/>
    <w:rsid w:val="00A71D43"/>
    <w:rsid w:val="00A72993"/>
    <w:rsid w:val="00A806B8"/>
    <w:rsid w:val="00A97013"/>
    <w:rsid w:val="00A97BC8"/>
    <w:rsid w:val="00AD1AFA"/>
    <w:rsid w:val="00AE0C32"/>
    <w:rsid w:val="00AE5B30"/>
    <w:rsid w:val="00AF01DE"/>
    <w:rsid w:val="00B02171"/>
    <w:rsid w:val="00B03026"/>
    <w:rsid w:val="00B07771"/>
    <w:rsid w:val="00B15565"/>
    <w:rsid w:val="00B169FD"/>
    <w:rsid w:val="00B176CF"/>
    <w:rsid w:val="00B329B9"/>
    <w:rsid w:val="00B3781C"/>
    <w:rsid w:val="00B4265C"/>
    <w:rsid w:val="00B4643B"/>
    <w:rsid w:val="00B46582"/>
    <w:rsid w:val="00B5241A"/>
    <w:rsid w:val="00B70E7C"/>
    <w:rsid w:val="00B81C85"/>
    <w:rsid w:val="00B821DE"/>
    <w:rsid w:val="00B95806"/>
    <w:rsid w:val="00B97A8E"/>
    <w:rsid w:val="00BA42C2"/>
    <w:rsid w:val="00BA4EF6"/>
    <w:rsid w:val="00BA61FE"/>
    <w:rsid w:val="00BB2B2B"/>
    <w:rsid w:val="00BB3537"/>
    <w:rsid w:val="00BB420E"/>
    <w:rsid w:val="00BC41A6"/>
    <w:rsid w:val="00BC6816"/>
    <w:rsid w:val="00BE1282"/>
    <w:rsid w:val="00BF2517"/>
    <w:rsid w:val="00BF607C"/>
    <w:rsid w:val="00C00771"/>
    <w:rsid w:val="00C03460"/>
    <w:rsid w:val="00C11196"/>
    <w:rsid w:val="00C12E93"/>
    <w:rsid w:val="00C1363E"/>
    <w:rsid w:val="00C16550"/>
    <w:rsid w:val="00C21207"/>
    <w:rsid w:val="00C26308"/>
    <w:rsid w:val="00C30C16"/>
    <w:rsid w:val="00C32FE8"/>
    <w:rsid w:val="00C33771"/>
    <w:rsid w:val="00C37713"/>
    <w:rsid w:val="00C42A8E"/>
    <w:rsid w:val="00C5775E"/>
    <w:rsid w:val="00C60977"/>
    <w:rsid w:val="00C62402"/>
    <w:rsid w:val="00C773CD"/>
    <w:rsid w:val="00C77898"/>
    <w:rsid w:val="00C8141B"/>
    <w:rsid w:val="00C83ABE"/>
    <w:rsid w:val="00C97AF6"/>
    <w:rsid w:val="00CA49D3"/>
    <w:rsid w:val="00CA6CA3"/>
    <w:rsid w:val="00CA7AE7"/>
    <w:rsid w:val="00CB4E49"/>
    <w:rsid w:val="00CC49D8"/>
    <w:rsid w:val="00CC605F"/>
    <w:rsid w:val="00CD2837"/>
    <w:rsid w:val="00CE2B33"/>
    <w:rsid w:val="00CF55DC"/>
    <w:rsid w:val="00D01B00"/>
    <w:rsid w:val="00D04ED0"/>
    <w:rsid w:val="00D11F1F"/>
    <w:rsid w:val="00D133C7"/>
    <w:rsid w:val="00D15593"/>
    <w:rsid w:val="00D237AC"/>
    <w:rsid w:val="00D26314"/>
    <w:rsid w:val="00D4450D"/>
    <w:rsid w:val="00D472D0"/>
    <w:rsid w:val="00D518B8"/>
    <w:rsid w:val="00D55610"/>
    <w:rsid w:val="00D56B8E"/>
    <w:rsid w:val="00D62AE7"/>
    <w:rsid w:val="00D65480"/>
    <w:rsid w:val="00D67B1C"/>
    <w:rsid w:val="00D724C1"/>
    <w:rsid w:val="00D740F8"/>
    <w:rsid w:val="00D75E2D"/>
    <w:rsid w:val="00D8307C"/>
    <w:rsid w:val="00D85046"/>
    <w:rsid w:val="00D920CE"/>
    <w:rsid w:val="00D97CC9"/>
    <w:rsid w:val="00DA04B3"/>
    <w:rsid w:val="00DA3DE3"/>
    <w:rsid w:val="00DB478B"/>
    <w:rsid w:val="00DB5AA9"/>
    <w:rsid w:val="00DB7703"/>
    <w:rsid w:val="00DC0F16"/>
    <w:rsid w:val="00DC16BB"/>
    <w:rsid w:val="00DC706D"/>
    <w:rsid w:val="00DC718C"/>
    <w:rsid w:val="00DD177D"/>
    <w:rsid w:val="00DD29FA"/>
    <w:rsid w:val="00DD384A"/>
    <w:rsid w:val="00DD45D8"/>
    <w:rsid w:val="00DD5F7B"/>
    <w:rsid w:val="00DD7207"/>
    <w:rsid w:val="00DE1585"/>
    <w:rsid w:val="00DE50F1"/>
    <w:rsid w:val="00DF6175"/>
    <w:rsid w:val="00DF6C73"/>
    <w:rsid w:val="00E00CD7"/>
    <w:rsid w:val="00E01246"/>
    <w:rsid w:val="00E152B0"/>
    <w:rsid w:val="00E15E16"/>
    <w:rsid w:val="00E21DD9"/>
    <w:rsid w:val="00E21DEC"/>
    <w:rsid w:val="00E26EC6"/>
    <w:rsid w:val="00E310E1"/>
    <w:rsid w:val="00E31508"/>
    <w:rsid w:val="00E32A18"/>
    <w:rsid w:val="00E4238D"/>
    <w:rsid w:val="00E52110"/>
    <w:rsid w:val="00E5778C"/>
    <w:rsid w:val="00E74986"/>
    <w:rsid w:val="00E7667A"/>
    <w:rsid w:val="00E83509"/>
    <w:rsid w:val="00E84382"/>
    <w:rsid w:val="00E8595D"/>
    <w:rsid w:val="00E86635"/>
    <w:rsid w:val="00E9178F"/>
    <w:rsid w:val="00E91A24"/>
    <w:rsid w:val="00E9364B"/>
    <w:rsid w:val="00E9398A"/>
    <w:rsid w:val="00EA38D0"/>
    <w:rsid w:val="00EA6D6E"/>
    <w:rsid w:val="00EA7B97"/>
    <w:rsid w:val="00EC3331"/>
    <w:rsid w:val="00ED14C2"/>
    <w:rsid w:val="00ED6905"/>
    <w:rsid w:val="00ED7D1A"/>
    <w:rsid w:val="00EE0223"/>
    <w:rsid w:val="00EE0735"/>
    <w:rsid w:val="00F02D33"/>
    <w:rsid w:val="00F1133D"/>
    <w:rsid w:val="00F24F57"/>
    <w:rsid w:val="00F30B96"/>
    <w:rsid w:val="00F405FE"/>
    <w:rsid w:val="00F46894"/>
    <w:rsid w:val="00F509E6"/>
    <w:rsid w:val="00F52309"/>
    <w:rsid w:val="00F61CD3"/>
    <w:rsid w:val="00F62E18"/>
    <w:rsid w:val="00F7277C"/>
    <w:rsid w:val="00F84C36"/>
    <w:rsid w:val="00F92552"/>
    <w:rsid w:val="00F92792"/>
    <w:rsid w:val="00FA1E65"/>
    <w:rsid w:val="00FB3DC5"/>
    <w:rsid w:val="00FC436C"/>
    <w:rsid w:val="00FD3551"/>
    <w:rsid w:val="00FD7403"/>
    <w:rsid w:val="00FE102B"/>
    <w:rsid w:val="00FE176D"/>
    <w:rsid w:val="00FE1804"/>
    <w:rsid w:val="00FE1925"/>
    <w:rsid w:val="00FF37AA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1B1C5A"/>
    <w:pPr>
      <w:keepNext/>
      <w:keepLines/>
      <w:shd w:val="clear" w:color="auto" w:fill="FFFFFF"/>
      <w:tabs>
        <w:tab w:val="left" w:pos="567"/>
      </w:tabs>
      <w:spacing w:line="360" w:lineRule="auto"/>
      <w:jc w:val="both"/>
      <w:outlineLvl w:val="0"/>
    </w:pPr>
    <w:rPr>
      <w:rFonts w:ascii="Times New Roman" w:hAnsi="Times New Roman" w:cs="Times New Roman"/>
      <w:b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1B1C5A"/>
    <w:rPr>
      <w:rFonts w:ascii="Times New Roman" w:hAnsi="Times New Roman" w:cs="Times New Roman"/>
      <w:b/>
      <w:sz w:val="32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outlineLvl w:val="9"/>
    </w:pPr>
    <w:rPr>
      <w:rFonts w:asciiTheme="majorHAnsi" w:hAnsiTheme="majorHAnsi"/>
      <w:smallCaps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No Spacing"/>
    <w:uiPriority w:val="1"/>
    <w:qFormat/>
    <w:rsid w:val="008B5C27"/>
    <w:pPr>
      <w:spacing w:after="0" w:line="240" w:lineRule="auto"/>
    </w:pPr>
  </w:style>
  <w:style w:type="character" w:styleId="ac">
    <w:name w:val="Unresolved Mention"/>
    <w:basedOn w:val="a0"/>
    <w:uiPriority w:val="99"/>
    <w:semiHidden/>
    <w:unhideWhenUsed/>
    <w:rsid w:val="005F2003"/>
    <w:rPr>
      <w:color w:val="605E5C"/>
      <w:shd w:val="clear" w:color="auto" w:fill="E1DFDD"/>
    </w:rPr>
  </w:style>
  <w:style w:type="table" w:styleId="ad">
    <w:name w:val="Grid Table Light"/>
    <w:basedOn w:val="a1"/>
    <w:uiPriority w:val="40"/>
    <w:rsid w:val="005541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3">
    <w:name w:val="Grid Table 3 Accent 3"/>
    <w:basedOn w:val="a1"/>
    <w:uiPriority w:val="48"/>
    <w:rsid w:val="005541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5541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">
    <w:name w:val="Grid Table 1 Light"/>
    <w:basedOn w:val="a1"/>
    <w:uiPriority w:val="46"/>
    <w:rsid w:val="005541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Normal (Web)"/>
    <w:basedOn w:val="a"/>
    <w:uiPriority w:val="99"/>
    <w:unhideWhenUsed/>
    <w:rsid w:val="00DD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1A5B-5664-4FFE-9657-1B583722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4875</Words>
  <Characters>27788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Оля Пузачёва</cp:lastModifiedBy>
  <cp:revision>142</cp:revision>
  <dcterms:created xsi:type="dcterms:W3CDTF">2023-06-23T16:14:00Z</dcterms:created>
  <dcterms:modified xsi:type="dcterms:W3CDTF">2023-06-23T19:49:00Z</dcterms:modified>
</cp:coreProperties>
</file>