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88AC0C" w14:textId="77777777" w:rsidR="00F74070" w:rsidRDefault="00F74070" w:rsidP="00F74070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7F3D37ED" w14:textId="77777777" w:rsidR="00F74070" w:rsidRDefault="00F74070" w:rsidP="00F74070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6A976AC4" w14:textId="77777777" w:rsidR="00F74070" w:rsidRDefault="00F74070" w:rsidP="00F74070">
      <w:pPr>
        <w:jc w:val="both"/>
        <w:rPr>
          <w:sz w:val="22"/>
        </w:rPr>
      </w:pPr>
    </w:p>
    <w:p w14:paraId="4DE7E227" w14:textId="77777777" w:rsidR="00F74070" w:rsidRDefault="00F74070" w:rsidP="00F74070">
      <w:pPr>
        <w:jc w:val="both"/>
      </w:pPr>
    </w:p>
    <w:p w14:paraId="53DBE329" w14:textId="77777777" w:rsidR="00F74070" w:rsidRDefault="00F74070" w:rsidP="00F74070">
      <w:pPr>
        <w:jc w:val="both"/>
      </w:pPr>
    </w:p>
    <w:p w14:paraId="35A67270" w14:textId="77777777" w:rsidR="00F74070" w:rsidRDefault="00F74070" w:rsidP="00F74070">
      <w:pPr>
        <w:jc w:val="both"/>
      </w:pPr>
    </w:p>
    <w:p w14:paraId="4D8104A9" w14:textId="77777777" w:rsidR="00F74070" w:rsidRDefault="00F74070" w:rsidP="00F74070">
      <w:pPr>
        <w:jc w:val="both"/>
      </w:pPr>
    </w:p>
    <w:p w14:paraId="699C964B" w14:textId="77777777" w:rsidR="00F74070" w:rsidRDefault="00F74070" w:rsidP="00F74070">
      <w:pPr>
        <w:spacing w:after="0"/>
        <w:jc w:val="both"/>
      </w:pPr>
    </w:p>
    <w:p w14:paraId="373E9F5A" w14:textId="77777777" w:rsidR="00F74070" w:rsidRDefault="00F74070" w:rsidP="00F74070">
      <w:pPr>
        <w:jc w:val="both"/>
      </w:pPr>
    </w:p>
    <w:p w14:paraId="78740CF1" w14:textId="6E8F66A8" w:rsidR="00F74070" w:rsidRDefault="004A428E" w:rsidP="00F74070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>
        <w:rPr>
          <w:rFonts w:cs="Times New Roman"/>
          <w:b/>
          <w:bCs/>
          <w:color w:val="000000" w:themeColor="text1"/>
          <w:sz w:val="40"/>
          <w:szCs w:val="40"/>
        </w:rPr>
        <w:t>Лабораторная работа № 9</w:t>
      </w:r>
      <w:bookmarkStart w:id="0" w:name="_GoBack"/>
      <w:bookmarkEnd w:id="0"/>
    </w:p>
    <w:p w14:paraId="1721842C" w14:textId="77777777" w:rsidR="00F74070" w:rsidRDefault="00F74070" w:rsidP="00F74070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14:paraId="7BD840F5" w14:textId="77777777" w:rsidR="00F74070" w:rsidRDefault="00F74070" w:rsidP="00F74070">
      <w:pPr>
        <w:spacing w:after="120"/>
        <w:jc w:val="center"/>
        <w:rPr>
          <w:rFonts w:cs="Times New Roman"/>
          <w:sz w:val="24"/>
          <w:szCs w:val="24"/>
        </w:rPr>
      </w:pPr>
    </w:p>
    <w:p w14:paraId="3240E0F4" w14:textId="77777777" w:rsidR="00F74070" w:rsidRDefault="00F74070" w:rsidP="00F74070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7E02C47B" w14:textId="77777777" w:rsidR="00F74070" w:rsidRDefault="00F74070" w:rsidP="00F74070">
      <w:pPr>
        <w:jc w:val="center"/>
        <w:rPr>
          <w:sz w:val="44"/>
          <w:szCs w:val="44"/>
        </w:rPr>
      </w:pPr>
    </w:p>
    <w:p w14:paraId="4B38ACB3" w14:textId="77777777" w:rsidR="00F74070" w:rsidRDefault="00F74070" w:rsidP="00F74070">
      <w:pPr>
        <w:jc w:val="center"/>
        <w:rPr>
          <w:sz w:val="44"/>
          <w:szCs w:val="44"/>
        </w:rPr>
      </w:pPr>
    </w:p>
    <w:p w14:paraId="58463F58" w14:textId="77777777" w:rsidR="00F74070" w:rsidRDefault="00F74070" w:rsidP="00F74070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19F8F786" w14:textId="77777777" w:rsidR="00F74070" w:rsidRDefault="00F74070" w:rsidP="00F74070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7F3CA060" w14:textId="3D8792B0" w:rsidR="00F74070" w:rsidRDefault="00F74070" w:rsidP="00F74070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  <w:r w:rsidR="00BD65B9">
        <w:rPr>
          <w:bCs/>
          <w:szCs w:val="28"/>
        </w:rPr>
        <w:t>:</w:t>
      </w:r>
    </w:p>
    <w:p w14:paraId="53E174C4" w14:textId="048983BF" w:rsidR="00F74070" w:rsidRDefault="0075044A" w:rsidP="00F74070">
      <w:pPr>
        <w:pStyle w:val="a3"/>
        <w:ind w:left="5812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Гераськин</w:t>
      </w:r>
      <w:proofErr w:type="spellEnd"/>
      <w:r>
        <w:rPr>
          <w:bCs/>
          <w:szCs w:val="28"/>
        </w:rPr>
        <w:t xml:space="preserve"> Даниил</w:t>
      </w:r>
    </w:p>
    <w:p w14:paraId="0B4960A4" w14:textId="1DFF67C5" w:rsidR="00F74070" w:rsidRDefault="00F74070" w:rsidP="00F74070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</w:t>
      </w:r>
      <w:r w:rsidR="00BD65B9">
        <w:rPr>
          <w:bCs/>
          <w:szCs w:val="28"/>
        </w:rPr>
        <w:t>3</w:t>
      </w:r>
      <w:r>
        <w:rPr>
          <w:bCs/>
          <w:szCs w:val="28"/>
        </w:rPr>
        <w:t>21</w:t>
      </w:r>
    </w:p>
    <w:p w14:paraId="190D3A77" w14:textId="77777777" w:rsidR="00F74070" w:rsidRDefault="00F74070" w:rsidP="00F74070">
      <w:pPr>
        <w:pStyle w:val="a3"/>
        <w:ind w:left="5812"/>
        <w:jc w:val="both"/>
        <w:rPr>
          <w:bCs/>
          <w:szCs w:val="28"/>
        </w:rPr>
      </w:pPr>
    </w:p>
    <w:p w14:paraId="2B889444" w14:textId="77777777" w:rsidR="00F74070" w:rsidRDefault="00F74070" w:rsidP="00F74070">
      <w:pPr>
        <w:pStyle w:val="a3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 xml:space="preserve">Проверил: </w:t>
      </w:r>
      <w:proofErr w:type="spellStart"/>
      <w:r>
        <w:rPr>
          <w:bCs/>
          <w:szCs w:val="28"/>
        </w:rPr>
        <w:t>Сибирев</w:t>
      </w:r>
      <w:proofErr w:type="spellEnd"/>
      <w:r>
        <w:rPr>
          <w:bCs/>
          <w:szCs w:val="28"/>
        </w:rPr>
        <w:t xml:space="preserve"> И.В. </w:t>
      </w:r>
    </w:p>
    <w:p w14:paraId="31ACAE8D" w14:textId="77777777" w:rsidR="00F74070" w:rsidRDefault="00F74070" w:rsidP="00F74070">
      <w:pPr>
        <w:pStyle w:val="a3"/>
        <w:spacing w:after="240"/>
        <w:ind w:left="5812"/>
        <w:rPr>
          <w:bCs/>
          <w:i/>
          <w:szCs w:val="28"/>
        </w:rPr>
      </w:pPr>
    </w:p>
    <w:p w14:paraId="48B11364" w14:textId="77777777" w:rsidR="00F74070" w:rsidRDefault="00F74070" w:rsidP="00F74070">
      <w:pPr>
        <w:pStyle w:val="a3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4C41B7B2" w14:textId="77777777" w:rsidR="00F74070" w:rsidRDefault="00F74070" w:rsidP="00F74070">
      <w:pPr>
        <w:pStyle w:val="a3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103115BD" w14:textId="77777777" w:rsidR="00F74070" w:rsidRDefault="00F74070" w:rsidP="00F74070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461BA09E" w14:textId="77777777" w:rsidR="00F74070" w:rsidRDefault="00F74070" w:rsidP="00F74070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CEDA6A4" w14:textId="77777777" w:rsidR="00F74070" w:rsidRDefault="00F74070" w:rsidP="00F74070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341EA1DE" w14:textId="77777777" w:rsidR="00F74070" w:rsidRDefault="00F74070" w:rsidP="00F74070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14:paraId="163495A5" w14:textId="77777777" w:rsidR="00F74070" w:rsidRDefault="00F74070" w:rsidP="00F74070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</w:p>
    <w:p w14:paraId="4AF4AF39" w14:textId="77777777" w:rsidR="00F74070" w:rsidRDefault="00F74070" w:rsidP="00F74070">
      <w:pPr>
        <w:shd w:val="clear" w:color="auto" w:fill="FFFFFF"/>
        <w:spacing w:after="0" w:line="240" w:lineRule="auto"/>
        <w:ind w:left="360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7A5DA62B" w14:textId="4E91D066" w:rsidR="00F74070" w:rsidRPr="00F74070" w:rsidRDefault="00F74070" w:rsidP="00BD65B9">
      <w:pPr>
        <w:shd w:val="clear" w:color="auto" w:fill="FFFFFF"/>
        <w:spacing w:after="0" w:line="360" w:lineRule="auto"/>
        <w:ind w:left="360"/>
        <w:rPr>
          <w:rFonts w:eastAsia="Times New Roman" w:cs="Times New Roman"/>
          <w:b/>
          <w:color w:val="1A1A1A"/>
          <w:szCs w:val="28"/>
          <w:lang w:eastAsia="ru-RU"/>
        </w:rPr>
      </w:pPr>
      <w:r w:rsidRPr="00F74070">
        <w:rPr>
          <w:rFonts w:eastAsia="Times New Roman" w:cs="Times New Roman"/>
          <w:b/>
          <w:color w:val="1A1A1A"/>
          <w:szCs w:val="28"/>
          <w:lang w:eastAsia="ru-RU"/>
        </w:rPr>
        <w:lastRenderedPageBreak/>
        <w:t>Что такое интерференция, интерференционная помеха?</w:t>
      </w:r>
    </w:p>
    <w:p w14:paraId="75BCA78B" w14:textId="77777777" w:rsidR="00F74070" w:rsidRDefault="00F74070" w:rsidP="00BD65B9">
      <w:pPr>
        <w:shd w:val="clear" w:color="auto" w:fill="FFFFFF"/>
        <w:tabs>
          <w:tab w:val="left" w:pos="4152"/>
        </w:tabs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 w14:paraId="61747D4D" w14:textId="77777777" w:rsidR="00F74070" w:rsidRDefault="00F74070" w:rsidP="00BD65B9">
      <w:pPr>
        <w:shd w:val="clear" w:color="auto" w:fill="FFFFFF"/>
        <w:tabs>
          <w:tab w:val="left" w:pos="4152"/>
        </w:tabs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CF7CBE9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Поясните понятие зоны освещенности (прямой видимости).</w:t>
      </w:r>
    </w:p>
    <w:p w14:paraId="59569AC9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14:paraId="6A7CF57F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6E2F93A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Нарисуйте и поясните прохождение лучей от передающей до приемной антенны в области освещенности.</w:t>
      </w:r>
    </w:p>
    <w:p w14:paraId="5C801C15" w14:textId="405B51B6" w:rsidR="00F74070" w:rsidRDefault="00F74070" w:rsidP="00BD65B9">
      <w:pPr>
        <w:shd w:val="clear" w:color="auto" w:fill="FFFFFF"/>
        <w:spacing w:after="0" w:line="360" w:lineRule="auto"/>
        <w:ind w:left="360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noProof/>
          <w:color w:val="1A1A1A"/>
          <w:szCs w:val="28"/>
          <w:lang w:eastAsia="ru-RU"/>
        </w:rPr>
        <w:drawing>
          <wp:inline distT="0" distB="0" distL="0" distR="0" wp14:anchorId="00E4A6AA" wp14:editId="05985757">
            <wp:extent cx="3817620" cy="1188720"/>
            <wp:effectExtent l="0" t="0" r="0" b="0"/>
            <wp:docPr id="1484412134" name="Рисунок 2" descr="Изображение выглядит как зарисовка, диаграмма, рисунок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12134" name="Рисунок 2" descr="Изображение выглядит как зарисовка, диаграмма, рисунок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22EB1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698606B4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5BC0F64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Что такое ослабление свободного пространства и от чего оно </w:t>
      </w:r>
      <w:proofErr w:type="gramStart"/>
      <w:r>
        <w:rPr>
          <w:rFonts w:eastAsia="Times New Roman" w:cs="Times New Roman"/>
          <w:b/>
          <w:color w:val="1A1A1A"/>
          <w:szCs w:val="28"/>
          <w:lang w:eastAsia="ru-RU"/>
        </w:rPr>
        <w:t>за-висит</w:t>
      </w:r>
      <w:proofErr w:type="gramEnd"/>
      <w:r>
        <w:rPr>
          <w:rFonts w:eastAsia="Times New Roman" w:cs="Times New Roman"/>
          <w:b/>
          <w:color w:val="1A1A1A"/>
          <w:szCs w:val="28"/>
          <w:lang w:eastAsia="ru-RU"/>
        </w:rPr>
        <w:t>?</w:t>
      </w:r>
    </w:p>
    <w:p w14:paraId="2AA74DAA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Ослабление свободного пространства - это уменьшение мощности сигнала при распространении в свободном пространстве. Оно зависит от расстояния </w:t>
      </w:r>
      <w:r>
        <w:rPr>
          <w:rFonts w:eastAsia="Times New Roman" w:cs="Times New Roman"/>
          <w:color w:val="1A1A1A"/>
          <w:szCs w:val="28"/>
          <w:lang w:eastAsia="ru-RU"/>
        </w:rPr>
        <w:lastRenderedPageBreak/>
        <w:t>между антеннами, частоты сигнала и препятствий на пути распространения сигнала.</w:t>
      </w:r>
    </w:p>
    <w:p w14:paraId="6F5B4088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1AC79014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расстояния между антеннами</w:t>
      </w:r>
    </w:p>
    <w:p w14:paraId="74EF0DAE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в области освещенности?</w:t>
      </w:r>
    </w:p>
    <w:p w14:paraId="11ECB1D1" w14:textId="77777777" w:rsidR="00F74070" w:rsidRDefault="00F74070" w:rsidP="00BD65B9">
      <w:pPr>
        <w:spacing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406E5E17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651C76EA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высоты подвеса антенны в</w:t>
      </w:r>
    </w:p>
    <w:p w14:paraId="100AD1B1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области освещенности?</w:t>
      </w:r>
    </w:p>
    <w:p w14:paraId="0A1B2F3F" w14:textId="77777777" w:rsidR="00F74070" w:rsidRDefault="00F74070" w:rsidP="00BD65B9">
      <w:pPr>
        <w:spacing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4FF0435A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F54A7C4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Сравните характер зависимости от расстояния напряженности </w:t>
      </w:r>
      <w:proofErr w:type="spellStart"/>
      <w:proofErr w:type="gramStart"/>
      <w:r>
        <w:rPr>
          <w:rFonts w:eastAsia="Times New Roman" w:cs="Times New Roman"/>
          <w:b/>
          <w:color w:val="1A1A1A"/>
          <w:szCs w:val="28"/>
          <w:lang w:eastAsia="ru-RU"/>
        </w:rPr>
        <w:t>по-ля</w:t>
      </w:r>
      <w:proofErr w:type="spellEnd"/>
      <w:proofErr w:type="gram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и мощности сигнала в точке приема при распространении радиоволн в свободном пространстве?</w:t>
      </w:r>
    </w:p>
    <w:p w14:paraId="7DB4DC65" w14:textId="77777777" w:rsidR="00F74070" w:rsidRDefault="00F74070" w:rsidP="00BD65B9">
      <w:pPr>
        <w:shd w:val="clear" w:color="auto" w:fill="FFFFFF"/>
        <w:spacing w:after="0" w:line="360" w:lineRule="auto"/>
        <w:ind w:left="360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14:paraId="1E7818DD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005E87AB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Что такое интерференция?</w:t>
      </w:r>
    </w:p>
    <w:p w14:paraId="45875322" w14:textId="77777777" w:rsidR="00F74070" w:rsidRDefault="00F74070" w:rsidP="00BD65B9">
      <w:pPr>
        <w:shd w:val="clear" w:color="auto" w:fill="FFFFFF"/>
        <w:tabs>
          <w:tab w:val="left" w:pos="1404"/>
        </w:tabs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Интерференция - это явление, когда две или более волны с разными частотами или фазами пересекаются в одной точке пространства.</w:t>
      </w:r>
      <w:r>
        <w:rPr>
          <w:rFonts w:eastAsia="Times New Roman" w:cs="Times New Roman"/>
          <w:color w:val="1A1A1A"/>
          <w:szCs w:val="28"/>
          <w:lang w:eastAsia="ru-RU"/>
        </w:rPr>
        <w:tab/>
      </w:r>
    </w:p>
    <w:p w14:paraId="738D190A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07068D1F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Поясните понятия: зоны освещенности, тени и полутени.</w:t>
      </w:r>
    </w:p>
    <w:p w14:paraId="216094BD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Зона освещенности - это область, в которой прямой видимости между передающей и приемной антеннами достаточно для передачи сигнала. Тень - </w:t>
      </w:r>
      <w:r>
        <w:rPr>
          <w:rFonts w:eastAsia="Times New Roman" w:cs="Times New Roman"/>
          <w:color w:val="1A1A1A"/>
          <w:szCs w:val="28"/>
          <w:lang w:eastAsia="ru-RU"/>
        </w:rPr>
        <w:lastRenderedPageBreak/>
        <w:t>это область, в которой сигнал не достигает приемной антенны из-за препятствий на пути распространения сигнала. Полутень - это область, в которой сигнал достигает приемной антенны, но с меньшей мощностью, чем в зоне освещенности.</w:t>
      </w:r>
    </w:p>
    <w:p w14:paraId="1136CC2A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E430EE4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Нарисуйте и поясните прохождение лучей от передающей до</w:t>
      </w:r>
    </w:p>
    <w:p w14:paraId="6D9F4466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приемной антенны в области освещенности.</w:t>
      </w:r>
    </w:p>
    <w:p w14:paraId="120FFBC3" w14:textId="07DCE00F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noProof/>
          <w:color w:val="1A1A1A"/>
          <w:szCs w:val="28"/>
          <w:lang w:eastAsia="ru-RU"/>
        </w:rPr>
        <w:drawing>
          <wp:inline distT="0" distB="0" distL="0" distR="0" wp14:anchorId="5EDA735D" wp14:editId="1FA13E39">
            <wp:extent cx="3817620" cy="1188720"/>
            <wp:effectExtent l="0" t="0" r="0" b="0"/>
            <wp:docPr id="2055240508" name="Рисунок 1" descr="Изображение выглядит как зарисовка, диаграмма, рисунок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40508" name="Рисунок 1" descr="Изображение выглядит как зарисовка, диаграмма, рисунок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2150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731CB9C0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300EE3BA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Что такое множитель ослабления</w:t>
      </w:r>
    </w:p>
    <w:p w14:paraId="46431C7A" w14:textId="77777777" w:rsidR="00F74070" w:rsidRDefault="00F74070" w:rsidP="00BD65B9">
      <w:pPr>
        <w:shd w:val="clear" w:color="auto" w:fill="FFFFFF"/>
        <w:tabs>
          <w:tab w:val="left" w:pos="936"/>
        </w:tabs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Множитель ослабления - это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 w14:paraId="17A86038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31800D66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расстояния между антеннами</w:t>
      </w:r>
    </w:p>
    <w:p w14:paraId="188EDFB8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в области освещенности?</w:t>
      </w:r>
    </w:p>
    <w:p w14:paraId="3C294B45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17395D1A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0EB5696B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lastRenderedPageBreak/>
        <w:t xml:space="preserve"> Как зависит напряженность поля от высоты подвеса антенны в</w:t>
      </w:r>
    </w:p>
    <w:p w14:paraId="6099DF79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области освещенности?</w:t>
      </w:r>
    </w:p>
    <w:p w14:paraId="0A1F083E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638BD97C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07235546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 xml:space="preserve">В чем заключается влияние тропосферы на распространение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ра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14:paraId="718B0F21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диоволн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в свободном пространстве?</w:t>
      </w:r>
    </w:p>
    <w:p w14:paraId="7ED067BC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14:paraId="1C289627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C151D93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Что такое замирания (фединг) сигнала и каковы причины возник-</w:t>
      </w:r>
    </w:p>
    <w:p w14:paraId="311C6E37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новения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быстрых и медленных замираний? </w:t>
      </w:r>
    </w:p>
    <w:p w14:paraId="2ABCF758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14:paraId="2E69A9C3" w14:textId="77777777" w:rsidR="00F74070" w:rsidRDefault="00F74070" w:rsidP="00BD65B9">
      <w:pPr>
        <w:spacing w:line="360" w:lineRule="auto"/>
        <w:rPr>
          <w:rFonts w:cs="Times New Roman"/>
          <w:szCs w:val="28"/>
        </w:rPr>
      </w:pPr>
    </w:p>
    <w:p w14:paraId="26A2598F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>Основные технические характеристики стандарта GSM.</w:t>
      </w:r>
    </w:p>
    <w:p w14:paraId="3D5293DF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GSM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Global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System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for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Mobile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Communications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- 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14:paraId="23FFB272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236D907D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Структурная схема стандарта GSM.</w:t>
      </w:r>
    </w:p>
    <w:p w14:paraId="3D4CD36B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Структура стандарта GSM включает базовую станцию, контроллер базовой станции, мобильный телефон, центр коммутации пакетов данных и другие элементы.</w:t>
      </w:r>
    </w:p>
    <w:p w14:paraId="475778B4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01BE5A26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lastRenderedPageBreak/>
        <w:t xml:space="preserve"> Назначение и функции, выполняемые ЦКПС - MSC.</w:t>
      </w:r>
    </w:p>
    <w:p w14:paraId="7E952597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ЦКПС - MSC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Mobile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Switching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Center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- это центральный коммутатор в сети сотовой связи, который обеспечивает маршрутизацию звонков, управление ресурсами сети и другие функции. Он также выполняет функции контроля и управления мобильными станциями.</w:t>
      </w:r>
    </w:p>
    <w:p w14:paraId="3ACFFE21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8551486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Перечислить состав долговременных данных, хранящихся в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реги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14:paraId="53013F08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страх HLR и VLR. </w:t>
      </w:r>
    </w:p>
    <w:p w14:paraId="71DBF463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В регистрах HLR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Home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Location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Register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и VLR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Visitor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Location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Register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14:paraId="1E3B7C0B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6B12720F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Каким образом реализуется процедура проверки сетью </w:t>
      </w:r>
      <w:proofErr w:type="spellStart"/>
      <w:proofErr w:type="gramStart"/>
      <w:r>
        <w:rPr>
          <w:rFonts w:eastAsia="Times New Roman" w:cs="Times New Roman"/>
          <w:b/>
          <w:color w:val="1A1A1A"/>
          <w:szCs w:val="28"/>
          <w:lang w:eastAsia="ru-RU"/>
        </w:rPr>
        <w:t>подлин-ности</w:t>
      </w:r>
      <w:proofErr w:type="spellEnd"/>
      <w:proofErr w:type="gram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абонента.</w:t>
      </w:r>
    </w:p>
    <w:p w14:paraId="3DAE8EE7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14:paraId="6CAD0BA8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5A520C5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 xml:space="preserve">Назначение межсетевого функционального стыка IWF,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эхопода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14:paraId="6AE6FF67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вителя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ЕС.</w:t>
      </w:r>
    </w:p>
    <w:p w14:paraId="3AE10A74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Межсетевой функциональный стык IWF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Interworking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Function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) и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эхоподавитель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ЕС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Echo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Canceller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используются для обеспечения взаимодействия между различными сетями связи, такими как сотовые сети и сети фиксированной связи.</w:t>
      </w:r>
    </w:p>
    <w:p w14:paraId="665ADDAE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6F7385F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Функции, выполняемые центром эксплуатации и технического</w:t>
      </w:r>
    </w:p>
    <w:p w14:paraId="153A7E63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обслуживания ОМС.</w:t>
      </w:r>
    </w:p>
    <w:p w14:paraId="000F68B2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lastRenderedPageBreak/>
        <w:t>Центр эксплуатации и технического обслуживания ОМС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Operations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and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Maintenance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Center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14:paraId="6A302823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480BEC0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>Пояснить термин «приоритетный доступ». Какой блок реализует</w:t>
      </w:r>
    </w:p>
    <w:p w14:paraId="6A22B2C6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эту процедуру?</w:t>
      </w:r>
    </w:p>
    <w:p w14:paraId="50314CC4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(Access Control Block).</w:t>
      </w:r>
    </w:p>
    <w:p w14:paraId="0E5AD831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E24933C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Состав оборудования базовой станции</w:t>
      </w:r>
    </w:p>
    <w:p w14:paraId="6C3150EB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14:paraId="3AFA2555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2976FF54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52DFE00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транскодера ТСЕ. </w:t>
      </w:r>
    </w:p>
    <w:p w14:paraId="60762096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Транскодер ТСЕ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Transcoder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Subsystem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Equipment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14:paraId="2ECD0B7C" w14:textId="77777777" w:rsidR="00F74070" w:rsidRDefault="00F74070" w:rsidP="00BD65B9">
      <w:pPr>
        <w:spacing w:line="360" w:lineRule="auto"/>
        <w:rPr>
          <w:rFonts w:cs="Times New Roman"/>
          <w:szCs w:val="28"/>
        </w:rPr>
      </w:pPr>
    </w:p>
    <w:p w14:paraId="0B3E6A98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Дать определение зоны Френеля и правило ее использования?</w:t>
      </w:r>
    </w:p>
    <w:p w14:paraId="748BF4D3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</w:t>
      </w:r>
      <w:r>
        <w:rPr>
          <w:rFonts w:eastAsia="Times New Roman" w:cs="Times New Roman"/>
          <w:color w:val="1A1A1A"/>
          <w:szCs w:val="28"/>
          <w:lang w:eastAsia="ru-RU"/>
        </w:rPr>
        <w:lastRenderedPageBreak/>
        <w:t>распространения радиоволн без существенных потерь на дифракцию и интерференцию.</w:t>
      </w:r>
    </w:p>
    <w:p w14:paraId="383C37EA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939F02F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>Что понимается под усредненной медианной мощностью сигнала</w:t>
      </w:r>
    </w:p>
    <w:p w14:paraId="3EC035A8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(УММС)?</w:t>
      </w:r>
    </w:p>
    <w:p w14:paraId="6ED74E29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14:paraId="54DE7CD2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6675CED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Охарактеризовать способы расчета уровня сигнала на входе при-</w:t>
      </w:r>
    </w:p>
    <w:p w14:paraId="7664EBBA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емника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.</w:t>
      </w:r>
    </w:p>
    <w:p w14:paraId="18B433B0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14:paraId="542F96D1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40B9AC63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Дать определение понятия «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квазигладкой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» местности</w:t>
      </w:r>
    </w:p>
    <w:p w14:paraId="2E17315A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Квазигладкая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14:paraId="4ACD05F0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3669A387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и особенности применения модели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.</w:t>
      </w:r>
    </w:p>
    <w:p w14:paraId="0DB335A2" w14:textId="77777777" w:rsidR="00F74070" w:rsidRDefault="00F74070" w:rsidP="00BD65B9">
      <w:pPr>
        <w:pStyle w:val="a3"/>
        <w:spacing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Модель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14:paraId="2F1D352F" w14:textId="77777777" w:rsidR="00F74070" w:rsidRDefault="00F74070" w:rsidP="00BD65B9">
      <w:pPr>
        <w:pStyle w:val="a3"/>
        <w:spacing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0E8E21CC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DB33ACA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lastRenderedPageBreak/>
        <w:t xml:space="preserve"> Назначение и особенности применения модели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-Хата.</w:t>
      </w:r>
    </w:p>
    <w:p w14:paraId="5FE3539D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Модель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-Хата - это модификация модели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14:paraId="2F0B8E2B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6959E32E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Какие показатели позволяет рассчитывать онлайн-калькулятор? </w:t>
      </w:r>
    </w:p>
    <w:p w14:paraId="386D5A91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14:paraId="56383402" w14:textId="77777777" w:rsidR="00F74070" w:rsidRDefault="00F74070" w:rsidP="00BD65B9">
      <w:pPr>
        <w:spacing w:line="360" w:lineRule="auto"/>
        <w:rPr>
          <w:rFonts w:cs="Times New Roman"/>
          <w:szCs w:val="28"/>
        </w:rPr>
      </w:pPr>
    </w:p>
    <w:p w14:paraId="45300792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 xml:space="preserve">Классификация ССС и параметры орбит ИСЗ, достоинства и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недос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14:paraId="5E9F3385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татки.</w:t>
      </w:r>
    </w:p>
    <w:p w14:paraId="1C885A19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среднеорбитальные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системы. Каждый тип орбиты имеет свои достоинства и недостатки, в зависимости от конкретных требований к сети связи.</w:t>
      </w:r>
    </w:p>
    <w:p w14:paraId="35F53053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1A4B9F52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Структурная схема ССС и ее частотный план.</w:t>
      </w:r>
    </w:p>
    <w:p w14:paraId="622BC4FC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14:paraId="4430DA3A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2130C561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Перечислить основные параметры ССС.</w:t>
      </w:r>
    </w:p>
    <w:p w14:paraId="6710D9B3" w14:textId="77777777" w:rsidR="00F74070" w:rsidRDefault="00F74070" w:rsidP="00BD65B9">
      <w:pPr>
        <w:pStyle w:val="a3"/>
        <w:spacing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14:paraId="0C7CA277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24715B11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Особенности распространения радиоволн на трассах ССС.</w:t>
      </w:r>
    </w:p>
    <w:p w14:paraId="2BBF589E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14:paraId="66B77D23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28489C74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04A6E7D5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Способы повышения энергетических показателей ССС.</w:t>
      </w:r>
    </w:p>
    <w:p w14:paraId="12189A1E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14:paraId="459897A0" w14:textId="77777777" w:rsidR="00FD63F3" w:rsidRDefault="00FD63F3" w:rsidP="00BD65B9">
      <w:pPr>
        <w:spacing w:line="360" w:lineRule="auto"/>
      </w:pPr>
    </w:p>
    <w:sectPr w:rsidR="00FD6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3F3"/>
    <w:rsid w:val="004A428E"/>
    <w:rsid w:val="0075044A"/>
    <w:rsid w:val="00BD65B9"/>
    <w:rsid w:val="00F74070"/>
    <w:rsid w:val="00FD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99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070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0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50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044A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070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0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50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044A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1678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Гераськин Даниил Сергеевич</dc:creator>
  <cp:lastModifiedBy>gds26</cp:lastModifiedBy>
  <cp:revision>2</cp:revision>
  <dcterms:created xsi:type="dcterms:W3CDTF">2023-06-21T19:49:00Z</dcterms:created>
  <dcterms:modified xsi:type="dcterms:W3CDTF">2023-06-21T19:49:00Z</dcterms:modified>
</cp:coreProperties>
</file>