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C70C4B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C70C4B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C70C4B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Администрирование сервера баз данных. Планирование инфраструктуры сервера баз данных и выбор версий MS SQL </w:t>
            </w:r>
            <w:proofErr w:type="spellStart"/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Server</w:t>
            </w:r>
            <w:proofErr w:type="spellEnd"/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:rsidRPr="00C70C4B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0DB8041F" w:rsidR="003560C0" w:rsidRPr="00C70C4B" w:rsidRDefault="00C70C4B" w:rsidP="00C70C4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Березин В.В.</w:t>
            </w:r>
          </w:p>
        </w:tc>
        <w:tc>
          <w:tcPr>
            <w:tcW w:w="281" w:type="dxa"/>
            <w:gridSpan w:val="2"/>
          </w:tcPr>
          <w:p w14:paraId="401A2B4D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3560C0" w:rsidRPr="00C70C4B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Pr="00C70C4B" w:rsidRDefault="003560C0">
            <w:pPr>
              <w:spacing w:line="276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Pr="00C70C4B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color w:val="000000"/>
                <w:sz w:val="16"/>
                <w:szCs w:val="16"/>
                <w:lang w:val="ru-RU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Pr="00C70C4B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color w:val="000000"/>
                <w:sz w:val="16"/>
                <w:szCs w:val="16"/>
                <w:lang w:val="ru-RU"/>
              </w:rPr>
              <w:t>(подпись)</w:t>
            </w:r>
          </w:p>
        </w:tc>
      </w:tr>
      <w:tr w:rsidR="003560C0" w:rsidRPr="00C70C4B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Pr="00C70C4B" w:rsidRDefault="00950B26">
            <w:pPr>
              <w:spacing w:line="27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b/>
                <w:bCs/>
                <w:color w:val="000000"/>
                <w:szCs w:val="28"/>
                <w:lang w:val="ru-RU"/>
              </w:rPr>
              <w:t>Группа</w:t>
            </w:r>
          </w:p>
        </w:tc>
        <w:tc>
          <w:tcPr>
            <w:tcW w:w="280" w:type="dxa"/>
            <w:gridSpan w:val="2"/>
          </w:tcPr>
          <w:p w14:paraId="0960E910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6306757C" w:rsidR="003560C0" w:rsidRPr="00C70C4B" w:rsidRDefault="00950B26" w:rsidP="00C70C4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sz w:val="26"/>
                <w:szCs w:val="26"/>
                <w:lang w:val="ru-RU"/>
              </w:rPr>
              <w:t>ВБИо-</w:t>
            </w:r>
            <w:r w:rsidR="00C70C4B">
              <w:rPr>
                <w:rFonts w:cs="Times New Roman"/>
                <w:sz w:val="26"/>
                <w:szCs w:val="26"/>
                <w:lang w:val="ru-RU"/>
              </w:rPr>
              <w:t>303</w:t>
            </w:r>
            <w:r w:rsidRPr="00C70C4B">
              <w:rPr>
                <w:rFonts w:cs="Times New Roman"/>
                <w:sz w:val="26"/>
                <w:szCs w:val="26"/>
                <w:lang w:val="ru-RU"/>
              </w:rPr>
              <w:t>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3560C0" w:rsidRPr="00C70C4B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Pr="00C70C4B" w:rsidRDefault="003560C0">
            <w:pPr>
              <w:spacing w:line="276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3560C0" w:rsidRPr="00C70C4B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Pr="00C70C4B" w:rsidRDefault="00950B26">
            <w:pPr>
              <w:spacing w:line="276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b/>
                <w:bCs/>
                <w:color w:val="000000"/>
                <w:szCs w:val="28"/>
                <w:lang w:val="ru-RU"/>
              </w:rPr>
              <w:t>Преподаватель</w:t>
            </w:r>
          </w:p>
        </w:tc>
        <w:tc>
          <w:tcPr>
            <w:tcW w:w="283" w:type="dxa"/>
            <w:gridSpan w:val="2"/>
          </w:tcPr>
          <w:p w14:paraId="1DFF894A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C70C4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bookmarkStart w:id="0" w:name="_GoBack"/>
            <w:proofErr w:type="spellStart"/>
            <w:r w:rsidRPr="00C70C4B">
              <w:rPr>
                <w:rFonts w:cs="Times New Roman"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 w:rsidRPr="00C70C4B">
              <w:rPr>
                <w:rFonts w:cs="Times New Roman"/>
                <w:bCs/>
                <w:sz w:val="26"/>
                <w:szCs w:val="26"/>
                <w:lang w:val="ru-RU"/>
              </w:rPr>
              <w:t xml:space="preserve"> Иван Валерьевич</w:t>
            </w:r>
            <w:bookmarkEnd w:id="0"/>
          </w:p>
        </w:tc>
        <w:tc>
          <w:tcPr>
            <w:tcW w:w="283" w:type="dxa"/>
            <w:gridSpan w:val="2"/>
          </w:tcPr>
          <w:p w14:paraId="6BBB5D77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3560C0" w:rsidRPr="00C70C4B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Pr="00C70C4B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color w:val="000000"/>
                <w:sz w:val="16"/>
                <w:szCs w:val="16"/>
                <w:lang w:val="ru-RU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Pr="00C70C4B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Pr="00C70C4B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C70C4B">
              <w:rPr>
                <w:rFonts w:cs="Times New Roman"/>
                <w:color w:val="000000"/>
                <w:sz w:val="16"/>
                <w:szCs w:val="16"/>
                <w:lang w:val="ru-RU"/>
              </w:rPr>
              <w:t>(подпись)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C70C4B">
        <w:rPr>
          <w:rFonts w:cs="Times New Roman"/>
          <w:b/>
          <w:bCs/>
          <w:color w:val="000000"/>
          <w:szCs w:val="28"/>
          <w:lang w:val="ru-RU"/>
        </w:rPr>
        <w:t xml:space="preserve">Москва 2024 </w:t>
      </w:r>
      <w:r>
        <w:rPr>
          <w:rFonts w:cs="Times New Roman"/>
          <w:b/>
          <w:bCs/>
          <w:color w:val="000000"/>
          <w:szCs w:val="28"/>
        </w:rPr>
        <w:t>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Провести анализ имеющихся на рынке программного обеспечения промышленных СУБД и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параметры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1. Анализ промышленных СУБД и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Oracle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Database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PostgreSQL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MySQL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: решение от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Microsoft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1.2 Анализ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Основные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Express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lastRenderedPageBreak/>
        <w:t>Standard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Enterprise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Web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Developer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: бесплатная версия с полным функционалом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Enterprise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Выбор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2. Настройка параметров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C70C4B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Выделение памяти для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Max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Включить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журналирование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C70C4B">
        <w:rPr>
          <w:noProof/>
        </w:rPr>
        <w:br/>
      </w:r>
      <w:r>
        <w:rPr>
          <w:noProof/>
          <w:lang w:val="ru-RU" w:eastAsia="ru-RU"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Max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журналирование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длительных запросов через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Management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Studio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Properties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→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Advanced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F3247D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Включить учет аутентификации через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Windows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5DA6D80E" w14:textId="77777777" w:rsidR="00FF2D89" w:rsidRPr="00C70C4B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MainDBServer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AnalyticsDBServer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 xml:space="preserve">Настроена аутентификация через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Windows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для безопасного доступа между серверами.</w:t>
      </w:r>
      <w:r w:rsidR="00FF2D89" w:rsidRPr="00C70C4B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  <w:lang w:val="ru-RU" w:eastAsia="ru-RU"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 ходе лабораторной работы был проведен анализ современных СУБД, изучены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и их применимость. Выполнена настройка параметров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B08BB" w14:textId="77777777" w:rsidR="00F3247D" w:rsidRDefault="00F3247D">
      <w:pPr>
        <w:spacing w:after="0" w:line="240" w:lineRule="auto"/>
      </w:pPr>
      <w:r>
        <w:separator/>
      </w:r>
    </w:p>
  </w:endnote>
  <w:endnote w:type="continuationSeparator" w:id="0">
    <w:p w14:paraId="0A8DFB5B" w14:textId="77777777" w:rsidR="00F3247D" w:rsidRDefault="00F3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01E54A44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C4B" w:rsidRPr="00C70C4B">
          <w:rPr>
            <w:noProof/>
            <w:lang w:val="ru-RU"/>
          </w:rPr>
          <w:t>9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874F0" w14:textId="77777777" w:rsidR="00F3247D" w:rsidRDefault="00F3247D">
      <w:pPr>
        <w:spacing w:after="0" w:line="240" w:lineRule="auto"/>
      </w:pPr>
      <w:r>
        <w:separator/>
      </w:r>
    </w:p>
  </w:footnote>
  <w:footnote w:type="continuationSeparator" w:id="0">
    <w:p w14:paraId="278FF522" w14:textId="77777777" w:rsidR="00F3247D" w:rsidRDefault="00F32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C1A50"/>
    <w:rsid w:val="00932337"/>
    <w:rsid w:val="00950B26"/>
    <w:rsid w:val="00AD49C9"/>
    <w:rsid w:val="00AE474E"/>
    <w:rsid w:val="00B20C41"/>
    <w:rsid w:val="00BC7DD3"/>
    <w:rsid w:val="00BF2844"/>
    <w:rsid w:val="00C47BD6"/>
    <w:rsid w:val="00C70C4B"/>
    <w:rsid w:val="00CE069F"/>
    <w:rsid w:val="00D805A1"/>
    <w:rsid w:val="00DA1B97"/>
    <w:rsid w:val="00DD1B12"/>
    <w:rsid w:val="00DE6AA3"/>
    <w:rsid w:val="00E71EB7"/>
    <w:rsid w:val="00EE4677"/>
    <w:rsid w:val="00F102E3"/>
    <w:rsid w:val="00F3247D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0F10-7F22-4FE9-9C61-87D16DB0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ALFA</cp:lastModifiedBy>
  <cp:revision>17</cp:revision>
  <dcterms:created xsi:type="dcterms:W3CDTF">2024-10-03T16:06:00Z</dcterms:created>
  <dcterms:modified xsi:type="dcterms:W3CDTF">2024-12-22T10:27:00Z</dcterms:modified>
</cp:coreProperties>
</file>