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</w:t>
            </w:r>
            <w:r w:rsidR="003C49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технологии/ Университет Синерги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0F676C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Эссе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191C54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Васильев Дмитрий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Алесеевич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191C54" w:rsidRDefault="00191C54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F676C" w:rsidRDefault="000F676C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F676C" w:rsidRDefault="000F676C" w:rsidP="000F676C">
      <w:pPr>
        <w:spacing w:after="0" w:line="240" w:lineRule="auto"/>
        <w:jc w:val="center"/>
        <w:rPr>
          <w:rStyle w:val="ad"/>
          <w:rFonts w:ascii="Times New Roman" w:hAnsi="Times New Roman" w:cs="Times New Roman"/>
          <w:bCs w:val="0"/>
          <w:color w:val="000000"/>
          <w:sz w:val="32"/>
          <w:szCs w:val="32"/>
          <w:shd w:val="clear" w:color="auto" w:fill="FFFFFF"/>
        </w:rPr>
      </w:pPr>
      <w:r w:rsidRPr="000F676C">
        <w:rPr>
          <w:rStyle w:val="ad"/>
          <w:rFonts w:ascii="Times New Roman" w:hAnsi="Times New Roman" w:cs="Times New Roman"/>
          <w:bCs w:val="0"/>
          <w:color w:val="000000"/>
          <w:sz w:val="32"/>
          <w:szCs w:val="32"/>
          <w:shd w:val="clear" w:color="auto" w:fill="FFFFFF"/>
        </w:rPr>
        <w:lastRenderedPageBreak/>
        <w:t>Основные требования к современному серверу в администрировании информационных систем</w:t>
      </w:r>
      <w:r>
        <w:rPr>
          <w:rStyle w:val="ad"/>
          <w:rFonts w:ascii="Times New Roman" w:hAnsi="Times New Roman" w:cs="Times New Roman"/>
          <w:bCs w:val="0"/>
          <w:color w:val="000000"/>
          <w:sz w:val="32"/>
          <w:szCs w:val="32"/>
          <w:shd w:val="clear" w:color="auto" w:fill="FFFFFF"/>
        </w:rPr>
        <w:t>.</w:t>
      </w:r>
    </w:p>
    <w:p w:rsidR="000F676C" w:rsidRDefault="000F676C" w:rsidP="000F676C">
      <w:pPr>
        <w:spacing w:after="0" w:line="240" w:lineRule="auto"/>
        <w:jc w:val="center"/>
        <w:rPr>
          <w:rStyle w:val="ad"/>
          <w:rFonts w:ascii="Times New Roman" w:hAnsi="Times New Roman" w:cs="Times New Roman"/>
          <w:bCs w:val="0"/>
          <w:color w:val="000000"/>
          <w:sz w:val="32"/>
          <w:szCs w:val="32"/>
          <w:shd w:val="clear" w:color="auto" w:fill="FFFFFF"/>
        </w:rPr>
      </w:pP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стремительного развития технологий и увеличения объёмов данных, серверы становятся основой для функционирования информационных систем организаций. Они обеспечивают хранение, обработку и передачу данных, а также поддержку различных бизнес-приложений. Для эффективного администрирования информационных систем современные серверы должны соответствовать множеству требований. В этом эссе мы подробно рассмотрим ключевые аспекты, которые определяют выбор серверного оборудования.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676C" w:rsidRDefault="000F676C" w:rsidP="000F676C">
      <w:pPr>
        <w:spacing w:after="0" w:line="360" w:lineRule="auto"/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1. Производительность</w:t>
      </w:r>
      <w:r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: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Производительность сервера является критически важным требованием, так как она напрямую влияет на скорость обработки данных и выполнение задач. Основные компоненты, определяющие производительность, включают: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Процессоры (ЦП)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Современные серверы часто оснащены многоядерными процессорами, такими как </w:t>
      </w:r>
      <w:proofErr w:type="spellStart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AMD EPYC, которые способны обрабатывать несколько потоков данных одновременно. Это особенно важно для </w:t>
      </w:r>
      <w:proofErr w:type="spellStart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виртуализированных</w:t>
      </w:r>
      <w:proofErr w:type="spellEnd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сред, где несколько виртуальных машин могут работать на одном физическом сервере. 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Оперативная память (RAM)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Объём оперативной памяти также играет ключевую роль. Чем больше RAM, тем больше данных может быть обработано одновременно. Для серверов, работающих с большими базами данных или выполняющих ресурсоёмкие приложения, рекомендуется использовать не менее 32 ГБ оперативной памяти, а в некоторых случаях — 128 ГБ и более.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Системы хранения данных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Использование быстрых SSD-дисков вместо традиционных HDD значительно увеличивает скорость доступа к данным и время загрузки приложений. RAID-массивы (например, RAID 10) обеспечивают как производительность, так и защиту данных.</w:t>
      </w:r>
    </w:p>
    <w:p w:rsidR="000F676C" w:rsidRDefault="000F676C" w:rsidP="000F676C">
      <w:pPr>
        <w:spacing w:after="0" w:line="360" w:lineRule="auto"/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2. Надёжность и отказоустойчивость</w:t>
      </w:r>
      <w:r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: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Надёжность серверов критически важна для обеспечения бесперебойной работы информационных систем. Основные аспекты, способствующие повышению надёжности: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Резервирование компонентов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Серверы должны быть оснащены резервными блоками питания и вентиляторами, что позволяет избежать сбоев в случае выхода из строя одного из компонентов. 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Технологии RAID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RAID-массивы не только увеличивают производительность, но и защищают данные от потери в случае сбоя жёсткого диска. Например, RAID 1 дублирует данные на два диска, а RAID 5 использует паритет для восстановления информации. 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Мониторинг состояния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Использование программного обеспечения для мониторинга состояния оборудования позволяет администраторам заранее выявлять потенциальные проблемы и принимать меры до возникновения сбоев.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676C" w:rsidRDefault="000F676C" w:rsidP="000F676C">
      <w:pPr>
        <w:spacing w:after="0" w:line="360" w:lineRule="auto"/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3. Безопасность</w:t>
      </w:r>
      <w:r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: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</w:t>
      </w:r>
      <w:proofErr w:type="spellEnd"/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является одним из главных приоритетов для современных серверов. Важные аспекты безопасности включают: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Аппаратные средства защиты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Использование брандмауэров, антивирусных программ и систем обнаружения вторжений (IDS) помогает защитить сервер от внешних угроз. </w:t>
      </w:r>
    </w:p>
    <w:p w:rsidR="000F676C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Шифрование данных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Шифрование данных как на уровне хранения (например, шифрование дисков), так и при передаче (например, использование протоколов HTTPS или VPN) защищает конфиденциальную информацию от несанкционированного доступа. </w:t>
      </w:r>
    </w:p>
    <w:p w:rsidR="001705B7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676C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Физическая безопасность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Необходимо обеспечить контроль доступа к серверным помещениям с помощью систем видеонаблюдения, замков с электронными ключами и других средств физической защиты.</w:t>
      </w:r>
    </w:p>
    <w:p w:rsidR="001705B7" w:rsidRDefault="001705B7" w:rsidP="000F676C">
      <w:pPr>
        <w:spacing w:after="0" w:line="360" w:lineRule="auto"/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</w:p>
    <w:p w:rsidR="001705B7" w:rsidRDefault="000F676C" w:rsidP="000F676C">
      <w:pPr>
        <w:spacing w:after="0" w:line="360" w:lineRule="auto"/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1705B7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lastRenderedPageBreak/>
        <w:t>4. Масштабируемость</w:t>
      </w:r>
      <w:r w:rsidR="001705B7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:</w:t>
      </w:r>
    </w:p>
    <w:p w:rsidR="001705B7" w:rsidRDefault="000F676C" w:rsidP="000F67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Серверы должны быть способны легко масштабироваться для удовлетворения растущих потребностей бизнеса. Ключевые аспекты масштабируемости:</w:t>
      </w:r>
    </w:p>
    <w:p w:rsidR="001705B7" w:rsidRDefault="000F676C" w:rsidP="001705B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05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705B7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Горизонтальное и вертикальное масштабирование</w:t>
      </w:r>
      <w:r w:rsidRPr="001705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Горизонтальное масштабирование предполагает добавление новых серверов в кластер, тогда как вертикальное — увеличение ресурсов существующего сервера (например, добавление оперативной памяти или процессоров). </w:t>
      </w:r>
      <w:r w:rsidRPr="001705B7">
        <w:rPr>
          <w:rStyle w:val="ad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Виртуализация</w:t>
      </w:r>
      <w:r w:rsidRPr="000F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Виртуализация позволяет эффективно использовать ресурсы сервера, создавая несколько виртуальных машин на одном физическом сервере. Это упрощает масштабирование и управление ресурсами.</w:t>
      </w: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Style w:val="a4"/>
          <w:b/>
          <w:bCs/>
        </w:rPr>
        <w:t xml:space="preserve">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Облачные технологии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облачных решений позволяет организациям быстро наращивать вычислительные мощности по мере необходимости без значительных капитальных затрат на оборудование.</w:t>
      </w: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Управляемость</w:t>
      </w: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Управляемость серверов является важным аспектом их эксплуатации. Ключевые элементы управляемости:</w:t>
      </w: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 удалённого администрирования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Наличие инструментов для удалённого управления серверами позволяет администраторам выполнять задачи по настройке и мониторингу без физического доступа к оборудованию. </w:t>
      </w: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Автоматизация процессов: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Автоматизация рутинных задач (например, резервное копирование, обновления программного обеспечения) снижает вероятность ошибок и экономит время администраторов. </w:t>
      </w: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Мониторинг производительности: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Инструменты мониторинга позволяют отслеживать загрузку процессоров, использование памяти и состояние дисков в реальном времени, что помогает своевременно реагировать на возможные проблемы.</w:t>
      </w:r>
    </w:p>
    <w:p w:rsidR="001705B7" w:rsidRDefault="001705B7" w:rsidP="001705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6. </w:t>
      </w:r>
      <w:proofErr w:type="spellStart"/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Энергоэффективность</w:t>
      </w:r>
      <w:proofErr w:type="spellEnd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Энергоэффективность</w:t>
      </w:r>
      <w:proofErr w:type="spellEnd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всё более важным требованием к современным серверам из-за растущих затрат на электроэнергию и экологических норм. Основные аспекты </w:t>
      </w:r>
      <w:proofErr w:type="spellStart"/>
      <w:proofErr w:type="gramStart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энергоэффективности</w:t>
      </w:r>
      <w:proofErr w:type="spellEnd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proofErr w:type="spellStart"/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Энергоэффективные</w:t>
      </w:r>
      <w:proofErr w:type="spellEnd"/>
      <w:proofErr w:type="gramEnd"/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компоненты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серверов с сертификацией 80 PLUS гарантирует высокую эффективность блоков питания. Это снижает потребление энергии и уменьшает тепловыделение.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 охлаждения: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Эффективные системы охлаждения (например, жидкостное охлаждение) помогают поддерживать оптимальную температуру оборудования и уменьшают потребление энергии.</w:t>
      </w: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Оптимизация загрузки: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технологий виртуализации и облачных решений позволяет более эффективно распределять нагрузку между серверами и снижать общее потребление энергии.</w:t>
      </w: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</w:t>
      </w: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705B7" w:rsidRPr="001705B7" w:rsidRDefault="001705B7" w:rsidP="001705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серверы должны соответствовать множеству требований для успешного администрирования информационных систем. Высокая производительность, надёжность, безопасность, масштабируемость, управляемость и </w:t>
      </w:r>
      <w:proofErr w:type="spellStart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энергоэффективность</w:t>
      </w:r>
      <w:proofErr w:type="spellEnd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ключевыми характеристиками, которые определяют выбор серверного оборудования. Администраторы информационных систем должны учитывать эти </w:t>
      </w:r>
      <w:bookmarkStart w:id="1" w:name="_GoBack"/>
      <w:bookmarkEnd w:id="1"/>
      <w:r w:rsidRPr="001705B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при выборе и настройке серверов, чтобы обеспечить стабильную работу бизнес-процессов и защиту данных организации. В условиях постоянно меняющегося технологического ландшафта успешное управление информационными системами возможно только при наличии надёжной и эффективной серверной инфраструктуры.</w:t>
      </w:r>
    </w:p>
    <w:sectPr w:rsidR="001705B7" w:rsidRPr="001705B7" w:rsidSect="006E1A38">
      <w:headerReference w:type="default" r:id="rId7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6E" w:rsidRDefault="00EB766E" w:rsidP="006E1A38">
      <w:pPr>
        <w:spacing w:after="0" w:line="240" w:lineRule="auto"/>
      </w:pPr>
      <w:r>
        <w:separator/>
      </w:r>
    </w:p>
  </w:endnote>
  <w:endnote w:type="continuationSeparator" w:id="0">
    <w:p w:rsidR="00EB766E" w:rsidRDefault="00EB766E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6E" w:rsidRDefault="00EB766E" w:rsidP="006E1A38">
      <w:pPr>
        <w:spacing w:after="0" w:line="240" w:lineRule="auto"/>
      </w:pPr>
      <w:r>
        <w:separator/>
      </w:r>
    </w:p>
  </w:footnote>
  <w:footnote w:type="continuationSeparator" w:id="0">
    <w:p w:rsidR="00EB766E" w:rsidRDefault="00EB766E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26C29"/>
    <w:rsid w:val="00095832"/>
    <w:rsid w:val="000A7B09"/>
    <w:rsid w:val="000D2BFC"/>
    <w:rsid w:val="000F676C"/>
    <w:rsid w:val="00133ED4"/>
    <w:rsid w:val="001676D5"/>
    <w:rsid w:val="001705B7"/>
    <w:rsid w:val="001769FA"/>
    <w:rsid w:val="00180878"/>
    <w:rsid w:val="00183DD3"/>
    <w:rsid w:val="00187F63"/>
    <w:rsid w:val="00190D1C"/>
    <w:rsid w:val="00191C54"/>
    <w:rsid w:val="001E4309"/>
    <w:rsid w:val="00291699"/>
    <w:rsid w:val="002C0AD6"/>
    <w:rsid w:val="002C7BDD"/>
    <w:rsid w:val="002F0CDE"/>
    <w:rsid w:val="00364900"/>
    <w:rsid w:val="00397C1B"/>
    <w:rsid w:val="003C49E0"/>
    <w:rsid w:val="004952A0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61C40"/>
    <w:rsid w:val="007B3A1E"/>
    <w:rsid w:val="007C46B4"/>
    <w:rsid w:val="007F375E"/>
    <w:rsid w:val="008D5E57"/>
    <w:rsid w:val="00903AB3"/>
    <w:rsid w:val="009D01F5"/>
    <w:rsid w:val="00A279B9"/>
    <w:rsid w:val="00A61FA9"/>
    <w:rsid w:val="00A76F55"/>
    <w:rsid w:val="00BA4523"/>
    <w:rsid w:val="00C01541"/>
    <w:rsid w:val="00C35571"/>
    <w:rsid w:val="00C3789C"/>
    <w:rsid w:val="00C63BEE"/>
    <w:rsid w:val="00C81E6D"/>
    <w:rsid w:val="00CA7E21"/>
    <w:rsid w:val="00E01732"/>
    <w:rsid w:val="00E2633A"/>
    <w:rsid w:val="00E92A2A"/>
    <w:rsid w:val="00EB766E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82D4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F676C"/>
    <w:rPr>
      <w:b/>
      <w:bCs/>
    </w:rPr>
  </w:style>
  <w:style w:type="character" w:customStyle="1" w:styleId="translatable-message">
    <w:name w:val="translatable-message"/>
    <w:basedOn w:val="a0"/>
    <w:rsid w:val="001705B7"/>
  </w:style>
  <w:style w:type="character" w:customStyle="1" w:styleId="time">
    <w:name w:val="time"/>
    <w:basedOn w:val="a0"/>
    <w:rsid w:val="001705B7"/>
  </w:style>
  <w:style w:type="character" w:customStyle="1" w:styleId="i18n">
    <w:name w:val="i18n"/>
    <w:basedOn w:val="a0"/>
    <w:rsid w:val="001705B7"/>
  </w:style>
  <w:style w:type="character" w:customStyle="1" w:styleId="tgico">
    <w:name w:val="tgico"/>
    <w:basedOn w:val="a0"/>
    <w:rsid w:val="001705B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705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705B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705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705B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851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1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2024-12-19T17:50:00Z</dcterms:created>
  <dcterms:modified xsi:type="dcterms:W3CDTF">2024-12-19T17:50:00Z</dcterms:modified>
</cp:coreProperties>
</file>