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94B114">
      <w:pPr>
        <w:widowControl w:val="0"/>
        <w:bidi w:val="0"/>
        <w:spacing w:line="240" w:lineRule="auto"/>
        <w:jc w:val="right"/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>
                <wp:start x="-119" y="0"/>
                <wp:lineTo x="-119" y="16366"/>
                <wp:lineTo x="20279" y="16366"/>
                <wp:lineTo x="2027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071880" cy="59880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6912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5BCEE019">
      <w:pPr>
        <w:widowControl w:val="0"/>
        <w:bidi w:val="0"/>
        <w:spacing w:line="240" w:lineRule="auto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 xml:space="preserve">НЕГОСУДАРСТВЕННОЕ ОБРАЗОВАТЕЛЬНОЕ ЧАСТНОЕ УЧРЕЖДЕНИЕ ВЫСШЕГО ОБРАЗОВАНИЯ </w:t>
      </w:r>
    </w:p>
    <w:p w14:paraId="57886410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>«МОСКОВСКИЙ ФИНАНСОВО-ПРОМЫШЛЕННЫЙ УНИВЕРСИТЕТ «СИНЕРГИЯ»</w:t>
      </w:r>
    </w:p>
    <w:p w14:paraId="1D99B379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</w:p>
    <w:p w14:paraId="5CF54E2D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  <w:r>
        <w:rPr>
          <w:b/>
          <w:shd w:val="clear" w:fill="FFFFFF"/>
        </w:rPr>
        <w:t>Институт информационных технологий</w:t>
      </w:r>
    </w:p>
    <w:p w14:paraId="4FF2F0AD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факультета/института)</w:t>
      </w:r>
    </w:p>
    <w:p w14:paraId="0D56F940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08151CDC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4DC6DE56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Направление/специальность подготовки:</w:t>
      </w:r>
      <w:r>
        <w:rPr>
          <w:shd w:val="clear" w:fill="FFFFFF"/>
        </w:rPr>
        <w:t xml:space="preserve"> </w:t>
      </w:r>
      <w:r>
        <w:rPr>
          <w:u w:val="single"/>
          <w:shd w:val="clear" w:fill="FFFFFF"/>
        </w:rPr>
        <w:t>09.03.02 Информационные системы и технологии</w:t>
      </w:r>
    </w:p>
    <w:p w14:paraId="05A26538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(код и наименование направления /специальности подготовки)</w:t>
      </w:r>
    </w:p>
    <w:p w14:paraId="309227D8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Профиль/специализация: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Разработка, сопровождение и обеспечение безопасности информационных систем</w:t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</w:p>
    <w:p w14:paraId="29BA1B26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профиля/специализации)</w:t>
      </w:r>
    </w:p>
    <w:p w14:paraId="225DA57B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Форма обучения</w:t>
      </w:r>
      <w:r>
        <w:rPr>
          <w:b/>
          <w:i/>
          <w:shd w:val="clear" w:fill="FFFFFF"/>
        </w:rPr>
        <w:t>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очная</w:t>
      </w:r>
    </w:p>
    <w:p w14:paraId="371292DA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(очная, очно-заочная, заочная)</w:t>
      </w:r>
    </w:p>
    <w:p w14:paraId="1D3347AB">
      <w:pPr>
        <w:widowControl w:val="0"/>
        <w:bidi w:val="0"/>
        <w:spacing w:line="240" w:lineRule="auto"/>
        <w:jc w:val="left"/>
        <w:rPr>
          <w:shd w:val="clear" w:fill="FFFFFF"/>
          <w:vertAlign w:val="superscript"/>
        </w:rPr>
      </w:pPr>
    </w:p>
    <w:p w14:paraId="4BEEDD63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2798B3B1">
      <w:pPr>
        <w:widowControl w:val="0"/>
        <w:bidi w:val="0"/>
        <w:spacing w:before="0" w:after="0" w:line="240" w:lineRule="auto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i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</w:t>
      </w:r>
      <w:r>
        <w:rPr>
          <w:rFonts w:ascii="Times New Roman" w:hAnsi="Times New Roman"/>
          <w:b/>
          <w:bCs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  </w:t>
      </w:r>
      <w:r>
        <w:rPr>
          <w:rFonts w:ascii="Times New Roman" w:hAnsi="Times New Roman" w:cs="Times New Roman"/>
          <w:b/>
          <w:bCs/>
          <w:i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</w:rPr>
        <w:t xml:space="preserve">Лабораторный практикум №6. </w:t>
      </w:r>
    </w:p>
    <w:p w14:paraId="3F0D9D0C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10D9F338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2B8644E5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1057E11C">
      <w:pPr>
        <w:widowControl w:val="0"/>
        <w:bidi w:val="0"/>
        <w:spacing w:line="240" w:lineRule="auto"/>
        <w:jc w:val="center"/>
        <w:rPr>
          <w:rFonts w:hint="default"/>
          <w:lang w:val="ru-RU"/>
        </w:rPr>
      </w:pPr>
      <w:r>
        <w:rPr>
          <w:b/>
          <w:shd w:val="clear" w:fill="FFFFFF"/>
        </w:rPr>
        <w:t>На тему</w:t>
      </w:r>
      <w:r>
        <w:rPr>
          <w:b/>
          <w:u w:val="single"/>
          <w:shd w:val="clear" w:fill="FFFFFF"/>
        </w:rPr>
        <w:t xml:space="preserve">   </w:t>
      </w:r>
      <w:r>
        <w:rPr>
          <w:b/>
          <w:bCs/>
          <w:u w:val="single"/>
          <w:shd w:val="clear" w:fill="FFFFFF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/>
          <w:sz w:val="24"/>
          <w:szCs w:val="24"/>
          <w:u w:val="single"/>
          <w:shd w:val="clear" w:fill="FFFFFF"/>
        </w:rPr>
        <w:t>Администрирование информационных систем. Администрирование интранет-сервера IIS, корпоративный сайт и виртуальный каталог</w:t>
      </w:r>
      <w:r>
        <w:rPr>
          <w:rFonts w:hint="default" w:ascii="Times New Roman" w:hAnsi="Times New Roman" w:cs="Times New Roman"/>
          <w:b/>
          <w:bCs/>
          <w:i w:val="0"/>
          <w:iCs/>
          <w:sz w:val="24"/>
          <w:szCs w:val="24"/>
          <w:u w:val="single"/>
          <w:shd w:val="clear" w:fill="FFFFFF"/>
          <w:lang w:val="ru-RU"/>
        </w:rPr>
        <w:t>.</w:t>
      </w:r>
    </w:p>
    <w:p w14:paraId="2F65D00D">
      <w:pPr>
        <w:widowControl w:val="0"/>
        <w:bidi w:val="0"/>
        <w:spacing w:line="240" w:lineRule="auto"/>
        <w:jc w:val="center"/>
        <w:rPr>
          <w:rStyle w:val="13"/>
          <w:rFonts w:ascii="Times New Roman" w:hAnsi="Times New Roman" w:cs="Times New Roman"/>
          <w:b/>
          <w:bCs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FFFFFF"/>
        </w:rPr>
      </w:pPr>
    </w:p>
    <w:p w14:paraId="315DE7C7">
      <w:pPr>
        <w:widowControl w:val="0"/>
        <w:bidi w:val="0"/>
        <w:spacing w:line="240" w:lineRule="auto"/>
        <w:jc w:val="center"/>
        <w:rPr>
          <w:b/>
          <w:color w:val="000000"/>
          <w:shd w:val="clear" w:fill="FFFFFF"/>
        </w:rPr>
      </w:pPr>
    </w:p>
    <w:p w14:paraId="53BBE915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 xml:space="preserve">(наименование темы) </w:t>
      </w:r>
    </w:p>
    <w:p w14:paraId="79C31175">
      <w:pPr>
        <w:widowControl w:val="0"/>
        <w:bidi w:val="0"/>
        <w:spacing w:line="240" w:lineRule="auto"/>
        <w:jc w:val="center"/>
        <w:rPr>
          <w:sz w:val="28"/>
          <w:szCs w:val="28"/>
          <w:shd w:val="clear" w:fill="FFFFFF"/>
        </w:rPr>
      </w:pPr>
    </w:p>
    <w:p w14:paraId="072DC941">
      <w:pPr>
        <w:pStyle w:val="4"/>
        <w:bidi w:val="0"/>
        <w:jc w:val="center"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 w14:paraId="1E8F6D00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52D67903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6885A4F0">
      <w:pPr>
        <w:widowControl w:val="0"/>
        <w:bidi w:val="0"/>
        <w:spacing w:line="240" w:lineRule="auto"/>
        <w:jc w:val="center"/>
        <w:rPr>
          <w:shd w:val="clear" w:fill="FFFFFF"/>
        </w:rPr>
      </w:pPr>
    </w:p>
    <w:tbl>
      <w:tblPr>
        <w:tblStyle w:val="8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4372"/>
        <w:gridCol w:w="690"/>
        <w:gridCol w:w="1998"/>
      </w:tblGrid>
      <w:tr w14:paraId="57E96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732" w:type="dxa"/>
            <w:vAlign w:val="bottom"/>
          </w:tcPr>
          <w:p w14:paraId="1F820058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1722AC9C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702F0AC2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0C6765DB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  <w:r>
              <w:rPr>
                <w:b/>
                <w:shd w:val="clear" w:fill="FFFFFF"/>
              </w:rPr>
              <w:t>Обучающийся</w:t>
            </w:r>
          </w:p>
        </w:tc>
        <w:tc>
          <w:tcPr>
            <w:tcW w:w="4276" w:type="dxa"/>
            <w:tcBorders>
              <w:bottom w:val="single" w:color="000000" w:sz="4" w:space="0"/>
            </w:tcBorders>
            <w:vAlign w:val="bottom"/>
          </w:tcPr>
          <w:p w14:paraId="3E05B736">
            <w:pPr>
              <w:widowControl w:val="0"/>
              <w:bidi w:val="0"/>
              <w:spacing w:line="240" w:lineRule="auto"/>
              <w:jc w:val="left"/>
              <w:rPr>
                <w:rFonts w:hint="default"/>
                <w:lang w:val="ru-RU"/>
              </w:rPr>
            </w:pPr>
            <w:r>
              <w:rPr>
                <w:iCs/>
                <w:color w:val="000080"/>
                <w:shd w:val="clear" w:fill="FFFFFF"/>
              </w:rPr>
              <w:t xml:space="preserve">      </w:t>
            </w:r>
            <w:r>
              <w:rPr>
                <w:iCs/>
                <w:color w:val="000080"/>
                <w:shd w:val="clear" w:fill="FFFFFF"/>
                <w:lang w:val="en-US"/>
              </w:rPr>
              <w:t xml:space="preserve">     </w:t>
            </w:r>
            <w:r>
              <w:rPr>
                <w:iCs/>
                <w:color w:val="auto"/>
                <w:shd w:val="clear" w:fill="FFFFFF"/>
                <w:lang w:val="ru-RU"/>
              </w:rPr>
              <w:t>Абрамкин</w:t>
            </w:r>
            <w:r>
              <w:rPr>
                <w:rFonts w:hint="default"/>
                <w:iCs/>
                <w:color w:val="auto"/>
                <w:shd w:val="clear" w:fill="FFFFFF"/>
                <w:lang w:val="ru-RU"/>
              </w:rPr>
              <w:t xml:space="preserve"> Александр Иванович</w:t>
            </w:r>
          </w:p>
        </w:tc>
        <w:tc>
          <w:tcPr>
            <w:tcW w:w="675" w:type="dxa"/>
            <w:vAlign w:val="bottom"/>
          </w:tcPr>
          <w:p w14:paraId="5D5DD85B">
            <w:pPr>
              <w:widowControl w:val="0"/>
              <w:bidi w:val="0"/>
              <w:spacing w:line="240" w:lineRule="auto"/>
              <w:ind w:left="0" w:right="0" w:firstLine="240"/>
              <w:jc w:val="left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  <w:tc>
          <w:tcPr>
            <w:tcW w:w="1954" w:type="dxa"/>
            <w:tcBorders>
              <w:bottom w:val="single" w:color="000000" w:sz="4" w:space="0"/>
            </w:tcBorders>
            <w:vAlign w:val="bottom"/>
          </w:tcPr>
          <w:p w14:paraId="7B9EB9BE">
            <w:pPr>
              <w:widowControl w:val="0"/>
              <w:bidi w:val="0"/>
              <w:spacing w:line="240" w:lineRule="auto"/>
              <w:jc w:val="center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</w:tr>
      <w:tr w14:paraId="6EE5D7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732" w:type="dxa"/>
            <w:vAlign w:val="bottom"/>
          </w:tcPr>
          <w:p w14:paraId="70A3B610">
            <w:pPr>
              <w:widowControl w:val="0"/>
              <w:bidi w:val="0"/>
              <w:spacing w:line="240" w:lineRule="auto"/>
              <w:jc w:val="right"/>
              <w:rPr>
                <w:b/>
                <w:shd w:val="clear" w:fill="FFFFFF"/>
              </w:rPr>
            </w:pPr>
          </w:p>
        </w:tc>
        <w:tc>
          <w:tcPr>
            <w:tcW w:w="4276" w:type="dxa"/>
            <w:tcBorders>
              <w:top w:val="single" w:color="000000" w:sz="4" w:space="0"/>
            </w:tcBorders>
          </w:tcPr>
          <w:p w14:paraId="27D5D549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(ФИО)</w:t>
            </w:r>
          </w:p>
        </w:tc>
        <w:tc>
          <w:tcPr>
            <w:tcW w:w="675" w:type="dxa"/>
          </w:tcPr>
          <w:p w14:paraId="39ED78C0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</w:p>
        </w:tc>
        <w:tc>
          <w:tcPr>
            <w:tcW w:w="1954" w:type="dxa"/>
            <w:tcBorders>
              <w:top w:val="single" w:color="000000" w:sz="4" w:space="0"/>
            </w:tcBorders>
            <w:vAlign w:val="bottom"/>
          </w:tcPr>
          <w:p w14:paraId="5B338685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(подпись)</w:t>
            </w:r>
          </w:p>
        </w:tc>
      </w:tr>
    </w:tbl>
    <w:p w14:paraId="32A849B4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4037DC58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34F9C0F1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6D7E9898">
      <w:pPr>
        <w:widowControl w:val="0"/>
        <w:bidi w:val="0"/>
        <w:spacing w:line="240" w:lineRule="auto"/>
        <w:jc w:val="left"/>
        <w:rPr>
          <w:b/>
          <w:shd w:val="clear" w:fill="FFFFFF"/>
        </w:rPr>
      </w:pPr>
    </w:p>
    <w:p w14:paraId="2858070A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066E2FD9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210AFC76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2C41E261">
      <w:pPr>
        <w:widowControl w:val="0"/>
        <w:bidi w:val="0"/>
        <w:spacing w:before="0" w:after="0" w:line="240" w:lineRule="auto"/>
        <w:jc w:val="center"/>
      </w:pPr>
      <w:r>
        <w:rPr>
          <w:b/>
          <w:sz w:val="28"/>
          <w:szCs w:val="28"/>
          <w:shd w:val="clear" w:fill="FFFFFF"/>
        </w:rPr>
        <w:t>Москва 20</w:t>
      </w:r>
      <w:r>
        <w:rPr>
          <w:b/>
          <w:sz w:val="28"/>
          <w:szCs w:val="28"/>
          <w:u w:val="single"/>
          <w:shd w:val="clear" w:fill="FFFFFF"/>
        </w:rPr>
        <w:t>24</w:t>
      </w:r>
      <w:r>
        <w:rPr>
          <w:b/>
          <w:sz w:val="28"/>
          <w:szCs w:val="28"/>
          <w:shd w:val="clear" w:fill="FFFFFF"/>
        </w:rPr>
        <w:t>г</w:t>
      </w:r>
    </w:p>
    <w:p w14:paraId="09B17CE6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Задача:</w:t>
      </w:r>
    </w:p>
    <w:p w14:paraId="7FC66ECE">
      <w:pPr>
        <w:pStyle w:val="4"/>
        <w:spacing w:before="120" w:after="12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Лабораторный практикум №6. Администрирование информационных систем. Администрирование интранет-сервера IIS, корпоративный сайт и виртуальный каталог.</w:t>
      </w:r>
    </w:p>
    <w:p w14:paraId="263BC3EA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Настроить в Microsoft IIS службы WWW в глобальных сетях по параметрам.</w:t>
      </w:r>
    </w:p>
    <w:p w14:paraId="1605D691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Настроить в Microsoft IIS службы FTP в глобальных сетях по параметрам.</w:t>
      </w:r>
    </w:p>
    <w:p w14:paraId="11806861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Настроить в Microsoft IIS службы WWW в интранет-сети предприятия по параметрам,.</w:t>
      </w:r>
    </w:p>
    <w:p w14:paraId="2141AEEE">
      <w:pPr>
        <w:pStyle w:val="4"/>
        <w:spacing w:line="360" w:lineRule="auto"/>
        <w:jc w:val="both"/>
        <w:rPr>
          <w:rFonts w:hint="default" w:ascii="Times New Roman" w:hAnsi="Times New Roman" w:cs="Times New Roman"/>
          <w:i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Настроить в Microsoft IIS службы FTP в интранет-сети предприятия по параметрам.</w:t>
      </w:r>
    </w:p>
    <w:p w14:paraId="2AE0DFFC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Пошаговое решение:</w:t>
      </w:r>
    </w:p>
    <w:p w14:paraId="78F4E04E">
      <w:pPr>
        <w:pStyle w:val="5"/>
        <w:spacing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1. Настройка в Microsoft IIS служб WWW в глобальных сетях по параметрам</w:t>
      </w:r>
    </w:p>
    <w:p w14:paraId="2EBA5DD8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I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IS для обслуживания веб-сайтов, доступных в глобальной сети (через интернет).</w:t>
      </w:r>
    </w:p>
    <w:p w14:paraId="4FAD879D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091E1551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Установка роли IIS:</w:t>
      </w:r>
    </w:p>
    <w:p w14:paraId="0DD2DD68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серверов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F570845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Переходим в раздел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Добавить роли и компоненты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F98785F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мастере добавления ролей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Веб-сервер (IIS)</w:t>
      </w:r>
      <w:r>
        <w:rPr>
          <w:rFonts w:hint="default" w:ascii="Times New Roman" w:hAnsi="Times New Roman" w:cs="Times New Roman"/>
          <w:sz w:val="28"/>
          <w:szCs w:val="28"/>
        </w:rPr>
        <w:t xml:space="preserve"> и устанавливаем необходимые компоненты (например, службы для обработки HTTP, HTTPS, ASP.NET).</w:t>
      </w:r>
    </w:p>
    <w:p w14:paraId="074C6781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веб-сайта для глобального доступа:</w:t>
      </w:r>
    </w:p>
    <w:p w14:paraId="330CA8AE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IIS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57D44E2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левой панели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Сайты</w:t>
      </w:r>
      <w:r>
        <w:rPr>
          <w:rFonts w:hint="default" w:ascii="Times New Roman" w:hAnsi="Times New Roman" w:cs="Times New Roman"/>
          <w:sz w:val="28"/>
          <w:szCs w:val="28"/>
        </w:rPr>
        <w:t xml:space="preserve"> и нажимаем правой кнопкой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Добавить сайт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F2305BE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Указываем имя сайта, физический путь (папку, где находятся файлы сайта), и настраиваем IP-адрес и порт (например, порт 80 для HTTP или порт 443 для HTTPS).</w:t>
      </w:r>
    </w:p>
    <w:p w14:paraId="729C3372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глобального доступа настраиваем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DNS</w:t>
      </w:r>
      <w:r>
        <w:rPr>
          <w:rFonts w:hint="default" w:ascii="Times New Roman" w:hAnsi="Times New Roman" w:cs="Times New Roman"/>
          <w:sz w:val="28"/>
          <w:szCs w:val="28"/>
        </w:rPr>
        <w:t xml:space="preserve"> так, чтобы домен указывал на публичный IP-адрес сервера.</w:t>
      </w:r>
    </w:p>
    <w:p w14:paraId="5C0D7F82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брандмауэра для доступа из глобальной сети:</w:t>
      </w:r>
    </w:p>
    <w:p w14:paraId="5559B27F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Брандмауэр Windows с расширенными параметрами</w:t>
      </w:r>
      <w:r>
        <w:rPr>
          <w:rFonts w:hint="default" w:ascii="Times New Roman" w:hAnsi="Times New Roman" w:cs="Times New Roman"/>
          <w:sz w:val="28"/>
          <w:szCs w:val="28"/>
        </w:rPr>
        <w:t xml:space="preserve"> и добавляем правило для разрешения входящего трафика на порты 80 и 443 (HTTP и HTTPS).</w:t>
      </w:r>
    </w:p>
    <w:p w14:paraId="63670B43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Проверка доступа:</w:t>
      </w:r>
    </w:p>
    <w:p w14:paraId="7730662C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Пытаемся получить доступ к сайту из глобальной сети (через интернет), используя доменное имя или публичный IP-адрес.</w:t>
      </w:r>
    </w:p>
    <w:p w14:paraId="720158FB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01C1189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Настройка в Microsoft IIS служб FTP в глобальных сетях по параметрам</w:t>
      </w:r>
    </w:p>
    <w:p w14:paraId="00BDF9C9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IIS для обслуживания FTP-сервера, доступного через интернет.</w:t>
      </w:r>
    </w:p>
    <w:p w14:paraId="5C9B5E3A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351E96BF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Установка роли FTP:</w:t>
      </w:r>
    </w:p>
    <w:p w14:paraId="53E11E80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серверов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Добавить роли и компоненты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1532D41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мастере добавления ролей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Службы FTP</w:t>
      </w:r>
      <w:r>
        <w:rPr>
          <w:rFonts w:hint="default" w:ascii="Times New Roman" w:hAnsi="Times New Roman" w:cs="Times New Roman"/>
          <w:sz w:val="28"/>
          <w:szCs w:val="28"/>
        </w:rPr>
        <w:t xml:space="preserve"> в составе веб-сервера IIS.</w:t>
      </w:r>
    </w:p>
    <w:p w14:paraId="2974B451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FTP-сайта для глобального доступа:</w:t>
      </w:r>
    </w:p>
    <w:p w14:paraId="666D0F94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IIS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2FDB2A1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разделе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FTP-сайты</w:t>
      </w:r>
      <w:r>
        <w:rPr>
          <w:rFonts w:hint="default" w:ascii="Times New Roman" w:hAnsi="Times New Roman" w:cs="Times New Roman"/>
          <w:sz w:val="28"/>
          <w:szCs w:val="28"/>
        </w:rPr>
        <w:t xml:space="preserve"> добавляем новый FTP-сайт, указываем имя сайта и физический путь, где будут храниться файлы для FTP.</w:t>
      </w:r>
    </w:p>
    <w:p w14:paraId="7DC6DE19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Настроим аутентификацию и разрешения для пользователей FTP, используя аутентификацию по учетной записи Windows или базовую аутентификацию.</w:t>
      </w:r>
    </w:p>
    <w:p w14:paraId="3295120F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брандмауэра для FTP:</w:t>
      </w:r>
    </w:p>
    <w:p w14:paraId="7B0C1211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Брандмауэр Windows с расширенными параметрами</w:t>
      </w:r>
      <w:r>
        <w:rPr>
          <w:rFonts w:hint="default" w:ascii="Times New Roman" w:hAnsi="Times New Roman" w:cs="Times New Roman"/>
          <w:sz w:val="28"/>
          <w:szCs w:val="28"/>
        </w:rPr>
        <w:t xml:space="preserve"> и добавляем правило для разрешения трафика на порты 21 (FTP) и, если используется пассивный режим, дополнительные порты для пассивных соединений.</w:t>
      </w:r>
    </w:p>
    <w:p w14:paraId="24F9C040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NAT (если используется):</w:t>
      </w:r>
    </w:p>
    <w:p w14:paraId="30D9171F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сервер IIS находится за маршрутизатором, необходимо настроить проброс портов (port forwarding) на маршрутизаторе для порта 21 и пассивных портов.</w:t>
      </w:r>
    </w:p>
    <w:p w14:paraId="32F99EB3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Проверка доступа к FTP-серверу:</w:t>
      </w:r>
    </w:p>
    <w:p w14:paraId="49C65B97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Пытаемся подключиться к FTP-серверу с внешнего устройства через FTP-клиент, используя публичный IP-адрес или домен.</w:t>
      </w:r>
    </w:p>
    <w:p w14:paraId="2DC4FCE0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3BE924F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Настройка в Microsoft IIS служб WWW в интранет-сети предприятия по параметрам</w:t>
      </w:r>
    </w:p>
    <w:p w14:paraId="22477276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IIS для обслуживания веб-сайта в интранет-сети предприятия (доступного только внутри организации).</w:t>
      </w:r>
    </w:p>
    <w:p w14:paraId="76FB56A0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2B1C63CF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Установка IIS (если ещё не установлена):</w:t>
      </w:r>
    </w:p>
    <w:p w14:paraId="1A32EC7F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серверов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и добавляем роль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Веб-сервер IIS</w:t>
      </w:r>
      <w:r>
        <w:rPr>
          <w:rFonts w:hint="default" w:ascii="Times New Roman" w:hAnsi="Times New Roman" w:cs="Times New Roman"/>
          <w:sz w:val="28"/>
          <w:szCs w:val="28"/>
        </w:rPr>
        <w:t>, если это не было сделано ранее.</w:t>
      </w:r>
    </w:p>
    <w:p w14:paraId="2F1CB3EF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веб-сайта для интранет-сети:</w:t>
      </w:r>
    </w:p>
    <w:p w14:paraId="23D42CEF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IIS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E29EF4B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разделе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Сайты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создаём новый сайт. Указываем имя сайта, физический путь к файлам, и настраиваем IP-адрес для внутреннего использования (например, 192.168.x.x).</w:t>
      </w:r>
    </w:p>
    <w:p w14:paraId="3FFA7987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Настроим доменное имя для сайта (например,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intranet.company.local</w:t>
      </w:r>
      <w:r>
        <w:rPr>
          <w:rFonts w:hint="default" w:ascii="Times New Roman" w:hAnsi="Times New Roman" w:cs="Times New Roman"/>
          <w:sz w:val="28"/>
          <w:szCs w:val="28"/>
        </w:rPr>
        <w:t>), которое будет доступно только внутри организации.</w:t>
      </w:r>
    </w:p>
    <w:p w14:paraId="3551DA79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брандмауэра:</w:t>
      </w:r>
    </w:p>
    <w:p w14:paraId="34C447BF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Брандмауэр Windows</w:t>
      </w:r>
      <w:r>
        <w:rPr>
          <w:rFonts w:hint="default" w:ascii="Times New Roman" w:hAnsi="Times New Roman" w:cs="Times New Roman"/>
          <w:sz w:val="28"/>
          <w:szCs w:val="28"/>
        </w:rPr>
        <w:t xml:space="preserve"> и настраиваем правила, чтобы разрешить доступ на порты 80 и 443 только для внутренней сети (с помощью IP-фильтрации).</w:t>
      </w:r>
    </w:p>
    <w:p w14:paraId="08E83010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Проверка доступа:</w:t>
      </w:r>
    </w:p>
    <w:p w14:paraId="393A6686">
      <w:pPr>
        <w:pStyle w:val="4"/>
        <w:numPr>
          <w:ilvl w:val="1"/>
          <w:numId w:val="3"/>
        </w:numPr>
        <w:tabs>
          <w:tab w:val="left" w:pos="0"/>
          <w:tab w:val="clear" w:pos="1418"/>
        </w:tabs>
        <w:spacing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Проверяем доступ к веб-сайту с компьютеров в интранет-сети, используя доменное имя или внутренний IP-адрес.</w:t>
      </w:r>
    </w:p>
    <w:p w14:paraId="0115ED11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19B943B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Настройка в Microsoft IIS служб FTP в интранет-сети предприятия по параметрам</w:t>
      </w:r>
    </w:p>
    <w:p w14:paraId="5DEC0FFD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IIS для обслуживания FTP-сервера в интранет-сети предприятия.</w:t>
      </w:r>
    </w:p>
    <w:p w14:paraId="3C2BF5AE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16871873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Установка службы FTP (если ещё не установлена):</w:t>
      </w:r>
    </w:p>
    <w:p w14:paraId="28E7234F">
      <w:pPr>
        <w:pStyle w:val="4"/>
        <w:numPr>
          <w:ilvl w:val="1"/>
          <w:numId w:val="4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Диспетчере серверов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добавляем роль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Службы FTP</w:t>
      </w:r>
      <w:r>
        <w:rPr>
          <w:rFonts w:hint="default" w:ascii="Times New Roman" w:hAnsi="Times New Roman" w:cs="Times New Roman"/>
          <w:sz w:val="28"/>
          <w:szCs w:val="28"/>
        </w:rPr>
        <w:t xml:space="preserve"> в составе IIS.</w:t>
      </w:r>
    </w:p>
    <w:p w14:paraId="5D6381A7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FTP-сайта для интранет-сети:</w:t>
      </w:r>
    </w:p>
    <w:p w14:paraId="790E0E3D">
      <w:pPr>
        <w:pStyle w:val="4"/>
        <w:numPr>
          <w:ilvl w:val="1"/>
          <w:numId w:val="4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IIS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B658DE6">
      <w:pPr>
        <w:pStyle w:val="4"/>
        <w:numPr>
          <w:ilvl w:val="1"/>
          <w:numId w:val="4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разделе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FTP-сайты</w:t>
      </w:r>
      <w:r>
        <w:rPr>
          <w:rFonts w:hint="default" w:ascii="Times New Roman" w:hAnsi="Times New Roman" w:cs="Times New Roman"/>
          <w:sz w:val="28"/>
          <w:szCs w:val="28"/>
        </w:rPr>
        <w:t xml:space="preserve"> добавляем новый FTP-сайт, указываем имя сайта и физический путь для хранения файлов.</w:t>
      </w:r>
    </w:p>
    <w:p w14:paraId="08F7E0D4">
      <w:pPr>
        <w:pStyle w:val="4"/>
        <w:numPr>
          <w:ilvl w:val="1"/>
          <w:numId w:val="4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Настроим аутентификацию для пользователей, используя учетные записи Windows, и разрешим доступ только для определённых групп или пользователей.</w:t>
      </w:r>
    </w:p>
    <w:p w14:paraId="1419B113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брандмауэра для внутреннего доступа:</w:t>
      </w:r>
    </w:p>
    <w:p w14:paraId="1BDE6E34">
      <w:pPr>
        <w:pStyle w:val="4"/>
        <w:numPr>
          <w:ilvl w:val="1"/>
          <w:numId w:val="4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Брандмауэре Windows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создаём правило для разрешения трафика на порты 21 (FTP) и другие порты, если используется пассивный режим.</w:t>
      </w:r>
    </w:p>
    <w:p w14:paraId="69B0A041">
      <w:pPr>
        <w:pStyle w:val="4"/>
        <w:numPr>
          <w:ilvl w:val="0"/>
          <w:numId w:val="4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Проверка доступа к FTP-серверу:</w:t>
      </w:r>
    </w:p>
    <w:p w14:paraId="5AB93AB6">
      <w:pPr>
        <w:pStyle w:val="4"/>
        <w:numPr>
          <w:ilvl w:val="1"/>
          <w:numId w:val="4"/>
        </w:numPr>
        <w:tabs>
          <w:tab w:val="left" w:pos="0"/>
          <w:tab w:val="clear" w:pos="1418"/>
        </w:tabs>
        <w:spacing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Проверяем доступ к FTP-серверу с компьютеров в интранет-сети, используя FTP-клиент или проводник Windows.</w:t>
      </w:r>
    </w:p>
    <w:p w14:paraId="4F789BD3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Рез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ультат.</w:t>
      </w:r>
    </w:p>
    <w:p w14:paraId="3B37CB3E">
      <w:pPr>
        <w:pStyle w:val="4"/>
        <w:numPr>
          <w:ilvl w:val="0"/>
          <w:numId w:val="5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службы WWW в глобальных сетях: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IIS для обслуживания веб-сайтов, доступных через интернет, настроив порты и DNS для публичного доступа.</w:t>
      </w:r>
    </w:p>
    <w:p w14:paraId="27928DB5">
      <w:pPr>
        <w:pStyle w:val="4"/>
        <w:numPr>
          <w:ilvl w:val="0"/>
          <w:numId w:val="5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службы FTP в глобальных сетях: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IIS для работы FTP-сервера, открыв порты в брандмауэре и настроив NAT, если требуется.</w:t>
      </w:r>
    </w:p>
    <w:p w14:paraId="1A4BBD2F">
      <w:pPr>
        <w:pStyle w:val="4"/>
        <w:numPr>
          <w:ilvl w:val="0"/>
          <w:numId w:val="5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службы WWW в интранет-сети: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IIS для обслуживания внутренних сайтов, ограничив доступ только для локальных пользователей.</w:t>
      </w:r>
    </w:p>
    <w:p w14:paraId="0100F65C">
      <w:pPr>
        <w:pStyle w:val="4"/>
        <w:numPr>
          <w:ilvl w:val="0"/>
          <w:numId w:val="5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службы FTP в интранет-сети: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FTP-сервер для обмена файлами внутри организации, настроив соответствующие права доступа и брандмауэр.</w:t>
      </w:r>
    </w:p>
    <w:p w14:paraId="7EEA96AA">
      <w:pPr>
        <w:pStyle w:val="4"/>
        <w:spacing w:before="0" w:after="140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15C37A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5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6">
    <w:name w:val="heading 4"/>
    <w:basedOn w:val="3"/>
    <w:next w:val="4"/>
    <w:qFormat/>
    <w:uiPriority w:val="0"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List"/>
    <w:basedOn w:val="4"/>
    <w:qFormat/>
    <w:uiPriority w:val="0"/>
    <w:rPr>
      <w:rFonts w:cs="Lohit Devanagari"/>
    </w:rPr>
  </w:style>
  <w:style w:type="character" w:customStyle="1" w:styleId="11">
    <w:name w:val="Выделение жирным"/>
    <w:qFormat/>
    <w:uiPriority w:val="0"/>
    <w:rPr>
      <w:b/>
      <w:bCs/>
    </w:rPr>
  </w:style>
  <w:style w:type="character" w:customStyle="1" w:styleId="12">
    <w:name w:val="Интернет-ссылка"/>
    <w:uiPriority w:val="0"/>
    <w:rPr>
      <w:color w:val="000080"/>
      <w:u w:val="single"/>
    </w:rPr>
  </w:style>
  <w:style w:type="character" w:customStyle="1" w:styleId="13">
    <w:name w:val="Выделение1"/>
    <w:qFormat/>
    <w:uiPriority w:val="0"/>
    <w:rPr>
      <w:i/>
      <w:iCs/>
    </w:rPr>
  </w:style>
  <w:style w:type="character" w:customStyle="1" w:styleId="14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5">
    <w:name w:val="Исходный текст"/>
    <w:qFormat/>
    <w:uiPriority w:val="0"/>
    <w:rPr>
      <w:rFonts w:ascii="Liberation Mono" w:hAnsi="Liberation Mono" w:eastAsia="Noto Sans Mono CJK SC" w:cs="Liberation Mono"/>
    </w:rPr>
  </w:style>
  <w:style w:type="character" w:customStyle="1" w:styleId="16">
    <w:name w:val="Символ нумерации"/>
    <w:qFormat/>
    <w:uiPriority w:val="0"/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9">
    <w:name w:val="Заголовок таблицы"/>
    <w:basedOn w:val="18"/>
    <w:qFormat/>
    <w:uiPriority w:val="0"/>
    <w:pPr>
      <w:suppressLineNumbers/>
      <w:jc w:val="center"/>
    </w:pPr>
    <w:rPr>
      <w:b/>
      <w:bCs/>
    </w:rPr>
  </w:style>
  <w:style w:type="paragraph" w:styleId="20">
    <w:name w:val="List Paragraph"/>
    <w:basedOn w:val="1"/>
    <w:qFormat/>
    <w:uiPriority w:val="0"/>
    <w:pPr>
      <w:spacing w:before="0" w:after="200"/>
      <w:ind w:left="720" w:firstLine="0"/>
      <w:contextualSpacing/>
    </w:pPr>
  </w:style>
  <w:style w:type="paragraph" w:customStyle="1" w:styleId="21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customStyle="1" w:styleId="22">
    <w:name w:val="Горизонтальная линия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837</Words>
  <Characters>5472</Characters>
  <Paragraphs>92</Paragraphs>
  <TotalTime>181</TotalTime>
  <ScaleCrop>false</ScaleCrop>
  <LinksUpToDate>false</LinksUpToDate>
  <CharactersWithSpaces>6202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2024-06-03T10:39:00Z</dcterms:created>
  <dc:creator>media</dc:creator>
  <cp:lastModifiedBy>media</cp:lastModifiedBy>
  <dcterms:modified xsi:type="dcterms:W3CDTF">2025-01-10T11:48:25Z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2F3B5A15584C4E919611362C5F0EEC51_12</vt:lpwstr>
  </property>
</Properties>
</file>