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Лабораторный практикум №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Администрирование сервера баз данных. Планирование инфраструктуры сервера баз данных и выбор версий MS SQL Server.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/>
      </w:pPr>
      <w:r>
        <w:rPr>
          <w:i/>
        </w:rPr>
        <w:t>Лабораторный практикум №7. Администрирование сервера баз данных. Планирование инфраструктуры сервера баз данных и выбор версий MS SQL Server.</w:t>
      </w:r>
    </w:p>
    <w:p>
      <w:pPr>
        <w:pStyle w:val="Style18"/>
        <w:rPr/>
      </w:pPr>
      <w:r>
        <w:rPr/>
        <w:t>1. Провести анализ имеющихся на рынке программного обеспечения промышленных СУБД и версий MS SQL Server.</w:t>
      </w:r>
    </w:p>
    <w:p>
      <w:pPr>
        <w:pStyle w:val="Style18"/>
        <w:rPr/>
      </w:pPr>
      <w:r>
        <w:rPr/>
        <w:t>2. Настроить параметры MS SQL Server по заданию преподавателя.</w:t>
      </w:r>
    </w:p>
    <w:p>
      <w:pPr>
        <w:pStyle w:val="Style18"/>
        <w:rPr/>
      </w:pPr>
      <w:r>
        <w:rPr/>
        <w:t>3. Настроить группы связанных серверов по заданию преподавателя.</w:t>
      </w:r>
    </w:p>
    <w:p>
      <w:pPr>
        <w:pStyle w:val="Style18"/>
        <w:spacing w:lineRule="auto" w:line="240" w:before="120" w:after="120"/>
        <w:rPr>
          <w:i/>
          <w:i/>
        </w:rPr>
      </w:pPr>
      <w:r>
        <w:rPr/>
      </w:r>
    </w:p>
    <w:p>
      <w:pPr>
        <w:pStyle w:val="Style18"/>
        <w:spacing w:lineRule="auto" w:line="240" w:before="120" w:after="120"/>
        <w:rPr>
          <w:i/>
          <w:i/>
        </w:rPr>
      </w:pPr>
      <w:r>
        <w:rPr/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spacing w:lineRule="auto" w:line="240" w:before="120" w:after="120"/>
        <w:rPr/>
      </w:pPr>
      <w:r>
        <w:rPr/>
        <w:t>Лабораторный практикум №7. Администрирование сервера баз данных. Планирование инфраструктуры сервера баз данных и выбор версий MS SQL Server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Овладеть навыками планирования инфраструктуры сервера баз данных, выбора подходящей версии MS SQL Server и настройкой параметров сервера и групп связанных серверов.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1. Проведение анализа имеющихся на рынке программного обеспечения промышленных СУБД и версий MS SQL Server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Анализируем существующие на рынке системы управления базами данных (СУБД), включая MS SQL Server, для выбора подходящей версии в зависимости от требований организации.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Обзор популярных промышленных СУБД: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1"/>
        </w:rPr>
        <w:t>Microsoft SQL Server:</w:t>
      </w:r>
      <w:r>
        <w:rPr/>
        <w:t xml:space="preserve"> Очень популярная СУБД, поддерживающая различные версии: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SQL Server 2019/2022</w:t>
      </w:r>
      <w:r>
        <w:rPr/>
        <w:t xml:space="preserve"> — актуальные версии с улучшенной производительностью, поддержкой новых типов данных, усиленной безопасностью и интеграцией с облачными сервисами.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SQL Server Express</w:t>
      </w:r>
      <w:r>
        <w:rPr/>
        <w:t xml:space="preserve"> — бесплатная версия с ограничениями по памяти и объему базы данных.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SQL Server Web, Standard, Enterprise</w:t>
      </w:r>
      <w:r>
        <w:rPr/>
        <w:t xml:space="preserve"> — различные версии с различным набором функционала для небольших, средних и крупных организаций.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1"/>
        </w:rPr>
        <w:t>Oracle Database:</w:t>
      </w:r>
      <w:r>
        <w:rPr/>
        <w:t xml:space="preserve"> Один из лидеров на рынке крупных корпоративных решений. Поддерживает множество функциональностей, включая кластеризацию, высокую доступность, расширенные средства безопасности и многозадачность.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1"/>
        </w:rPr>
        <w:t>MySQL:</w:t>
      </w:r>
      <w:r>
        <w:rPr/>
        <w:t xml:space="preserve"> Популярная открытая СУБД, используемая в основном для веб-приложений. Предлагает хорошую производительность и легкость в настройке.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1"/>
        </w:rPr>
        <w:t>PostgreSQL:</w:t>
      </w:r>
      <w:r>
        <w:rPr/>
        <w:t xml:space="preserve"> Еще одна популярная открытая СУБД с расширенными возможностями, включая работу с географическими данными и высокую совместимость с SQL.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Выбор версии MS SQL Server: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небольших и средних проектов можно использовать </w:t>
      </w:r>
      <w:r>
        <w:rPr>
          <w:rStyle w:val="Style11"/>
        </w:rPr>
        <w:t>SQL Server Express</w:t>
      </w:r>
      <w:r>
        <w:rPr/>
        <w:t xml:space="preserve"> или </w:t>
      </w:r>
      <w:r>
        <w:rPr>
          <w:rStyle w:val="Style11"/>
        </w:rPr>
        <w:t>SQL Server Standard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крупных проектов, требующих масштабируемости, высоких требований к производительности и безопасности, оптимален </w:t>
      </w:r>
      <w:r>
        <w:rPr>
          <w:rStyle w:val="Style11"/>
        </w:rPr>
        <w:t>SQL Server Enterprise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облачных решений и интеграции с Microsoft Azure часто используется версия </w:t>
      </w:r>
      <w:r>
        <w:rPr>
          <w:rStyle w:val="Style11"/>
        </w:rPr>
        <w:t>SQL Server Web</w:t>
      </w:r>
      <w:r>
        <w:rPr/>
        <w:t xml:space="preserve">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Анализ лицензирования: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малых предприятий оптимальны бесплатные версии, такие как </w:t>
      </w:r>
      <w:r>
        <w:rPr>
          <w:rStyle w:val="Style11"/>
        </w:rPr>
        <w:t>SQL Server Express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Для крупных организаций стоит выбирать версии с лицензией по процессору или по количеству пользователей, в зависимости от требований к масштабируемости.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2. Настройка параметров MS SQL Server по заданию преподавателя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параметры MS SQL Server, чтобы он соответствовал техническим требованиям преподавателя или предприятия.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MS SQL Server: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Загружаем и устанавливаем нужную версию SQL Server (например, </w:t>
      </w:r>
      <w:r>
        <w:rPr>
          <w:rStyle w:val="Style11"/>
        </w:rPr>
        <w:t>SQL Server 2019/2022</w:t>
      </w:r>
      <w:r>
        <w:rPr/>
        <w:t xml:space="preserve">).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процессе установки выбираем необходимые компоненты, такие как </w:t>
      </w:r>
      <w:r>
        <w:rPr>
          <w:rStyle w:val="Style11"/>
        </w:rPr>
        <w:t>SQL Server Database Engine</w:t>
      </w:r>
      <w:r>
        <w:rPr/>
        <w:t xml:space="preserve">, </w:t>
      </w:r>
      <w:r>
        <w:rPr>
          <w:rStyle w:val="Style11"/>
        </w:rPr>
        <w:t>SQL Server Management Studio (SSMS)</w:t>
      </w:r>
      <w:r>
        <w:rPr/>
        <w:t xml:space="preserve">, </w:t>
      </w:r>
      <w:r>
        <w:rPr>
          <w:rStyle w:val="Style11"/>
        </w:rPr>
        <w:t>SQL Server Integration Services (SSIS)</w:t>
      </w:r>
      <w:r>
        <w:rPr/>
        <w:t xml:space="preserve">, если это необходимо.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Конфигурация экземпляра SQL Server: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SQL Server Management Studio (SSMS)</w:t>
      </w:r>
      <w:r>
        <w:rPr/>
        <w:t xml:space="preserve"> и подключаемся к экземпляру SQL Server.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Настроим параметры конфигурации сервера через </w:t>
      </w:r>
      <w:r>
        <w:rPr>
          <w:rStyle w:val="Style11"/>
        </w:rPr>
        <w:t>SQL Server Configuration Manager</w:t>
      </w:r>
      <w:r>
        <w:rPr/>
        <w:t xml:space="preserve">, такие как: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SQL Server Network Configuration:</w:t>
      </w:r>
      <w:r>
        <w:rPr/>
        <w:t xml:space="preserve"> Настроим доступ через TCP/IP для удаленных подключений.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SQL Server Services:</w:t>
      </w:r>
      <w:r>
        <w:rPr/>
        <w:t xml:space="preserve"> Убедимся, что все необходимые службы, такие как SQL Server, SQL Server Agent, и SQL Browser, запущены.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аутентификации: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SSMS</w:t>
      </w:r>
      <w:r>
        <w:rPr/>
        <w:t xml:space="preserve"> переходим в </w:t>
      </w:r>
      <w:r>
        <w:rPr>
          <w:rStyle w:val="Style11"/>
        </w:rPr>
        <w:t>Security</w:t>
      </w:r>
      <w:r>
        <w:rPr/>
        <w:t xml:space="preserve"> и выбираем тип аутентификации: </w:t>
      </w:r>
      <w:r>
        <w:rPr>
          <w:rStyle w:val="Style11"/>
        </w:rPr>
        <w:t>Windows Authentication</w:t>
      </w:r>
      <w:r>
        <w:rPr/>
        <w:t xml:space="preserve"> или </w:t>
      </w:r>
      <w:r>
        <w:rPr>
          <w:rStyle w:val="Style11"/>
        </w:rPr>
        <w:t>SQL Server Authentication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Создаём пользователей, задаём им роли и разрешения.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параметров производительности: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Настроим параметры памяти, такие как максимальное количество памяти для SQL Server, чтобы обеспечить стабильную работу в условиях высокой нагрузки.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Advanced</w:t>
      </w:r>
      <w:r>
        <w:rPr/>
        <w:t xml:space="preserve"> настройки настраиваем параметры кэширования, индексирования и оптимизации запросов.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резервного копирования и восстановления: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Создадим планы резервного копирования и восстановления для обеспечения безопасности данных.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SQL Server Management Studio</w:t>
      </w:r>
      <w:r>
        <w:rPr/>
        <w:t xml:space="preserve"> можно настроить автоматическое резервное копирование с помощью </w:t>
      </w:r>
      <w:r>
        <w:rPr>
          <w:rStyle w:val="Style11"/>
        </w:rPr>
        <w:t>SQL Server Agent</w:t>
      </w:r>
      <w:r>
        <w:rPr/>
        <w:t xml:space="preserve">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Тестирование настроек: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Выполним тестирование работы сервера, например, с помощью простых SQL-запросов и мониторинга производительности.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3. Настройка групп связанных серверов по заданию преподавателя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группы связанных серверов для организации взаимодействия между несколькими экземплярами SQL Server.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групп связанных серверов: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SQL Server Management Studio (SSMS)</w:t>
      </w:r>
      <w:r>
        <w:rPr/>
        <w:t xml:space="preserve"> открываем </w:t>
      </w:r>
      <w:r>
        <w:rPr>
          <w:rStyle w:val="Style11"/>
        </w:rPr>
        <w:t>Object Explorer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раздел </w:t>
      </w:r>
      <w:r>
        <w:rPr>
          <w:rStyle w:val="Style11"/>
        </w:rPr>
        <w:t>Server Objects</w:t>
      </w:r>
      <w:r>
        <w:rPr/>
        <w:t xml:space="preserve"> -&gt; </w:t>
      </w:r>
      <w:r>
        <w:rPr>
          <w:rStyle w:val="Style11"/>
        </w:rPr>
        <w:t>Linked Servers</w:t>
      </w:r>
      <w:r>
        <w:rPr/>
        <w:t xml:space="preserve">, и правой кнопкой мыши выбираем </w:t>
      </w:r>
      <w:r>
        <w:rPr>
          <w:rStyle w:val="Style11"/>
        </w:rPr>
        <w:t>New Linked Server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Указываем имя связанного сервера, выбираем его тип (например, </w:t>
      </w:r>
      <w:r>
        <w:rPr>
          <w:rStyle w:val="Style11"/>
        </w:rPr>
        <w:t>SQL Server</w:t>
      </w:r>
      <w:r>
        <w:rPr/>
        <w:t xml:space="preserve"> или </w:t>
      </w:r>
      <w:r>
        <w:rPr>
          <w:rStyle w:val="Style11"/>
        </w:rPr>
        <w:t>OLE DB</w:t>
      </w:r>
      <w:r>
        <w:rPr/>
        <w:t xml:space="preserve"> для подключения к другим СУБД).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параметров подключения: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диалоговом окне настроек связанного сервера указываем сервер, с которым требуется установить связь, и тип аутентификации (например, </w:t>
      </w:r>
      <w:r>
        <w:rPr>
          <w:rStyle w:val="Style11"/>
        </w:rPr>
        <w:t>Windows Authentication</w:t>
      </w:r>
      <w:r>
        <w:rPr/>
        <w:t xml:space="preserve"> или </w:t>
      </w:r>
      <w:r>
        <w:rPr>
          <w:rStyle w:val="Style11"/>
        </w:rPr>
        <w:t>SQL Server Authentication</w:t>
      </w:r>
      <w:r>
        <w:rPr/>
        <w:t xml:space="preserve">).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SQL Server указать настройки, такие как имя сервера и тип протокола (TCP/IP, Named Pipes и т. д.).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Тестирование подключения: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После настройки связанного сервера проводим тестирование с помощью команды: </w:t>
      </w:r>
    </w:p>
    <w:p>
      <w:pPr>
        <w:pStyle w:val="Style24"/>
        <w:numPr>
          <w:ilvl w:val="0"/>
          <w:numId w:val="0"/>
        </w:numPr>
        <w:spacing w:before="0" w:after="283"/>
        <w:ind w:hanging="0"/>
        <w:rPr/>
      </w:pPr>
      <w:r>
        <w:rPr>
          <w:rStyle w:val="Style15"/>
        </w:rPr>
        <w:t>SELECT * FROM [LinkedServerName].[DatabaseName].[Schema].[TableName]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Проверяем успешное выполнение запросов к удаленным серверам.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безопасности и прав доступа: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настройках связанного сервера можно определить, какой пользователь будет использоваться для аутентификации на удаленном сервере (через опцию </w:t>
      </w:r>
      <w:r>
        <w:rPr>
          <w:rStyle w:val="Style11"/>
        </w:rPr>
        <w:t>Security</w:t>
      </w:r>
      <w:r>
        <w:rPr/>
        <w:t xml:space="preserve">).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 уровне безопасности можно настроить разрешения для конкретных пользователей на выполнение операций через связанные серверы.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Использование связанного сервера: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Используем связанный сервер для выполнения распределённых запросов, например, объединение данных из нескольких баз данных с разных серверов.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Анализ СУБД и версий MS SQL Server:</w:t>
      </w:r>
      <w:r>
        <w:rPr/>
        <w:t xml:space="preserve"> Проводим анализ рынка СУБД, выбираем подходящую версию MS SQL Server, учитывая требования по функционалу и лицензированию.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параметров MS SQL Server:</w:t>
      </w:r>
      <w:r>
        <w:rPr/>
        <w:t xml:space="preserve"> Устанавливаем и настраиваем MS SQL Server, включая параметры безопасности, производительности и резервного копирования.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групп связанных серверов:</w:t>
      </w:r>
      <w:r>
        <w:rPr/>
        <w:t xml:space="preserve"> Настроим взаимодействие между несколькими экземплярами SQL Server с помощью групп связанных серверов, обеспечиваем безопасность и производительность запросов между серверами. </w:t>
      </w:r>
    </w:p>
    <w:p>
      <w:pPr>
        <w:pStyle w:val="Style18"/>
        <w:rPr/>
      </w:pPr>
      <w:r>
        <w:rPr/>
      </w:r>
    </w:p>
    <w:p>
      <w:pPr>
        <w:pStyle w:val="Style18"/>
        <w:spacing w:before="0" w:after="1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LibreOffice/7.3.7.2$Linux_X86_64 LibreOffice_project/30$Build-2</Application>
  <AppVersion>15.0000</AppVersion>
  <Pages>5</Pages>
  <Words>947</Words>
  <Characters>6509</Characters>
  <CharactersWithSpaces>7382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2024-12-04T12:36:11Z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