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C31AD" w14:textId="77777777" w:rsidR="00865DA2" w:rsidRPr="002E5C45" w:rsidRDefault="00865DA2" w:rsidP="00865DA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06E1680" wp14:editId="5A620237">
            <wp:simplePos x="0" y="0"/>
            <wp:positionH relativeFrom="margin">
              <wp:posOffset>-1094105</wp:posOffset>
            </wp:positionH>
            <wp:positionV relativeFrom="margin">
              <wp:posOffset>-341687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75BAAB36" w14:textId="77777777" w:rsidR="00865DA2" w:rsidRPr="00F7297F" w:rsidRDefault="00865DA2" w:rsidP="00865DA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5473014" w14:textId="51C4B066" w:rsidR="00865DA2" w:rsidRPr="00F7297F" w:rsidRDefault="00562636" w:rsidP="00865DA2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Эссе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65DA2" w:rsidRPr="00F7297F" w14:paraId="48872723" w14:textId="77777777" w:rsidTr="001E41BB">
        <w:tc>
          <w:tcPr>
            <w:tcW w:w="1417" w:type="dxa"/>
          </w:tcPr>
          <w:p w14:paraId="670C33AC" w14:textId="77777777" w:rsidR="00865DA2" w:rsidRPr="00F7297F" w:rsidRDefault="00865DA2" w:rsidP="001E41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A274777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FED9558" w14:textId="4D931E6B" w:rsidR="00865DA2" w:rsidRPr="009C6EE0" w:rsidRDefault="00865DA2" w:rsidP="001E41BB">
            <w:pPr>
              <w:pStyle w:val="1"/>
              <w:shd w:val="clear" w:color="auto" w:fill="F3F2EF"/>
              <w:spacing w:before="0" w:beforeAutospacing="0" w:after="300" w:afterAutospacing="0" w:line="300" w:lineRule="atLeast"/>
              <w:ind w:right="3300"/>
              <w:rPr>
                <w:rFonts w:eastAsiaTheme="minorHAnsi"/>
                <w:b w:val="0"/>
                <w:bCs w:val="0"/>
                <w:kern w:val="0"/>
                <w:sz w:val="26"/>
                <w:szCs w:val="26"/>
                <w:lang w:val="ru-RU"/>
              </w:rPr>
            </w:pPr>
            <w:r w:rsidRPr="00865DA2">
              <w:rPr>
                <w:rFonts w:eastAsiaTheme="minorHAnsi"/>
                <w:b w:val="0"/>
                <w:bCs w:val="0"/>
                <w:kern w:val="0"/>
                <w:sz w:val="26"/>
                <w:szCs w:val="26"/>
                <w:lang w:val="ru-RU"/>
              </w:rPr>
              <w:t>Гибридный блокчейн. Преимущества, недостатки, примеры</w:t>
            </w:r>
          </w:p>
        </w:tc>
      </w:tr>
      <w:tr w:rsidR="00865DA2" w:rsidRPr="00F7297F" w14:paraId="1D7E51B1" w14:textId="77777777" w:rsidTr="001E41BB">
        <w:tc>
          <w:tcPr>
            <w:tcW w:w="1417" w:type="dxa"/>
          </w:tcPr>
          <w:p w14:paraId="03F53F36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86B7C2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5446FB5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65DA2" w:rsidRPr="00F7297F" w14:paraId="66FB33E2" w14:textId="77777777" w:rsidTr="001E41BB">
        <w:tc>
          <w:tcPr>
            <w:tcW w:w="1417" w:type="dxa"/>
          </w:tcPr>
          <w:p w14:paraId="1210AC19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4A708C9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708C85C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DA2" w:rsidRPr="00F7297F" w14:paraId="6408A199" w14:textId="77777777" w:rsidTr="001E41BB">
        <w:tc>
          <w:tcPr>
            <w:tcW w:w="2268" w:type="dxa"/>
            <w:gridSpan w:val="3"/>
          </w:tcPr>
          <w:p w14:paraId="4E02435C" w14:textId="77777777" w:rsidR="00865DA2" w:rsidRPr="00F7297F" w:rsidRDefault="00865DA2" w:rsidP="001E41B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47DF0D98" w14:textId="77777777" w:rsidR="00865DA2" w:rsidRPr="00F7297F" w:rsidRDefault="00865DA2" w:rsidP="001E41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3194CA5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9E3A46" w14:textId="77777777" w:rsidR="00865DA2" w:rsidRPr="002E5C45" w:rsidRDefault="00865DA2" w:rsidP="001E41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2E4B39" w14:textId="23B009C0" w:rsidR="00865DA2" w:rsidRPr="002E5C45" w:rsidRDefault="00562636" w:rsidP="001E41BB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Эфириум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на российском рынке</w:t>
            </w:r>
          </w:p>
        </w:tc>
      </w:tr>
      <w:tr w:rsidR="00865DA2" w:rsidRPr="00F7297F" w14:paraId="70594866" w14:textId="77777777" w:rsidTr="001E41BB">
        <w:tc>
          <w:tcPr>
            <w:tcW w:w="2268" w:type="dxa"/>
            <w:gridSpan w:val="3"/>
          </w:tcPr>
          <w:p w14:paraId="3A2C46E5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FA890A3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0C1A811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C3B620C" w14:textId="77777777" w:rsidR="00865DA2" w:rsidRPr="00F7297F" w:rsidRDefault="00865DA2" w:rsidP="00865DA2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7D2D3CE6" w14:textId="77777777" w:rsidR="00865DA2" w:rsidRPr="00F7297F" w:rsidRDefault="00865DA2" w:rsidP="00865DA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58"/>
        <w:gridCol w:w="280"/>
        <w:gridCol w:w="1877"/>
      </w:tblGrid>
      <w:tr w:rsidR="00865DA2" w:rsidRPr="00F7297F" w14:paraId="6A2438F2" w14:textId="77777777" w:rsidTr="001E41BB">
        <w:tc>
          <w:tcPr>
            <w:tcW w:w="2061" w:type="dxa"/>
          </w:tcPr>
          <w:p w14:paraId="4B863BE4" w14:textId="77777777" w:rsidR="00865DA2" w:rsidRPr="00F7297F" w:rsidRDefault="00865DA2" w:rsidP="001E41BB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7B468E0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F284B6A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Бармин Андрей Сергеевич</w:t>
            </w:r>
          </w:p>
        </w:tc>
        <w:tc>
          <w:tcPr>
            <w:tcW w:w="283" w:type="dxa"/>
          </w:tcPr>
          <w:p w14:paraId="27E20D08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61AB87C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DA2" w:rsidRPr="00F7297F" w14:paraId="4DD4A78E" w14:textId="77777777" w:rsidTr="001E41BB">
        <w:tc>
          <w:tcPr>
            <w:tcW w:w="2061" w:type="dxa"/>
          </w:tcPr>
          <w:p w14:paraId="0AA99C32" w14:textId="77777777" w:rsidR="00865DA2" w:rsidRPr="00F7297F" w:rsidRDefault="00865DA2" w:rsidP="001E41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7D9DC71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BEAB051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57B0864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BFDACA1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65DA2" w:rsidRPr="00F7297F" w14:paraId="36349C69" w14:textId="77777777" w:rsidTr="001E41BB">
        <w:tc>
          <w:tcPr>
            <w:tcW w:w="2061" w:type="dxa"/>
          </w:tcPr>
          <w:p w14:paraId="722CD138" w14:textId="77777777" w:rsidR="00865DA2" w:rsidRPr="00F7297F" w:rsidRDefault="00865DA2" w:rsidP="001E41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C633AFE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5DB009C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5C4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ВБИо-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  <w:r w:rsidRPr="002E5C4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08рсоб</w:t>
            </w:r>
          </w:p>
        </w:tc>
        <w:tc>
          <w:tcPr>
            <w:tcW w:w="283" w:type="dxa"/>
          </w:tcPr>
          <w:p w14:paraId="7DB32E72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09BA15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DA2" w:rsidRPr="00F7297F" w14:paraId="6EE12772" w14:textId="77777777" w:rsidTr="001E41BB">
        <w:tc>
          <w:tcPr>
            <w:tcW w:w="2061" w:type="dxa"/>
          </w:tcPr>
          <w:p w14:paraId="1B612763" w14:textId="77777777" w:rsidR="00865DA2" w:rsidRPr="00F7297F" w:rsidRDefault="00865DA2" w:rsidP="001E41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930C020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E47908C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A812DB0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8C2A92E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B3232B" w14:textId="77777777" w:rsidR="00865DA2" w:rsidRPr="00F7297F" w:rsidRDefault="00865DA2" w:rsidP="00865DA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959120C" w14:textId="77777777" w:rsidR="00865DA2" w:rsidRPr="00F7297F" w:rsidRDefault="00865DA2" w:rsidP="00865DA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65DA2" w:rsidRPr="00F7297F" w14:paraId="7AFA9618" w14:textId="77777777" w:rsidTr="001E41BB">
        <w:tc>
          <w:tcPr>
            <w:tcW w:w="2155" w:type="dxa"/>
          </w:tcPr>
          <w:p w14:paraId="79161FA3" w14:textId="77777777" w:rsidR="00865DA2" w:rsidRPr="00F7297F" w:rsidRDefault="00865DA2" w:rsidP="001E41B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0C8A2C7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C19A229" w14:textId="7BF6F0E4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Артамонов Артур Артурович</w:t>
            </w:r>
          </w:p>
        </w:tc>
        <w:tc>
          <w:tcPr>
            <w:tcW w:w="283" w:type="dxa"/>
          </w:tcPr>
          <w:p w14:paraId="4E6EA7A8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622AAAE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DA2" w:rsidRPr="00F7297F" w14:paraId="1A38E4A8" w14:textId="77777777" w:rsidTr="001E41BB">
        <w:tc>
          <w:tcPr>
            <w:tcW w:w="2155" w:type="dxa"/>
          </w:tcPr>
          <w:p w14:paraId="7A5D2275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FFD990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2F4A5B48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29C9732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C614249" w14:textId="77777777" w:rsidR="00865DA2" w:rsidRPr="00F7297F" w:rsidRDefault="00865DA2" w:rsidP="001E41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3A8B75B" w14:textId="77777777" w:rsidR="00865DA2" w:rsidRPr="00F7297F" w:rsidRDefault="00865DA2" w:rsidP="00865DA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A8EEBFC" w14:textId="77777777" w:rsidR="00865DA2" w:rsidRPr="00F7297F" w:rsidRDefault="00865DA2" w:rsidP="00865DA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7FFF8CA" w14:textId="77777777" w:rsidR="00865DA2" w:rsidRDefault="00865DA2" w:rsidP="00865DA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F839D8" w14:textId="77777777" w:rsidR="00865DA2" w:rsidRDefault="00865DA2" w:rsidP="00865DA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CFF2DB" w14:textId="77777777" w:rsidR="00865DA2" w:rsidRDefault="00865DA2" w:rsidP="00865DA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6A477CD" w14:textId="77777777" w:rsidR="00865DA2" w:rsidRDefault="00865DA2" w:rsidP="00865DA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94CECF" w14:textId="77777777" w:rsidR="00865DA2" w:rsidRDefault="00865DA2" w:rsidP="00865DA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CEC526" w14:textId="77777777" w:rsidR="00865DA2" w:rsidRDefault="00865DA2" w:rsidP="00865DA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0CD3A8A" w14:textId="77777777" w:rsidR="00562636" w:rsidRPr="00562636" w:rsidRDefault="00562636" w:rsidP="0056263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636">
        <w:rPr>
          <w:rFonts w:ascii="Times New Roman" w:hAnsi="Times New Roman" w:cs="Times New Roman"/>
          <w:sz w:val="28"/>
          <w:szCs w:val="28"/>
        </w:rPr>
        <w:lastRenderedPageBreak/>
        <w:t>Эфириум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был запущен в 2015 году как децентрализованная платформа на основе блокчейна, разработанная программистом Виталиком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Бутериным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и его командой. С той поры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значительно изменил схему функционирования блокчейнов и привнёс интеллектуальные контракты (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contracts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>) как стандартный инструмент для создания децентрализованных приложений (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dApps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). На данный момент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занимает второе место по капитализации среди всех криптовалют, следуя за Биткойном. Эта платформа привлекла внимание разработчиков, предпринимателей и инвесторов по всему миру благодаря своей гибкости и возможностям.</w:t>
      </w:r>
    </w:p>
    <w:p w14:paraId="3C4BA4C3" w14:textId="5CF999E5" w:rsidR="00562636" w:rsidRPr="00562636" w:rsidRDefault="00562636" w:rsidP="00562636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636">
        <w:rPr>
          <w:rFonts w:ascii="Times New Roman" w:hAnsi="Times New Roman" w:cs="Times New Roman"/>
          <w:b/>
          <w:bCs/>
          <w:sz w:val="28"/>
          <w:szCs w:val="28"/>
        </w:rPr>
        <w:t xml:space="preserve">Уникальные особенности </w:t>
      </w:r>
      <w:proofErr w:type="spellStart"/>
      <w:r w:rsidRPr="00562636">
        <w:rPr>
          <w:rFonts w:ascii="Times New Roman" w:hAnsi="Times New Roman" w:cs="Times New Roman"/>
          <w:b/>
          <w:bCs/>
          <w:sz w:val="28"/>
          <w:szCs w:val="28"/>
        </w:rPr>
        <w:t>Эфириума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FCA482" w14:textId="77777777" w:rsidR="00562636" w:rsidRPr="00562636" w:rsidRDefault="00562636" w:rsidP="0056263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>Смарт-контракты:</w:t>
      </w:r>
    </w:p>
    <w:p w14:paraId="433FD6A2" w14:textId="77777777" w:rsidR="00562636" w:rsidRPr="00562636" w:rsidRDefault="00562636" w:rsidP="00562636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>Смарт-контракты представляют собой программируемые контракты, которые автоматически исполняются при выполнении предварительно определенных условий. Это позволяет осуществлять разнообразные операции без необходимости стороннего контроля или посредничества.</w:t>
      </w:r>
    </w:p>
    <w:p w14:paraId="0319E2AA" w14:textId="77777777" w:rsidR="00562636" w:rsidRPr="00562636" w:rsidRDefault="00562636" w:rsidP="00562636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>Они находятся в основе многих децентрализованных приложений и позволяют автоматизировать процессы, такие как финансовые соглашения, управление активами, и даже голосование.</w:t>
      </w:r>
    </w:p>
    <w:p w14:paraId="1319571F" w14:textId="77777777" w:rsidR="00562636" w:rsidRPr="00562636" w:rsidRDefault="00562636" w:rsidP="0056263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>Децентрализованные приложения (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dApps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>):</w:t>
      </w:r>
    </w:p>
    <w:p w14:paraId="4E2FFF0E" w14:textId="77777777" w:rsidR="00562636" w:rsidRPr="00562636" w:rsidRDefault="00562636" w:rsidP="00562636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636">
        <w:rPr>
          <w:rFonts w:ascii="Times New Roman" w:hAnsi="Times New Roman" w:cs="Times New Roman"/>
          <w:sz w:val="28"/>
          <w:szCs w:val="28"/>
        </w:rPr>
        <w:t>dApps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могут функционировать на платформе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благодаря его открытой архитектуре, что делает возможным создание приложений для различных секторов, включая финансы (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DeFi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>), игры, социальные сети и многое другое.</w:t>
      </w:r>
    </w:p>
    <w:p w14:paraId="22588ECF" w14:textId="77777777" w:rsidR="00562636" w:rsidRPr="00562636" w:rsidRDefault="00562636" w:rsidP="00562636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Эфириума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dApps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также обеспечивает пользователям высокий уровень безопасности, так как все действия записываются в блокчейн, что делает их прозрачными и непроверяемыми.</w:t>
      </w:r>
    </w:p>
    <w:p w14:paraId="3A6B630E" w14:textId="77777777" w:rsidR="00562636" w:rsidRPr="00562636" w:rsidRDefault="00562636" w:rsidP="0056263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>:</w:t>
      </w:r>
    </w:p>
    <w:p w14:paraId="44C3F158" w14:textId="77777777" w:rsidR="00562636" w:rsidRPr="00562636" w:rsidRDefault="00562636" w:rsidP="00562636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позволяет создавать и использовать токены, которые могут представлять активы, услуги или любые другие формы ценности. Это открывает новые возможности для инвестиций и распределения ресурсов, например, через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Coin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Offerings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ICOs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>) или новые модели финансирования.</w:t>
      </w:r>
    </w:p>
    <w:p w14:paraId="2C0E8DF8" w14:textId="77777777" w:rsidR="00562636" w:rsidRPr="00562636" w:rsidRDefault="00562636" w:rsidP="0056263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 xml:space="preserve">Переход на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2.0:</w:t>
      </w:r>
    </w:p>
    <w:p w14:paraId="45692422" w14:textId="77777777" w:rsidR="00562636" w:rsidRPr="00562636" w:rsidRDefault="00562636" w:rsidP="00562636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lastRenderedPageBreak/>
        <w:t xml:space="preserve">В 2020 году начался процесс перехода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Эфириума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на новую версию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2.0, которая включает обновления, такие как переход на механизм консенсуса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Proof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Stake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) вместо устаревшего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Proof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Work (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>). Это направлено на улучшение масштабируемости, безопасности и устойчивости сети.</w:t>
      </w:r>
    </w:p>
    <w:p w14:paraId="6D9BF94D" w14:textId="77777777" w:rsidR="00562636" w:rsidRPr="00562636" w:rsidRDefault="00562636" w:rsidP="00562636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2636">
        <w:rPr>
          <w:rFonts w:ascii="Times New Roman" w:hAnsi="Times New Roman" w:cs="Times New Roman"/>
          <w:b/>
          <w:bCs/>
          <w:sz w:val="28"/>
          <w:szCs w:val="28"/>
        </w:rPr>
        <w:t>Эфириум</w:t>
      </w:r>
      <w:proofErr w:type="spellEnd"/>
      <w:r w:rsidRPr="00562636">
        <w:rPr>
          <w:rFonts w:ascii="Times New Roman" w:hAnsi="Times New Roman" w:cs="Times New Roman"/>
          <w:b/>
          <w:bCs/>
          <w:sz w:val="28"/>
          <w:szCs w:val="28"/>
        </w:rPr>
        <w:t xml:space="preserve"> на российском рынке</w:t>
      </w:r>
    </w:p>
    <w:p w14:paraId="13B7EDB8" w14:textId="77777777" w:rsidR="00562636" w:rsidRPr="00562636" w:rsidRDefault="00562636" w:rsidP="0056263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 xml:space="preserve">На российском рынке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стал популярным не только среди трейдеров и инвесторов, но и среди разработчиков и стартапов. Однако его путь имеет свои особенности:</w:t>
      </w:r>
    </w:p>
    <w:p w14:paraId="1227714E" w14:textId="77777777" w:rsidR="00562636" w:rsidRPr="00562636" w:rsidRDefault="00562636" w:rsidP="00562636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636">
        <w:rPr>
          <w:rFonts w:ascii="Times New Roman" w:hAnsi="Times New Roman" w:cs="Times New Roman"/>
          <w:b/>
          <w:bCs/>
          <w:sz w:val="28"/>
          <w:szCs w:val="28"/>
        </w:rPr>
        <w:t>Регуляторная неопределенность:</w:t>
      </w:r>
    </w:p>
    <w:p w14:paraId="0E327F6D" w14:textId="77777777" w:rsidR="00562636" w:rsidRPr="00562636" w:rsidRDefault="00562636" w:rsidP="00562636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>Российские власти долгое время осторожно относились к криптовалютам и блокчейну, что отражается на формировании правовой среды. В 2020 году принятый закон о цифровых финансовых активах предоставил ряд разъяснений, но многие вопросы, касающиеся криптовалют, остаются нерешенными.</w:t>
      </w:r>
    </w:p>
    <w:p w14:paraId="424F3404" w14:textId="77777777" w:rsidR="00562636" w:rsidRPr="00562636" w:rsidRDefault="00562636" w:rsidP="00562636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>Это приводит к задержкам в разработке и введении новых технологий, когда стартапы и разработчики не знают, как будет регулироваться использование их продуктов в будущем.</w:t>
      </w:r>
    </w:p>
    <w:p w14:paraId="738B58DD" w14:textId="77777777" w:rsidR="00562636" w:rsidRPr="00562636" w:rsidRDefault="00562636" w:rsidP="00562636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636">
        <w:rPr>
          <w:rFonts w:ascii="Times New Roman" w:hAnsi="Times New Roman" w:cs="Times New Roman"/>
          <w:b/>
          <w:bCs/>
          <w:sz w:val="28"/>
          <w:szCs w:val="28"/>
        </w:rPr>
        <w:t>Технологический потенциал:</w:t>
      </w:r>
    </w:p>
    <w:p w14:paraId="43DD0734" w14:textId="77777777" w:rsidR="00562636" w:rsidRPr="00562636" w:rsidRDefault="00562636" w:rsidP="00562636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 xml:space="preserve">Несмотря на регуляторные вызовы, сообщество разработчиков в России активно изучает и использует технологии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Эфириума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. В стране проходят различные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хакатоны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и образовательные инициативы, направленные на развитие навыков в области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и смарт-контрактов.</w:t>
      </w:r>
    </w:p>
    <w:p w14:paraId="116A258B" w14:textId="77777777" w:rsidR="00562636" w:rsidRPr="00562636" w:rsidRDefault="00562636" w:rsidP="00562636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 xml:space="preserve">Проекты, такие как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DeFi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>, NFT и игровые платформы, начинают набирать популярность, что привлекает внимание как местных, так и международных инвесторов.</w:t>
      </w:r>
    </w:p>
    <w:p w14:paraId="302EFC32" w14:textId="77777777" w:rsidR="00562636" w:rsidRPr="00562636" w:rsidRDefault="00562636" w:rsidP="00562636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636">
        <w:rPr>
          <w:rFonts w:ascii="Times New Roman" w:hAnsi="Times New Roman" w:cs="Times New Roman"/>
          <w:b/>
          <w:bCs/>
          <w:sz w:val="28"/>
          <w:szCs w:val="28"/>
        </w:rPr>
        <w:t>Международное сотрудничество:</w:t>
      </w:r>
    </w:p>
    <w:p w14:paraId="0FAD2AF3" w14:textId="43CE50C4" w:rsidR="00562636" w:rsidRPr="00562636" w:rsidRDefault="00562636" w:rsidP="00562636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>Многие российские проекты нацелены на международный рынок и стремятся интегрироваться в мировые экосистемы. Это способствует обмену опытом и технологиями, что может привести к созданию уникальных решений, ориентированных на локальные нужды.</w:t>
      </w:r>
    </w:p>
    <w:p w14:paraId="2EE0AF85" w14:textId="77777777" w:rsidR="00562636" w:rsidRPr="00562636" w:rsidRDefault="00562636" w:rsidP="00562636">
      <w:p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 xml:space="preserve">1. Популяризация и сообщество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Эфириума</w:t>
      </w:r>
      <w:proofErr w:type="spellEnd"/>
    </w:p>
    <w:p w14:paraId="12FD4E14" w14:textId="77777777" w:rsidR="00562636" w:rsidRPr="00562636" w:rsidRDefault="00562636" w:rsidP="0056263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 xml:space="preserve">Популяризация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Эфириума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за последние годы произошла благодаря нескольким ключевым факторам, среди которых:</w:t>
      </w:r>
    </w:p>
    <w:p w14:paraId="1AA915EE" w14:textId="77777777" w:rsidR="00562636" w:rsidRPr="00562636" w:rsidRDefault="00562636" w:rsidP="00562636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636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Увеличение интереса к криптовалютам:</w:t>
      </w:r>
    </w:p>
    <w:p w14:paraId="63BB1BEF" w14:textId="77777777" w:rsidR="00562636" w:rsidRPr="00562636" w:rsidRDefault="00562636" w:rsidP="0056263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 xml:space="preserve">В последние годы наблюдается значительный рост интереса к криптовалютам в целом. Это связано с возможностью получения высокой прибыли, а также с увеличением принятия их как средства обмена и хранения ценности.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>, в силу своей благоприятной экосистемы и возможности использования смарт-контрактов, стал одним из центральных фигур в этой сфере.</w:t>
      </w:r>
    </w:p>
    <w:p w14:paraId="1C2B7CD0" w14:textId="77777777" w:rsidR="00562636" w:rsidRPr="00562636" w:rsidRDefault="00562636" w:rsidP="00562636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636">
        <w:rPr>
          <w:rFonts w:ascii="Times New Roman" w:hAnsi="Times New Roman" w:cs="Times New Roman"/>
          <w:b/>
          <w:bCs/>
          <w:sz w:val="28"/>
          <w:szCs w:val="28"/>
        </w:rPr>
        <w:t>Развитие децентрализованных финансов (</w:t>
      </w:r>
      <w:proofErr w:type="spellStart"/>
      <w:r w:rsidRPr="00562636">
        <w:rPr>
          <w:rFonts w:ascii="Times New Roman" w:hAnsi="Times New Roman" w:cs="Times New Roman"/>
          <w:b/>
          <w:bCs/>
          <w:sz w:val="28"/>
          <w:szCs w:val="28"/>
        </w:rPr>
        <w:t>DeFi</w:t>
      </w:r>
      <w:proofErr w:type="spellEnd"/>
      <w:r w:rsidRPr="00562636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B5FFAFF" w14:textId="77777777" w:rsidR="00562636" w:rsidRPr="00562636" w:rsidRDefault="00562636" w:rsidP="0056263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стал основной платформой для проектов в области децентрализованных финансов. Десятки протоколов и сервисов, связанных с кредитами, займом, обменом и управлением активами, были построены на его базе. Эти приложения обеспечивают пользователям доступ к финансовым услугам без необходимости участия традиционных финансовых институтов, что привлекло значительное количество новых пользователей.</w:t>
      </w:r>
    </w:p>
    <w:p w14:paraId="3C2CF4C2" w14:textId="77777777" w:rsidR="00562636" w:rsidRPr="00562636" w:rsidRDefault="00562636" w:rsidP="00562636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636">
        <w:rPr>
          <w:rFonts w:ascii="Times New Roman" w:hAnsi="Times New Roman" w:cs="Times New Roman"/>
          <w:b/>
          <w:bCs/>
          <w:sz w:val="28"/>
          <w:szCs w:val="28"/>
        </w:rPr>
        <w:t>Поддержка сообществом разработчиков:</w:t>
      </w:r>
    </w:p>
    <w:p w14:paraId="23B69470" w14:textId="77777777" w:rsidR="00562636" w:rsidRPr="00562636" w:rsidRDefault="00562636" w:rsidP="0056263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имеет одно из самых активных и инновационных сообществ разработчиков в криптографическом пространстве. Существуют десятки тысяч разработчиков, работающих над проектами на платформе, что способствует постоянному обновлению и улучшению функционала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Эфириума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>.</w:t>
      </w:r>
    </w:p>
    <w:p w14:paraId="2E695DFC" w14:textId="77777777" w:rsidR="00562636" w:rsidRPr="00562636" w:rsidRDefault="00562636" w:rsidP="00562636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636">
        <w:rPr>
          <w:rFonts w:ascii="Times New Roman" w:hAnsi="Times New Roman" w:cs="Times New Roman"/>
          <w:b/>
          <w:bCs/>
          <w:sz w:val="28"/>
          <w:szCs w:val="28"/>
        </w:rPr>
        <w:t>Реклама и образовательные инициативы:</w:t>
      </w:r>
    </w:p>
    <w:p w14:paraId="1B476976" w14:textId="77777777" w:rsidR="00562636" w:rsidRPr="00562636" w:rsidRDefault="00562636" w:rsidP="0056263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 xml:space="preserve">Расширение образовательных ресурсов, таких как вебинары, онлайн-курсы и семинары, помогло многим людям лучше понять возможности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Эфириума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и его использование. Это привело к увеличению числа пользователей и разработчиков, готовых вносить свой вклад в экосистему.</w:t>
      </w:r>
    </w:p>
    <w:p w14:paraId="1DA59056" w14:textId="77777777" w:rsidR="00562636" w:rsidRPr="00562636" w:rsidRDefault="00562636" w:rsidP="00562636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636">
        <w:rPr>
          <w:rFonts w:ascii="Times New Roman" w:hAnsi="Times New Roman" w:cs="Times New Roman"/>
          <w:b/>
          <w:bCs/>
          <w:sz w:val="28"/>
          <w:szCs w:val="28"/>
        </w:rPr>
        <w:t>Поддержка венчурных капиталов и крупных институтов:</w:t>
      </w:r>
    </w:p>
    <w:p w14:paraId="739EFD1E" w14:textId="77777777" w:rsidR="00562636" w:rsidRPr="00562636" w:rsidRDefault="00562636" w:rsidP="0056263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 xml:space="preserve">Увеличение интереса со стороны крупных венчурных капиталов и институтов к проектам на базе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Эфириума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также сыграло важную роль в его популяризации. Это увидело множество инвестиционных раундов, которые обеспечили финансирование для стартапов и проектов на платформе, что в свою очередь привело к росту сообщества.</w:t>
      </w:r>
    </w:p>
    <w:p w14:paraId="35616BD9" w14:textId="77777777" w:rsidR="00562636" w:rsidRPr="00562636" w:rsidRDefault="00562636" w:rsidP="005626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636">
        <w:rPr>
          <w:rFonts w:ascii="Times New Roman" w:hAnsi="Times New Roman" w:cs="Times New Roman"/>
          <w:b/>
          <w:bCs/>
          <w:sz w:val="28"/>
          <w:szCs w:val="28"/>
        </w:rPr>
        <w:t xml:space="preserve">Сообщество </w:t>
      </w:r>
      <w:proofErr w:type="spellStart"/>
      <w:r w:rsidRPr="00562636">
        <w:rPr>
          <w:rFonts w:ascii="Times New Roman" w:hAnsi="Times New Roman" w:cs="Times New Roman"/>
          <w:b/>
          <w:bCs/>
          <w:sz w:val="28"/>
          <w:szCs w:val="28"/>
        </w:rPr>
        <w:t>Эфириума</w:t>
      </w:r>
      <w:proofErr w:type="spellEnd"/>
    </w:p>
    <w:p w14:paraId="757338B9" w14:textId="77777777" w:rsidR="00562636" w:rsidRPr="00562636" w:rsidRDefault="00562636" w:rsidP="00562636">
      <w:p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lastRenderedPageBreak/>
        <w:t xml:space="preserve">Сообщество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Эфириума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состоит из разнообразных участников, включая разработчиков, людей, занимающихся инвестированием, энтузиастов, исследователей и пользователей. Оно активно взаимодействует через разные каналы, такие как:</w:t>
      </w:r>
    </w:p>
    <w:p w14:paraId="605409B1" w14:textId="77777777" w:rsidR="00562636" w:rsidRPr="00562636" w:rsidRDefault="00562636" w:rsidP="00562636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636">
        <w:rPr>
          <w:rFonts w:ascii="Times New Roman" w:hAnsi="Times New Roman" w:cs="Times New Roman"/>
          <w:b/>
          <w:bCs/>
          <w:sz w:val="28"/>
          <w:szCs w:val="28"/>
        </w:rPr>
        <w:t>Форумы и сообщества:</w:t>
      </w:r>
    </w:p>
    <w:p w14:paraId="1304A824" w14:textId="77777777" w:rsidR="00562636" w:rsidRPr="00562636" w:rsidRDefault="00562636" w:rsidP="00562636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 xml:space="preserve">Существуют уникальные форумы, такие как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Magicians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Exchange, где разработчики и пользователи могут обсуждать вопросы, связанные с разработкой, инновациями и проблемами, с которыми сталкиваются.</w:t>
      </w:r>
    </w:p>
    <w:p w14:paraId="34B32294" w14:textId="77777777" w:rsidR="00562636" w:rsidRPr="00562636" w:rsidRDefault="00562636" w:rsidP="00562636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636">
        <w:rPr>
          <w:rFonts w:ascii="Times New Roman" w:hAnsi="Times New Roman" w:cs="Times New Roman"/>
          <w:b/>
          <w:bCs/>
          <w:sz w:val="28"/>
          <w:szCs w:val="28"/>
        </w:rPr>
        <w:t>Социальные сети:</w:t>
      </w:r>
    </w:p>
    <w:p w14:paraId="574255C4" w14:textId="77777777" w:rsidR="00562636" w:rsidRPr="00562636" w:rsidRDefault="00562636" w:rsidP="00562636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 xml:space="preserve">Платформы, такие как Twitter,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>, активно используются для обмена новостями и идеями между участниками сообщества. В этих каналах обсуждаются как последние достижения в технологии блокчейна, так и будущее самих криптовалют.</w:t>
      </w:r>
    </w:p>
    <w:p w14:paraId="26E11D6A" w14:textId="77777777" w:rsidR="00562636" w:rsidRPr="00562636" w:rsidRDefault="00562636" w:rsidP="00562636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636">
        <w:rPr>
          <w:rFonts w:ascii="Times New Roman" w:hAnsi="Times New Roman" w:cs="Times New Roman"/>
          <w:b/>
          <w:bCs/>
          <w:sz w:val="28"/>
          <w:szCs w:val="28"/>
        </w:rPr>
        <w:t>Мероприятия и конференции:</w:t>
      </w:r>
    </w:p>
    <w:p w14:paraId="253243DA" w14:textId="77777777" w:rsidR="00562636" w:rsidRPr="00562636" w:rsidRDefault="00562636" w:rsidP="00562636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 xml:space="preserve">Регулярно проводятся мероприятия, такие как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ETHGlobal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Devcon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, на которых собираются вместе разработчики, предприниматели и исследователи для обмена знаниями и опытом. Эти мероприятия способствуют укреплению связей в сообществе и привлекательность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Эфириума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для новых участников.</w:t>
      </w:r>
    </w:p>
    <w:p w14:paraId="1461BB98" w14:textId="77777777" w:rsidR="00562636" w:rsidRPr="00562636" w:rsidRDefault="00562636" w:rsidP="00562636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636">
        <w:rPr>
          <w:rFonts w:ascii="Times New Roman" w:hAnsi="Times New Roman" w:cs="Times New Roman"/>
          <w:b/>
          <w:bCs/>
          <w:sz w:val="28"/>
          <w:szCs w:val="28"/>
        </w:rPr>
        <w:t>Открытые проекты и инициативы:</w:t>
      </w:r>
    </w:p>
    <w:p w14:paraId="04666EF2" w14:textId="77777777" w:rsidR="00562636" w:rsidRPr="00562636" w:rsidRDefault="00562636" w:rsidP="00562636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 xml:space="preserve">Сообщество активно участвует в различных открытых инициативах, таких как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Improvement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Proposals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EIPs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), где разработчики могут предложить улучшения и обновления протокола. Это дало возможность участникам сообщества обсудить и реализовать изменения, что способствует эволюции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Эфириума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как гибкой платформы.</w:t>
      </w:r>
    </w:p>
    <w:p w14:paraId="68BADA48" w14:textId="77777777" w:rsidR="00562636" w:rsidRPr="00562636" w:rsidRDefault="00562636" w:rsidP="00562636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636">
        <w:rPr>
          <w:rFonts w:ascii="Times New Roman" w:hAnsi="Times New Roman" w:cs="Times New Roman"/>
          <w:b/>
          <w:bCs/>
          <w:sz w:val="28"/>
          <w:szCs w:val="28"/>
        </w:rPr>
        <w:t>Образовательные мероприятия и ресурсы:</w:t>
      </w:r>
    </w:p>
    <w:p w14:paraId="6354E7FA" w14:textId="77777777" w:rsidR="00562636" w:rsidRPr="00562636" w:rsidRDefault="00562636" w:rsidP="00562636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 xml:space="preserve">Курс по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Эфириуму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и связанным технологиям был предложен многими организациями, что способствовало распространению знаний и навыков среди новых участников сообщества. Вебинары и обучающие конференции охватывают как технические аспекты, так и более общие темы, такие как экономика криптовалют и их применение.</w:t>
      </w:r>
    </w:p>
    <w:p w14:paraId="0D0ADF89" w14:textId="6E91C4AC" w:rsidR="00562636" w:rsidRPr="00562636" w:rsidRDefault="00562636" w:rsidP="0056263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636">
        <w:rPr>
          <w:rFonts w:ascii="Times New Roman" w:hAnsi="Times New Roman" w:cs="Times New Roman"/>
          <w:sz w:val="28"/>
          <w:szCs w:val="28"/>
        </w:rPr>
        <w:lastRenderedPageBreak/>
        <w:t>Эфириум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продолжает занимать важную нишу в мире криптовалют благодаря своим уникальным возможностям и функционалу. Его способность к созданию децентрализованных приложений и смарт-контрактов делает его не только инструментом для инвестирования, но и платформой для инноваций. На российском рынке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сталкивается с различными вызовами, включая регуляцию и понимание технологий, но при этом остаётся символом возможностей и будущего децентрализованных технологий.</w:t>
      </w:r>
    </w:p>
    <w:p w14:paraId="79C8B51B" w14:textId="752E3759" w:rsidR="00562636" w:rsidRPr="00562636" w:rsidRDefault="00562636" w:rsidP="0056263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636">
        <w:rPr>
          <w:rFonts w:ascii="Times New Roman" w:hAnsi="Times New Roman" w:cs="Times New Roman"/>
          <w:sz w:val="28"/>
          <w:szCs w:val="28"/>
        </w:rPr>
        <w:t xml:space="preserve">Поддержка со стороны сообществ, развитие образовательных проектов и активное участие разработки могут помочь </w:t>
      </w:r>
      <w:proofErr w:type="spellStart"/>
      <w:r w:rsidRPr="00562636">
        <w:rPr>
          <w:rFonts w:ascii="Times New Roman" w:hAnsi="Times New Roman" w:cs="Times New Roman"/>
          <w:sz w:val="28"/>
          <w:szCs w:val="28"/>
        </w:rPr>
        <w:t>Эфириуму</w:t>
      </w:r>
      <w:proofErr w:type="spellEnd"/>
      <w:r w:rsidRPr="00562636">
        <w:rPr>
          <w:rFonts w:ascii="Times New Roman" w:hAnsi="Times New Roman" w:cs="Times New Roman"/>
          <w:sz w:val="28"/>
          <w:szCs w:val="28"/>
        </w:rPr>
        <w:t xml:space="preserve"> уверенно закрепиться в новой реальности и продолжить свой рост на российском и международном рынках.</w:t>
      </w:r>
    </w:p>
    <w:p w14:paraId="02B50362" w14:textId="77777777" w:rsidR="00B678A3" w:rsidRDefault="00B678A3"/>
    <w:sectPr w:rsidR="00B67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7A6C"/>
    <w:multiLevelType w:val="multilevel"/>
    <w:tmpl w:val="B236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83EE1"/>
    <w:multiLevelType w:val="multilevel"/>
    <w:tmpl w:val="E4EE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930DE"/>
    <w:multiLevelType w:val="multilevel"/>
    <w:tmpl w:val="EFA0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C4656A"/>
    <w:multiLevelType w:val="multilevel"/>
    <w:tmpl w:val="D442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4545C"/>
    <w:multiLevelType w:val="multilevel"/>
    <w:tmpl w:val="4E48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305A4"/>
    <w:multiLevelType w:val="multilevel"/>
    <w:tmpl w:val="32EA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E10C10"/>
    <w:multiLevelType w:val="multilevel"/>
    <w:tmpl w:val="D24A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381C34"/>
    <w:multiLevelType w:val="multilevel"/>
    <w:tmpl w:val="7220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23342A"/>
    <w:multiLevelType w:val="multilevel"/>
    <w:tmpl w:val="DCAE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5D38FF"/>
    <w:multiLevelType w:val="multilevel"/>
    <w:tmpl w:val="B158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041A7A"/>
    <w:multiLevelType w:val="multilevel"/>
    <w:tmpl w:val="D772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522747"/>
    <w:multiLevelType w:val="multilevel"/>
    <w:tmpl w:val="2A6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76208B"/>
    <w:multiLevelType w:val="multilevel"/>
    <w:tmpl w:val="550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B5792A"/>
    <w:multiLevelType w:val="multilevel"/>
    <w:tmpl w:val="2690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DB6ED0"/>
    <w:multiLevelType w:val="multilevel"/>
    <w:tmpl w:val="BE0C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1943080">
    <w:abstractNumId w:val="9"/>
  </w:num>
  <w:num w:numId="2" w16cid:durableId="35936123">
    <w:abstractNumId w:val="13"/>
  </w:num>
  <w:num w:numId="3" w16cid:durableId="1341466258">
    <w:abstractNumId w:val="8"/>
  </w:num>
  <w:num w:numId="4" w16cid:durableId="1951820459">
    <w:abstractNumId w:val="12"/>
  </w:num>
  <w:num w:numId="5" w16cid:durableId="88042713">
    <w:abstractNumId w:val="11"/>
  </w:num>
  <w:num w:numId="6" w16cid:durableId="522012680">
    <w:abstractNumId w:val="14"/>
  </w:num>
  <w:num w:numId="7" w16cid:durableId="2028677708">
    <w:abstractNumId w:val="2"/>
  </w:num>
  <w:num w:numId="8" w16cid:durableId="2018116720">
    <w:abstractNumId w:val="7"/>
  </w:num>
  <w:num w:numId="9" w16cid:durableId="1164592443">
    <w:abstractNumId w:val="10"/>
  </w:num>
  <w:num w:numId="10" w16cid:durableId="890728782">
    <w:abstractNumId w:val="4"/>
  </w:num>
  <w:num w:numId="11" w16cid:durableId="745884327">
    <w:abstractNumId w:val="0"/>
  </w:num>
  <w:num w:numId="12" w16cid:durableId="2122263943">
    <w:abstractNumId w:val="3"/>
  </w:num>
  <w:num w:numId="13" w16cid:durableId="1530144868">
    <w:abstractNumId w:val="6"/>
  </w:num>
  <w:num w:numId="14" w16cid:durableId="1259218963">
    <w:abstractNumId w:val="5"/>
  </w:num>
  <w:num w:numId="15" w16cid:durableId="1059090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55"/>
    <w:rsid w:val="004E0655"/>
    <w:rsid w:val="00562636"/>
    <w:rsid w:val="006410A6"/>
    <w:rsid w:val="00865DA2"/>
    <w:rsid w:val="00B678A3"/>
    <w:rsid w:val="00BC1C41"/>
    <w:rsid w:val="00C2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184C"/>
  <w15:chartTrackingRefBased/>
  <w15:docId w15:val="{38FC1D16-5F7F-4E0D-966D-9BA3FAC0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DA2"/>
  </w:style>
  <w:style w:type="paragraph" w:styleId="1">
    <w:name w:val="heading 1"/>
    <w:basedOn w:val="a"/>
    <w:link w:val="10"/>
    <w:uiPriority w:val="9"/>
    <w:qFormat/>
    <w:rsid w:val="00865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5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DA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table" w:styleId="a3">
    <w:name w:val="Table Grid"/>
    <w:basedOn w:val="a1"/>
    <w:uiPriority w:val="39"/>
    <w:rsid w:val="00865DA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865D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65D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1246</Words>
  <Characters>7105</Characters>
  <Application>Microsoft Office Word</Application>
  <DocSecurity>0</DocSecurity>
  <Lines>59</Lines>
  <Paragraphs>16</Paragraphs>
  <ScaleCrop>false</ScaleCrop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бармин</dc:creator>
  <cp:keywords/>
  <dc:description/>
  <cp:lastModifiedBy>андрей бармин</cp:lastModifiedBy>
  <cp:revision>2</cp:revision>
  <dcterms:created xsi:type="dcterms:W3CDTF">2024-12-09T12:02:00Z</dcterms:created>
  <dcterms:modified xsi:type="dcterms:W3CDTF">2024-12-09T12:02:00Z</dcterms:modified>
</cp:coreProperties>
</file>