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Лабораторный практикум № 4. Концептуальные основы и подходы к построению архитектуры предприятия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План разработки архитектуры предприятия (Project Plan) для GreenLogix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Риски проекта (RISK)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Состояние разработки проекта (ACTUAL PROGRESS)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197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Информация для проекта (INFORMATION)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Бюджет: $5 млн (основные затраты: закупка электрогрузовиков, разработка ПО).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Команда: 15 человек (архитекторы, разработчики, аналитики).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Сроки: 18 месяцев (завершение — Q2 2025).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Стек технологий: AWS, Python (AI), React.js, Flutter, PostgreSQL.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Ключевые метрики: Снижение выбросов CO₂ на 15%, рост клиентской базы на 25%.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Цели проекта (GOALS)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Оптимизация логистики: Снижение затрат на топливо на 20% за счет ИИ.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Цифровизация: Запуск мобильного приложения для клиентов.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Устойчивость: Достижение углеродной нейтральности к 2026 году.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Требования к проекту (REQUIREMENTS)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Безопасность: Соответствие GDPR и ISO 27001.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Масштабируемость: Поддержка роста клиентской базы в 3 раза.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Интеграции: API для партнеров (Amazon, IKEA).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Производительность: 99.9% uptime системы.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Экологичность: Отчетность по ESG каждые 6 месяцев.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Календарный план (SCHEDULE)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Фаза 1: Подготовка (Q3–Q4 2024)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требований.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технологий.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Заключение договоров с поставщиками.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Фаза 2: Разработка (Q1–Q3 2025)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Внедрение ИИ для маршрутизации.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мобильного приложения.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IoT-систем.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Фаза 3: Внедрение (Q4 2025)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Пилотные запуски в 3 городах.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Обучение сотрудников.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Финальный релиз.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Шесть шляп мышления (Six Thinking Hats)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349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Маркетинговый план (Marketing)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Целевая аудитория: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B2B: Производители с ESG-стратегией.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B2C: Клиенты маркетплейсов, ценящие экологичность.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Каналы продвижения: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Контент-маркетинг: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Блог об устойчивой логистике.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Кейсы снижения выбросов для клиентов.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Соцсети: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LinkedIn (B2B), Instagram (B2C).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Видеообзоры электрогрузовиков.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Партнерства: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Совместные акции с IKEA, Patagonia.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SEO и PPC: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аргет на запросы "зеленая доставка".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Ивенты: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Участие в COP28, выставках "зеленых" технологий.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KPI: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Рост узнаваемости бренда на 40% за год.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500+ B2B-запросов от компаний.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Итог: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План обеспечит GreenLogix конкурентное преимущество через цифровизацию и экологичность, минимизируя риски.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