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F09BD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6F09BD" w:rsidRPr="00004BDC" w:rsidRDefault="002B6AEF" w:rsidP="00004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  <w:r w:rsidR="00004BDC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6F09B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04BDC">
        <w:rPr>
          <w:rFonts w:ascii="Times New Roman" w:hAnsi="Times New Roman" w:cs="Times New Roman"/>
          <w:sz w:val="28"/>
          <w:szCs w:val="28"/>
        </w:rPr>
        <w:t>«</w:t>
      </w:r>
      <w:r w:rsidR="00004BDC" w:rsidRPr="00004BDC">
        <w:rPr>
          <w:rFonts w:ascii="Times New Roman" w:hAnsi="Times New Roman" w:cs="Times New Roman"/>
          <w:b/>
          <w:sz w:val="28"/>
          <w:szCs w:val="28"/>
        </w:rPr>
        <w:t>Сравнительный анализ методик оригинального и типового проектирования архитектуры предприятия</w:t>
      </w:r>
      <w:proofErr w:type="gramStart"/>
      <w:r w:rsidR="00004BDC" w:rsidRPr="00004BDC">
        <w:rPr>
          <w:rFonts w:ascii="Times New Roman" w:hAnsi="Times New Roman" w:cs="Times New Roman"/>
          <w:b/>
          <w:sz w:val="28"/>
          <w:szCs w:val="28"/>
        </w:rPr>
        <w:t>.</w:t>
      </w:r>
      <w:r w:rsidR="00004BDC">
        <w:rPr>
          <w:rFonts w:ascii="Times New Roman" w:hAnsi="Times New Roman" w:cs="Times New Roman"/>
          <w:b/>
          <w:sz w:val="28"/>
          <w:szCs w:val="28"/>
        </w:rPr>
        <w:t>»</w:t>
      </w:r>
      <w:proofErr w:type="gramEnd"/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AF7639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Дониёржон</w:t>
      </w:r>
      <w:proofErr w:type="spellEnd"/>
      <w:r w:rsidR="002B6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AEF"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>
      <w:bookmarkStart w:id="0" w:name="_GoBack"/>
      <w:bookmarkEnd w:id="0"/>
    </w:p>
    <w:p w:rsidR="002B6AEF" w:rsidRDefault="002B6AEF"/>
    <w:p w:rsidR="0066195A" w:rsidRDefault="002B6AEF" w:rsidP="006F09BD">
      <w:pPr>
        <w:jc w:val="center"/>
        <w:rPr>
          <w:rFonts w:ascii="Times New Roman" w:hAnsi="Times New Roman" w:cs="Times New Roman"/>
          <w:sz w:val="28"/>
          <w:szCs w:val="28"/>
        </w:rPr>
        <w:sectPr w:rsidR="0066195A" w:rsidSect="007E5A6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8185964"/>
        <w:docPartObj>
          <w:docPartGallery w:val="Table of Contents"/>
          <w:docPartUnique/>
        </w:docPartObj>
      </w:sdtPr>
      <w:sdtEndPr/>
      <w:sdtContent>
        <w:p w:rsidR="007E5A6B" w:rsidRPr="00B01F14" w:rsidRDefault="007E5A6B">
          <w:pPr>
            <w:pStyle w:val="a9"/>
            <w:rPr>
              <w:rFonts w:ascii="Times New Roman" w:hAnsi="Times New Roman" w:cs="Times New Roman"/>
              <w:color w:val="auto"/>
              <w:sz w:val="32"/>
            </w:rPr>
          </w:pPr>
          <w:r w:rsidRPr="00B01F14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B01F14" w:rsidRPr="00B01F14" w:rsidRDefault="007E5A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01F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1F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1F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04892" w:history="1">
            <w:r w:rsidR="00B01F14"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Оригинальное проектирование архитектуры предприятия</w:t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_Toc195504892 \h </w:instrText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1F14"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3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 Сущность и ключевые характеристики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_Toc195504893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4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 Методологические основы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_Toc195504894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5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 Преимущества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_Toc195504895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6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1.4. Недостатки и риски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_Toc195504896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7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1.5. Области применения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_Toc195504897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8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Типовое проектирование архитектуры предприятия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_Toc195504898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899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Сущность и ключевые характеристики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_Toc195504899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0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Методологические основы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_Toc195504900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1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Преимущества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_Toc195504901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2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 Недостатки и риски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_Toc195504902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3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 Области применения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_Toc195504903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4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Сравнительный анализ подходов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_Toc195504904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5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Гибридный подход: компромиссное решение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_Toc195504905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6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_Toc195504906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F14" w:rsidRPr="00B01F14" w:rsidRDefault="00B01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04907" w:history="1"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BZ"/>
              </w:rPr>
              <w:t xml:space="preserve"> </w:t>
            </w:r>
            <w:r w:rsidRPr="00B01F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_Toc195504907 \h </w:instrTex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01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Default="007E5A6B">
          <w:r w:rsidRPr="00B01F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B6AEF" w:rsidRDefault="002B6AEF" w:rsidP="006F09BD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6195A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004BDC" w:rsidRPr="00004BDC" w:rsidRDefault="00004BD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DC">
        <w:rPr>
          <w:rFonts w:ascii="Times New Roman" w:hAnsi="Times New Roman" w:cs="Times New Roman"/>
          <w:sz w:val="28"/>
          <w:szCs w:val="28"/>
        </w:rPr>
        <w:t>Современные предприятия функционируют в условиях высокой динамики рынка, цифровой трансформации и ужесточения конкурентной борьбы. В этой связи особую актуальность приобретает вопрос проектирования эффективной архитектуры предприятия (</w:t>
      </w:r>
      <w:proofErr w:type="spellStart"/>
      <w:r w:rsidRPr="00004BD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04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004BDC">
        <w:rPr>
          <w:rFonts w:ascii="Times New Roman" w:hAnsi="Times New Roman" w:cs="Times New Roman"/>
          <w:sz w:val="28"/>
          <w:szCs w:val="28"/>
        </w:rPr>
        <w:t xml:space="preserve">, EA), которая обеспечивает согласованность </w:t>
      </w:r>
      <w:proofErr w:type="gramStart"/>
      <w:r w:rsidRPr="00004BDC">
        <w:rPr>
          <w:rFonts w:ascii="Times New Roman" w:hAnsi="Times New Roman" w:cs="Times New Roman"/>
          <w:sz w:val="28"/>
          <w:szCs w:val="28"/>
        </w:rPr>
        <w:t>бизнес-стратегии</w:t>
      </w:r>
      <w:proofErr w:type="gramEnd"/>
      <w:r w:rsidRPr="00004BDC">
        <w:rPr>
          <w:rFonts w:ascii="Times New Roman" w:hAnsi="Times New Roman" w:cs="Times New Roman"/>
          <w:sz w:val="28"/>
          <w:szCs w:val="28"/>
        </w:rPr>
        <w:t>, организационной структуры и ИТ-инфраструктуры.</w:t>
      </w:r>
    </w:p>
    <w:p w:rsidR="00004BDC" w:rsidRPr="00004BDC" w:rsidRDefault="00004BD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DC">
        <w:rPr>
          <w:rFonts w:ascii="Times New Roman" w:hAnsi="Times New Roman" w:cs="Times New Roman"/>
          <w:sz w:val="28"/>
          <w:szCs w:val="28"/>
        </w:rPr>
        <w:t>Существует два принципиально разных подхода к проектированию EA:</w:t>
      </w:r>
    </w:p>
    <w:p w:rsidR="00004BDC" w:rsidRPr="00004BDC" w:rsidRDefault="00004BDC" w:rsidP="00B01F14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DC">
        <w:rPr>
          <w:rFonts w:ascii="Times New Roman" w:hAnsi="Times New Roman" w:cs="Times New Roman"/>
          <w:b/>
          <w:bCs/>
          <w:sz w:val="28"/>
          <w:szCs w:val="28"/>
        </w:rPr>
        <w:t>Оригинальное (индивидуальное) проектирование</w:t>
      </w:r>
      <w:r w:rsidRPr="00004BDC">
        <w:rPr>
          <w:rFonts w:ascii="Times New Roman" w:hAnsi="Times New Roman" w:cs="Times New Roman"/>
          <w:sz w:val="28"/>
          <w:szCs w:val="28"/>
        </w:rPr>
        <w:t> – создание уникальной архитектуры с нуля, учитывающей все особенности предприятия.</w:t>
      </w:r>
    </w:p>
    <w:p w:rsidR="00004BDC" w:rsidRPr="00004BDC" w:rsidRDefault="00004BDC" w:rsidP="00B01F14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DC">
        <w:rPr>
          <w:rFonts w:ascii="Times New Roman" w:hAnsi="Times New Roman" w:cs="Times New Roman"/>
          <w:b/>
          <w:bCs/>
          <w:sz w:val="28"/>
          <w:szCs w:val="28"/>
        </w:rPr>
        <w:t>Типовое (стандартизированное) проектирование</w:t>
      </w:r>
      <w:r w:rsidRPr="00004BDC">
        <w:rPr>
          <w:rFonts w:ascii="Times New Roman" w:hAnsi="Times New Roman" w:cs="Times New Roman"/>
          <w:sz w:val="28"/>
          <w:szCs w:val="28"/>
        </w:rPr>
        <w:t> – использование готовых решений и отраслевых шаблонов.</w:t>
      </w:r>
    </w:p>
    <w:p w:rsidR="00004BDC" w:rsidRPr="00004BDC" w:rsidRDefault="00004BD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DC">
        <w:rPr>
          <w:rFonts w:ascii="Times New Roman" w:hAnsi="Times New Roman" w:cs="Times New Roman"/>
          <w:sz w:val="28"/>
          <w:szCs w:val="28"/>
        </w:rPr>
        <w:t>Цель данного реферата – провести детальный сравнительный анализ этих подходов, выявить их сильные и слабые стороны, а также определить оптимальные сферы применения.</w:t>
      </w:r>
    </w:p>
    <w:p w:rsid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4BDC" w:rsidRPr="00004BDC" w:rsidRDefault="0066195A" w:rsidP="00B01F14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</w:rPr>
      </w:pPr>
      <w:bookmarkStart w:id="1" w:name="_Toc195504892"/>
      <w:r w:rsidRPr="007E5A6B">
        <w:rPr>
          <w:rFonts w:ascii="Times New Roman" w:hAnsi="Times New Roman" w:cs="Times New Roman"/>
          <w:color w:val="auto"/>
          <w:sz w:val="32"/>
        </w:rPr>
        <w:lastRenderedPageBreak/>
        <w:t xml:space="preserve">1. </w:t>
      </w:r>
      <w:r w:rsidR="00004BDC">
        <w:rPr>
          <w:rFonts w:ascii="Times New Roman" w:hAnsi="Times New Roman" w:cs="Times New Roman"/>
          <w:color w:val="auto"/>
          <w:sz w:val="32"/>
        </w:rPr>
        <w:t>Оригинальное проектирование архитектуры предприятия</w:t>
      </w:r>
      <w:bookmarkEnd w:id="1"/>
    </w:p>
    <w:p w:rsidR="00004BDC" w:rsidRPr="00004BDC" w:rsidRDefault="00004BDC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95504893"/>
      <w:r w:rsidRPr="00004BDC">
        <w:rPr>
          <w:rFonts w:ascii="Times New Roman" w:hAnsi="Times New Roman" w:cs="Times New Roman"/>
          <w:color w:val="auto"/>
          <w:sz w:val="28"/>
        </w:rPr>
        <w:t>1.1. Сущность и ключевые характеристики</w:t>
      </w:r>
      <w:bookmarkEnd w:id="2"/>
    </w:p>
    <w:p w:rsidR="00004BDC" w:rsidRPr="00004BDC" w:rsidRDefault="00004BD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sz w:val="28"/>
        </w:rPr>
        <w:t>Оригинальное проектирование предполагает разработку EA "с чистого листа" на основе глубокого анализа требований бизнеса, существующих процессов и технологической базы. Этот подход требует значительных временных и финансовых затрат, но позволяет создать макс</w:t>
      </w:r>
      <w:r>
        <w:rPr>
          <w:rFonts w:ascii="Times New Roman" w:hAnsi="Times New Roman" w:cs="Times New Roman"/>
          <w:sz w:val="28"/>
        </w:rPr>
        <w:t>имально адаптированное решение.</w:t>
      </w:r>
    </w:p>
    <w:p w:rsidR="00004BDC" w:rsidRPr="00004BDC" w:rsidRDefault="00004BDC" w:rsidP="00B01F14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</w:rPr>
      </w:pPr>
      <w:bookmarkStart w:id="3" w:name="_Toc195504894"/>
      <w:r w:rsidRPr="00004BDC">
        <w:rPr>
          <w:rFonts w:ascii="Times New Roman" w:hAnsi="Times New Roman" w:cs="Times New Roman"/>
          <w:color w:val="auto"/>
          <w:sz w:val="28"/>
        </w:rPr>
        <w:t>1.2. Методологические основы</w:t>
      </w:r>
      <w:bookmarkEnd w:id="3"/>
    </w:p>
    <w:p w:rsidR="00004BDC" w:rsidRPr="00004BDC" w:rsidRDefault="00004BD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sz w:val="28"/>
        </w:rPr>
        <w:t>Наиболее распространенные методики:</w:t>
      </w:r>
    </w:p>
    <w:p w:rsidR="00004BDC" w:rsidRPr="00004BDC" w:rsidRDefault="00004BDC" w:rsidP="00B01F14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TOGAF ADM (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The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Open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Group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Architecture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Framework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>)</w:t>
      </w:r>
      <w:r w:rsidRPr="00004BDC">
        <w:rPr>
          <w:rFonts w:ascii="Times New Roman" w:hAnsi="Times New Roman" w:cs="Times New Roman"/>
          <w:sz w:val="28"/>
        </w:rPr>
        <w:t> – итеративный процесс, включающий этапы от определения видения до реализации и управления изменениями.</w:t>
      </w:r>
    </w:p>
    <w:p w:rsidR="00004BDC" w:rsidRPr="00004BDC" w:rsidRDefault="00004BDC" w:rsidP="00B01F14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04BDC">
        <w:rPr>
          <w:rFonts w:ascii="Times New Roman" w:hAnsi="Times New Roman" w:cs="Times New Roman"/>
          <w:b/>
          <w:bCs/>
          <w:sz w:val="28"/>
        </w:rPr>
        <w:t>Zachman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Framework</w:t>
      </w:r>
      <w:proofErr w:type="spellEnd"/>
      <w:r w:rsidRPr="00004BDC">
        <w:rPr>
          <w:rFonts w:ascii="Times New Roman" w:hAnsi="Times New Roman" w:cs="Times New Roman"/>
          <w:sz w:val="28"/>
        </w:rPr>
        <w:t> – систематизация архитектурных артефактов через призму шести вопросов (Что?</w:t>
      </w:r>
      <w:proofErr w:type="gramEnd"/>
      <w:r w:rsidRPr="00004BDC">
        <w:rPr>
          <w:rFonts w:ascii="Times New Roman" w:hAnsi="Times New Roman" w:cs="Times New Roman"/>
          <w:sz w:val="28"/>
        </w:rPr>
        <w:t xml:space="preserve"> Как? Где? Кто? Когда? </w:t>
      </w:r>
      <w:proofErr w:type="gramStart"/>
      <w:r w:rsidRPr="00004BDC">
        <w:rPr>
          <w:rFonts w:ascii="Times New Roman" w:hAnsi="Times New Roman" w:cs="Times New Roman"/>
          <w:sz w:val="28"/>
        </w:rPr>
        <w:t>Почему?) и шести уровней абстракции.</w:t>
      </w:r>
      <w:proofErr w:type="gramEnd"/>
    </w:p>
    <w:p w:rsidR="00004BDC" w:rsidRPr="00004BDC" w:rsidRDefault="00004BDC" w:rsidP="00B01F14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Gartner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 xml:space="preserve"> EA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Framework</w:t>
      </w:r>
      <w:proofErr w:type="spellEnd"/>
      <w:r w:rsidRPr="00004BDC">
        <w:rPr>
          <w:rFonts w:ascii="Times New Roman" w:hAnsi="Times New Roman" w:cs="Times New Roman"/>
          <w:sz w:val="28"/>
        </w:rPr>
        <w:t> – фокус на бизнес-стратегию и трансформацию, использование эталонных моделей.</w:t>
      </w:r>
    </w:p>
    <w:p w:rsidR="00004BDC" w:rsidRPr="00004BDC" w:rsidRDefault="00004BDC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195504895"/>
      <w:r w:rsidRPr="00004BDC">
        <w:rPr>
          <w:rFonts w:ascii="Times New Roman" w:hAnsi="Times New Roman" w:cs="Times New Roman"/>
          <w:color w:val="auto"/>
          <w:sz w:val="28"/>
        </w:rPr>
        <w:t>1.3. Преимущества</w:t>
      </w:r>
      <w:bookmarkEnd w:id="4"/>
    </w:p>
    <w:p w:rsidR="00004BDC" w:rsidRPr="00004BDC" w:rsidRDefault="00004BDC" w:rsidP="00B01F14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 xml:space="preserve">Полная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кастомизация</w:t>
      </w:r>
      <w:proofErr w:type="spellEnd"/>
      <w:r w:rsidRPr="00004BDC">
        <w:rPr>
          <w:rFonts w:ascii="Times New Roman" w:hAnsi="Times New Roman" w:cs="Times New Roman"/>
          <w:sz w:val="28"/>
        </w:rPr>
        <w:t> – архитектура проектируется исключительно под нужды конкретного предприятия.</w:t>
      </w:r>
    </w:p>
    <w:p w:rsidR="00004BDC" w:rsidRPr="00004BDC" w:rsidRDefault="00004BDC" w:rsidP="00B01F14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Гибкость</w:t>
      </w:r>
      <w:r w:rsidRPr="00004BDC">
        <w:rPr>
          <w:rFonts w:ascii="Times New Roman" w:hAnsi="Times New Roman" w:cs="Times New Roman"/>
          <w:sz w:val="28"/>
        </w:rPr>
        <w:t> – возможность выбора любых технологий и методологий.</w:t>
      </w:r>
    </w:p>
    <w:p w:rsidR="00004BDC" w:rsidRPr="00004BDC" w:rsidRDefault="00004BDC" w:rsidP="00B01F14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 xml:space="preserve">Учет </w:t>
      </w:r>
      <w:proofErr w:type="spellStart"/>
      <w:r w:rsidRPr="00004BDC">
        <w:rPr>
          <w:rFonts w:ascii="Times New Roman" w:hAnsi="Times New Roman" w:cs="Times New Roman"/>
          <w:b/>
          <w:bCs/>
          <w:sz w:val="28"/>
        </w:rPr>
        <w:t>legacy</w:t>
      </w:r>
      <w:proofErr w:type="spellEnd"/>
      <w:r w:rsidRPr="00004BDC">
        <w:rPr>
          <w:rFonts w:ascii="Times New Roman" w:hAnsi="Times New Roman" w:cs="Times New Roman"/>
          <w:b/>
          <w:bCs/>
          <w:sz w:val="28"/>
        </w:rPr>
        <w:t>-систем</w:t>
      </w:r>
      <w:r w:rsidRPr="00004BDC">
        <w:rPr>
          <w:rFonts w:ascii="Times New Roman" w:hAnsi="Times New Roman" w:cs="Times New Roman"/>
          <w:sz w:val="28"/>
        </w:rPr>
        <w:t> – интеграция унаследованных решений без кардинальных изменений.</w:t>
      </w:r>
    </w:p>
    <w:p w:rsidR="00004BDC" w:rsidRPr="00004BDC" w:rsidRDefault="00004BDC" w:rsidP="00B01F14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Стратегическая согласованность</w:t>
      </w:r>
      <w:r w:rsidRPr="00004BDC">
        <w:rPr>
          <w:rFonts w:ascii="Times New Roman" w:hAnsi="Times New Roman" w:cs="Times New Roman"/>
          <w:sz w:val="28"/>
        </w:rPr>
        <w:t xml:space="preserve"> – прямая привязка к </w:t>
      </w:r>
      <w:proofErr w:type="gramStart"/>
      <w:r w:rsidRPr="00004BDC">
        <w:rPr>
          <w:rFonts w:ascii="Times New Roman" w:hAnsi="Times New Roman" w:cs="Times New Roman"/>
          <w:sz w:val="28"/>
        </w:rPr>
        <w:t>долгосрочным</w:t>
      </w:r>
      <w:proofErr w:type="gramEnd"/>
      <w:r w:rsidRPr="00004BDC">
        <w:rPr>
          <w:rFonts w:ascii="Times New Roman" w:hAnsi="Times New Roman" w:cs="Times New Roman"/>
          <w:sz w:val="28"/>
        </w:rPr>
        <w:t xml:space="preserve"> бизнес-целям.</w:t>
      </w:r>
    </w:p>
    <w:p w:rsidR="00004BDC" w:rsidRPr="00004BDC" w:rsidRDefault="00004BDC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95504896"/>
      <w:r w:rsidRPr="00004BDC">
        <w:rPr>
          <w:rFonts w:ascii="Times New Roman" w:hAnsi="Times New Roman" w:cs="Times New Roman"/>
          <w:color w:val="auto"/>
          <w:sz w:val="28"/>
        </w:rPr>
        <w:t>1.4. Недостатки и риски</w:t>
      </w:r>
      <w:bookmarkEnd w:id="5"/>
    </w:p>
    <w:p w:rsidR="00004BDC" w:rsidRPr="00004BDC" w:rsidRDefault="00004BDC" w:rsidP="00B01F14">
      <w:pPr>
        <w:pStyle w:val="a4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Высокая стоимость</w:t>
      </w:r>
      <w:r w:rsidRPr="00004BDC">
        <w:rPr>
          <w:rFonts w:ascii="Times New Roman" w:hAnsi="Times New Roman" w:cs="Times New Roman"/>
          <w:sz w:val="28"/>
        </w:rPr>
        <w:t> – требует привлечения высококвалифицированных специалистов.</w:t>
      </w:r>
    </w:p>
    <w:p w:rsidR="00004BDC" w:rsidRPr="00004BDC" w:rsidRDefault="00004BDC" w:rsidP="00B01F14">
      <w:pPr>
        <w:pStyle w:val="a4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Длительные сроки</w:t>
      </w:r>
      <w:r w:rsidRPr="00004BDC">
        <w:rPr>
          <w:rFonts w:ascii="Times New Roman" w:hAnsi="Times New Roman" w:cs="Times New Roman"/>
          <w:sz w:val="28"/>
        </w:rPr>
        <w:t> – процесс может занимать от нескольких месяцев до лет.</w:t>
      </w:r>
    </w:p>
    <w:p w:rsidR="00004BDC" w:rsidRPr="00004BDC" w:rsidRDefault="00004BDC" w:rsidP="00B01F14">
      <w:pPr>
        <w:pStyle w:val="a4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Сложность поддержки</w:t>
      </w:r>
      <w:r w:rsidRPr="00004BDC">
        <w:rPr>
          <w:rFonts w:ascii="Times New Roman" w:hAnsi="Times New Roman" w:cs="Times New Roman"/>
          <w:sz w:val="28"/>
        </w:rPr>
        <w:t> – уникальные решения требуют особого подхода к сопровождению.</w:t>
      </w:r>
    </w:p>
    <w:p w:rsidR="00004BDC" w:rsidRPr="00004BDC" w:rsidRDefault="00004BDC" w:rsidP="00B01F14">
      <w:pPr>
        <w:pStyle w:val="a4"/>
        <w:numPr>
          <w:ilvl w:val="0"/>
          <w:numId w:val="10"/>
        </w:numPr>
        <w:spacing w:after="0"/>
        <w:ind w:left="0" w:firstLine="709"/>
        <w:jc w:val="both"/>
        <w:rPr>
          <w:rFonts w:ascii="MS Gothic" w:eastAsia="MS Gothic" w:hAnsi="MS Gothic" w:cs="MS Gothic"/>
          <w:sz w:val="28"/>
        </w:rPr>
      </w:pPr>
      <w:r w:rsidRPr="00004BDC">
        <w:rPr>
          <w:rFonts w:ascii="Times New Roman" w:hAnsi="Times New Roman" w:cs="Times New Roman"/>
          <w:b/>
          <w:bCs/>
          <w:sz w:val="28"/>
        </w:rPr>
        <w:t>Риск неудачи</w:t>
      </w:r>
      <w:r w:rsidRPr="00004BDC">
        <w:rPr>
          <w:rFonts w:ascii="Times New Roman" w:hAnsi="Times New Roman" w:cs="Times New Roman"/>
          <w:sz w:val="28"/>
        </w:rPr>
        <w:t xml:space="preserve"> – при недостаточной проработке </w:t>
      </w:r>
      <w:proofErr w:type="gramStart"/>
      <w:r w:rsidRPr="00004BDC">
        <w:rPr>
          <w:rFonts w:ascii="Times New Roman" w:hAnsi="Times New Roman" w:cs="Times New Roman"/>
          <w:sz w:val="28"/>
        </w:rPr>
        <w:t>возможна</w:t>
      </w:r>
      <w:proofErr w:type="gramEnd"/>
      <w:r w:rsidRPr="00004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4BDC">
        <w:rPr>
          <w:rFonts w:ascii="Times New Roman" w:hAnsi="Times New Roman" w:cs="Times New Roman"/>
          <w:sz w:val="28"/>
        </w:rPr>
        <w:t>дисфункциональность</w:t>
      </w:r>
      <w:proofErr w:type="spellEnd"/>
      <w:r w:rsidRPr="00004BDC">
        <w:rPr>
          <w:rFonts w:ascii="Times New Roman" w:hAnsi="Times New Roman" w:cs="Times New Roman"/>
          <w:sz w:val="28"/>
        </w:rPr>
        <w:t xml:space="preserve"> архитектуры.</w:t>
      </w:r>
    </w:p>
    <w:p w:rsidR="00004BDC" w:rsidRPr="00004BDC" w:rsidRDefault="00004BDC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95504897"/>
      <w:r w:rsidRPr="00004BDC">
        <w:rPr>
          <w:rFonts w:ascii="Times New Roman" w:hAnsi="Times New Roman" w:cs="Times New Roman"/>
          <w:color w:val="auto"/>
          <w:sz w:val="28"/>
        </w:rPr>
        <w:lastRenderedPageBreak/>
        <w:t>1.5. Области применения</w:t>
      </w:r>
      <w:bookmarkEnd w:id="6"/>
    </w:p>
    <w:p w:rsidR="00004BDC" w:rsidRPr="00004BDC" w:rsidRDefault="00004BDC" w:rsidP="00B01F14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sz w:val="28"/>
        </w:rPr>
        <w:t>Крупные корпорации с уникальными бизнес-процессами (например, нефтегазовые компании).</w:t>
      </w:r>
    </w:p>
    <w:p w:rsidR="00004BDC" w:rsidRPr="00004BDC" w:rsidRDefault="00004BDC" w:rsidP="00B01F14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sz w:val="28"/>
        </w:rPr>
        <w:t>Инновационные проекты, где стандартные решения неприменимы.</w:t>
      </w:r>
    </w:p>
    <w:p w:rsidR="00004BDC" w:rsidRPr="00004BDC" w:rsidRDefault="00004BDC" w:rsidP="00B01F14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04BDC">
        <w:rPr>
          <w:rFonts w:ascii="Times New Roman" w:hAnsi="Times New Roman" w:cs="Times New Roman"/>
          <w:sz w:val="28"/>
        </w:rPr>
        <w:t>Государственные структуры с особыми требованиями к безопасности и интеграции.</w:t>
      </w:r>
    </w:p>
    <w:p w:rsidR="00004BDC" w:rsidRPr="00004BDC" w:rsidRDefault="00004BDC" w:rsidP="00B01F14">
      <w:pPr>
        <w:spacing w:after="0"/>
        <w:ind w:firstLine="709"/>
        <w:rPr>
          <w:rFonts w:ascii="Times New Roman" w:hAnsi="Times New Roman" w:cs="Times New Roman"/>
          <w:sz w:val="28"/>
        </w:rPr>
        <w:sectPr w:rsidR="00004BDC" w:rsidRPr="00004B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B01F14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7" w:name="_Toc195504898"/>
      <w:r w:rsidRPr="0066195A">
        <w:rPr>
          <w:rFonts w:ascii="Times New Roman" w:hAnsi="Times New Roman" w:cs="Times New Roman"/>
          <w:color w:val="auto"/>
          <w:sz w:val="32"/>
        </w:rPr>
        <w:lastRenderedPageBreak/>
        <w:t xml:space="preserve">2. </w:t>
      </w:r>
      <w:r w:rsidR="00004BDC">
        <w:rPr>
          <w:rFonts w:ascii="Times New Roman" w:hAnsi="Times New Roman" w:cs="Times New Roman"/>
          <w:color w:val="auto"/>
          <w:sz w:val="32"/>
        </w:rPr>
        <w:t>Типовое проектирование архитектуры предприятия</w:t>
      </w:r>
      <w:bookmarkEnd w:id="7"/>
    </w:p>
    <w:p w:rsidR="0066195A" w:rsidRPr="0066195A" w:rsidRDefault="0066195A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195504899"/>
      <w:r w:rsidRPr="0066195A">
        <w:rPr>
          <w:rFonts w:ascii="Times New Roman" w:hAnsi="Times New Roman" w:cs="Times New Roman"/>
          <w:color w:val="auto"/>
          <w:sz w:val="28"/>
        </w:rPr>
        <w:t xml:space="preserve">2.1. </w:t>
      </w:r>
      <w:r w:rsidR="00004BDC">
        <w:rPr>
          <w:rFonts w:ascii="Times New Roman" w:hAnsi="Times New Roman" w:cs="Times New Roman"/>
          <w:color w:val="auto"/>
          <w:sz w:val="28"/>
        </w:rPr>
        <w:t>Сущность и ключевые характеристики</w:t>
      </w:r>
      <w:bookmarkEnd w:id="8"/>
    </w:p>
    <w:p w:rsidR="0066195A" w:rsidRPr="0066195A" w:rsidRDefault="0014268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68C">
        <w:rPr>
          <w:rFonts w:ascii="Times New Roman" w:hAnsi="Times New Roman" w:cs="Times New Roman"/>
          <w:sz w:val="28"/>
          <w:szCs w:val="28"/>
        </w:rPr>
        <w:t>Типовое проектирование базируется на использовании готовых решений, отраслевых стандартов и лучших практик. Оно позволяет значительно сократить сроки внедрения и минимизировать риски.</w:t>
      </w:r>
    </w:p>
    <w:p w:rsidR="0066195A" w:rsidRPr="0066195A" w:rsidRDefault="0066195A" w:rsidP="00B01F14">
      <w:pPr>
        <w:pStyle w:val="2"/>
        <w:spacing w:before="0"/>
        <w:ind w:firstLine="709"/>
        <w:rPr>
          <w:color w:val="auto"/>
          <w:sz w:val="28"/>
        </w:rPr>
      </w:pPr>
      <w:bookmarkStart w:id="9" w:name="_Toc195504900"/>
      <w:r w:rsidRPr="0066195A">
        <w:rPr>
          <w:color w:val="auto"/>
          <w:sz w:val="28"/>
        </w:rPr>
        <w:t xml:space="preserve">2.2. </w:t>
      </w:r>
      <w:r w:rsidR="0014268C">
        <w:rPr>
          <w:color w:val="auto"/>
          <w:sz w:val="28"/>
        </w:rPr>
        <w:t>Методологические основы</w:t>
      </w:r>
      <w:bookmarkEnd w:id="9"/>
    </w:p>
    <w:p w:rsidR="0014268C" w:rsidRPr="0014268C" w:rsidRDefault="0014268C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68C">
        <w:rPr>
          <w:rFonts w:ascii="Times New Roman" w:hAnsi="Times New Roman" w:cs="Times New Roman"/>
          <w:sz w:val="28"/>
          <w:szCs w:val="28"/>
        </w:rPr>
        <w:t>Основные подходы:</w:t>
      </w:r>
    </w:p>
    <w:p w:rsidR="0014268C" w:rsidRPr="0014268C" w:rsidRDefault="0014268C" w:rsidP="00B01F14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68C">
        <w:rPr>
          <w:rFonts w:ascii="Times New Roman" w:hAnsi="Times New Roman" w:cs="Times New Roman"/>
          <w:b/>
          <w:bCs/>
          <w:sz w:val="28"/>
          <w:szCs w:val="28"/>
        </w:rPr>
        <w:t xml:space="preserve">ERP-системы (SAP, </w:t>
      </w:r>
      <w:proofErr w:type="spellStart"/>
      <w:r w:rsidRPr="0014268C">
        <w:rPr>
          <w:rFonts w:ascii="Times New Roman" w:hAnsi="Times New Roman" w:cs="Times New Roman"/>
          <w:b/>
          <w:bCs/>
          <w:sz w:val="28"/>
          <w:szCs w:val="28"/>
        </w:rPr>
        <w:t>Oracle</w:t>
      </w:r>
      <w:proofErr w:type="spellEnd"/>
      <w:r w:rsidRPr="001426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4268C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142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268C">
        <w:rPr>
          <w:rFonts w:ascii="Times New Roman" w:hAnsi="Times New Roman" w:cs="Times New Roman"/>
          <w:b/>
          <w:bCs/>
          <w:sz w:val="28"/>
          <w:szCs w:val="28"/>
        </w:rPr>
        <w:t>Dynamics</w:t>
      </w:r>
      <w:proofErr w:type="spellEnd"/>
      <w:r w:rsidRPr="001426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4268C">
        <w:rPr>
          <w:rFonts w:ascii="Times New Roman" w:hAnsi="Times New Roman" w:cs="Times New Roman"/>
          <w:sz w:val="28"/>
          <w:szCs w:val="28"/>
        </w:rPr>
        <w:t> – комплексные платформы для управления бизнес-процессами.</w:t>
      </w:r>
    </w:p>
    <w:p w:rsidR="0014268C" w:rsidRPr="0014268C" w:rsidRDefault="0014268C" w:rsidP="00B01F14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68C">
        <w:rPr>
          <w:rFonts w:ascii="Times New Roman" w:hAnsi="Times New Roman" w:cs="Times New Roman"/>
          <w:b/>
          <w:bCs/>
          <w:sz w:val="28"/>
          <w:szCs w:val="28"/>
        </w:rPr>
        <w:t>Отраслевые стандарты (COBIT, ITIL, ISO 27001)</w:t>
      </w:r>
      <w:r w:rsidRPr="0014268C">
        <w:rPr>
          <w:rFonts w:ascii="Times New Roman" w:hAnsi="Times New Roman" w:cs="Times New Roman"/>
          <w:sz w:val="28"/>
          <w:szCs w:val="28"/>
        </w:rPr>
        <w:t xml:space="preserve"> – регламентируют управление </w:t>
      </w:r>
      <w:proofErr w:type="gramStart"/>
      <w:r w:rsidRPr="0014268C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14268C">
        <w:rPr>
          <w:rFonts w:ascii="Times New Roman" w:hAnsi="Times New Roman" w:cs="Times New Roman"/>
          <w:sz w:val="28"/>
          <w:szCs w:val="28"/>
        </w:rPr>
        <w:t>, услугами и безопасностью.</w:t>
      </w:r>
    </w:p>
    <w:p w:rsidR="0066195A" w:rsidRDefault="0014268C" w:rsidP="00B01F14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68C">
        <w:rPr>
          <w:rFonts w:ascii="Times New Roman" w:hAnsi="Times New Roman" w:cs="Times New Roman"/>
          <w:b/>
          <w:bCs/>
          <w:sz w:val="28"/>
          <w:szCs w:val="28"/>
        </w:rPr>
        <w:t>Готовые архитектурные шаблоны</w:t>
      </w:r>
      <w:r w:rsidRPr="0014268C">
        <w:rPr>
          <w:rFonts w:ascii="Times New Roman" w:hAnsi="Times New Roman" w:cs="Times New Roman"/>
          <w:sz w:val="28"/>
          <w:szCs w:val="28"/>
        </w:rPr>
        <w:t xml:space="preserve"> – например, </w:t>
      </w:r>
      <w:proofErr w:type="spellStart"/>
      <w:r w:rsidRPr="0014268C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142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C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142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C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42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4268C">
        <w:rPr>
          <w:rFonts w:ascii="Times New Roman" w:hAnsi="Times New Roman" w:cs="Times New Roman"/>
          <w:sz w:val="28"/>
          <w:szCs w:val="28"/>
        </w:rPr>
        <w:t xml:space="preserve"> (BIAN) для финансового сектора.</w:t>
      </w:r>
    </w:p>
    <w:p w:rsidR="002D194B" w:rsidRPr="002D194B" w:rsidRDefault="002D194B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195504901"/>
      <w:r w:rsidRPr="002D194B">
        <w:rPr>
          <w:rFonts w:ascii="Times New Roman" w:hAnsi="Times New Roman" w:cs="Times New Roman"/>
          <w:color w:val="auto"/>
          <w:sz w:val="28"/>
        </w:rPr>
        <w:t>2.3. Преимущества</w:t>
      </w:r>
      <w:bookmarkEnd w:id="10"/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D194B">
        <w:rPr>
          <w:rStyle w:val="a8"/>
          <w:rFonts w:ascii="Times New Roman" w:hAnsi="Times New Roman" w:cs="Times New Roman"/>
          <w:color w:val="404040"/>
          <w:sz w:val="28"/>
          <w:szCs w:val="28"/>
        </w:rPr>
        <w:t>Скорость внедрения</w:t>
      </w:r>
      <w:r w:rsidRPr="002D194B">
        <w:rPr>
          <w:rFonts w:ascii="Times New Roman" w:hAnsi="Times New Roman" w:cs="Times New Roman"/>
          <w:color w:val="404040"/>
          <w:sz w:val="28"/>
          <w:szCs w:val="28"/>
        </w:rPr>
        <w:t> – использование готовых решений ускоряет процесс.</w:t>
      </w:r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D194B">
        <w:rPr>
          <w:rStyle w:val="a8"/>
          <w:rFonts w:ascii="Times New Roman" w:hAnsi="Times New Roman" w:cs="Times New Roman"/>
          <w:color w:val="404040"/>
          <w:sz w:val="28"/>
          <w:szCs w:val="28"/>
        </w:rPr>
        <w:t>Экономическая эффективность</w:t>
      </w:r>
      <w:r w:rsidRPr="002D194B">
        <w:rPr>
          <w:rFonts w:ascii="Times New Roman" w:hAnsi="Times New Roman" w:cs="Times New Roman"/>
          <w:color w:val="404040"/>
          <w:sz w:val="28"/>
          <w:szCs w:val="28"/>
        </w:rPr>
        <w:t> – снижение затрат за счет масштабируемости.</w:t>
      </w:r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D194B">
        <w:rPr>
          <w:rStyle w:val="a8"/>
          <w:rFonts w:ascii="Times New Roman" w:hAnsi="Times New Roman" w:cs="Times New Roman"/>
          <w:color w:val="404040"/>
          <w:sz w:val="28"/>
          <w:szCs w:val="28"/>
        </w:rPr>
        <w:t>Предсказуемость</w:t>
      </w:r>
      <w:r w:rsidRPr="002D194B">
        <w:rPr>
          <w:rFonts w:ascii="Times New Roman" w:hAnsi="Times New Roman" w:cs="Times New Roman"/>
          <w:color w:val="404040"/>
          <w:sz w:val="28"/>
          <w:szCs w:val="28"/>
        </w:rPr>
        <w:t> – минимизация рисков благодаря проверенным решениям.</w:t>
      </w:r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Style w:val="a8"/>
          <w:rFonts w:ascii="Times New Roman" w:hAnsi="Times New Roman" w:cs="Times New Roman"/>
          <w:color w:val="404040"/>
          <w:sz w:val="28"/>
          <w:szCs w:val="28"/>
        </w:rPr>
        <w:t xml:space="preserve">Поддержка </w:t>
      </w:r>
      <w:proofErr w:type="spellStart"/>
      <w:r w:rsidRPr="002D194B">
        <w:rPr>
          <w:rStyle w:val="a8"/>
          <w:rFonts w:ascii="Times New Roman" w:hAnsi="Times New Roman" w:cs="Times New Roman"/>
          <w:color w:val="404040"/>
          <w:sz w:val="28"/>
          <w:szCs w:val="28"/>
        </w:rPr>
        <w:t>вендора</w:t>
      </w:r>
      <w:proofErr w:type="spellEnd"/>
      <w:r w:rsidRPr="002D194B">
        <w:rPr>
          <w:rFonts w:ascii="Times New Roman" w:hAnsi="Times New Roman" w:cs="Times New Roman"/>
          <w:color w:val="404040"/>
          <w:sz w:val="28"/>
          <w:szCs w:val="28"/>
        </w:rPr>
        <w:t> – регулярные обновления и техподдержка.</w:t>
      </w:r>
    </w:p>
    <w:p w:rsidR="002D194B" w:rsidRPr="002D194B" w:rsidRDefault="002D194B" w:rsidP="00B01F14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195504902"/>
      <w:r w:rsidRPr="002D194B">
        <w:rPr>
          <w:rFonts w:ascii="Times New Roman" w:hAnsi="Times New Roman" w:cs="Times New Roman"/>
          <w:color w:val="auto"/>
          <w:sz w:val="28"/>
        </w:rPr>
        <w:t>2.4. Недостатки и риски</w:t>
      </w:r>
      <w:bookmarkEnd w:id="11"/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>Ограниченная гибкость</w:t>
      </w:r>
      <w:r w:rsidRPr="002D194B">
        <w:rPr>
          <w:rFonts w:ascii="Times New Roman" w:hAnsi="Times New Roman" w:cs="Times New Roman"/>
          <w:sz w:val="28"/>
          <w:szCs w:val="28"/>
        </w:rPr>
        <w:t> – сложности с адаптацией под нестандартные требования.</w:t>
      </w:r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Зависимость от </w:t>
      </w:r>
      <w:proofErr w:type="spellStart"/>
      <w:r w:rsidRPr="002D194B">
        <w:rPr>
          <w:rFonts w:ascii="Times New Roman" w:hAnsi="Times New Roman" w:cs="Times New Roman"/>
          <w:b/>
          <w:bCs/>
          <w:sz w:val="28"/>
          <w:szCs w:val="28"/>
        </w:rPr>
        <w:t>вендора</w:t>
      </w:r>
      <w:proofErr w:type="spellEnd"/>
      <w:r w:rsidRPr="002D194B">
        <w:rPr>
          <w:rFonts w:ascii="Times New Roman" w:hAnsi="Times New Roman" w:cs="Times New Roman"/>
          <w:sz w:val="28"/>
          <w:szCs w:val="28"/>
        </w:rPr>
        <w:t> – возможны проблемы при смене поставщика.</w:t>
      </w:r>
    </w:p>
    <w:p w:rsidR="002D194B" w:rsidRP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>Усредненность</w:t>
      </w:r>
      <w:r w:rsidRPr="002D194B">
        <w:rPr>
          <w:rFonts w:ascii="Times New Roman" w:hAnsi="Times New Roman" w:cs="Times New Roman"/>
          <w:sz w:val="28"/>
          <w:szCs w:val="28"/>
        </w:rPr>
        <w:t> – не учитывает специфику отдельных предприятий.</w:t>
      </w:r>
    </w:p>
    <w:p w:rsidR="002D194B" w:rsidRDefault="002D194B" w:rsidP="00B01F14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>Избыточность функционала</w:t>
      </w:r>
      <w:r w:rsidRPr="002D194B">
        <w:rPr>
          <w:rFonts w:ascii="Times New Roman" w:hAnsi="Times New Roman" w:cs="Times New Roman"/>
          <w:sz w:val="28"/>
          <w:szCs w:val="28"/>
        </w:rPr>
        <w:t> – оплата неиспользуемых модулей.</w:t>
      </w:r>
    </w:p>
    <w:p w:rsidR="002D194B" w:rsidRPr="002D194B" w:rsidRDefault="002D194B" w:rsidP="00B01F14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</w:rPr>
      </w:pPr>
      <w:bookmarkStart w:id="12" w:name="_Toc195504903"/>
      <w:r w:rsidRPr="002D194B">
        <w:rPr>
          <w:rFonts w:ascii="Times New Roman" w:hAnsi="Times New Roman" w:cs="Times New Roman"/>
          <w:color w:val="auto"/>
          <w:sz w:val="28"/>
        </w:rPr>
        <w:t>2.5. Области применения</w:t>
      </w:r>
      <w:bookmarkEnd w:id="12"/>
    </w:p>
    <w:p w:rsidR="002D194B" w:rsidRPr="002D194B" w:rsidRDefault="002D194B" w:rsidP="00B01F14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sz w:val="28"/>
          <w:szCs w:val="28"/>
        </w:rPr>
        <w:t>Средний и малый бизнес с типовыми процессами.</w:t>
      </w:r>
    </w:p>
    <w:p w:rsidR="002D194B" w:rsidRPr="002D194B" w:rsidRDefault="002D194B" w:rsidP="00B01F14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sz w:val="28"/>
          <w:szCs w:val="28"/>
        </w:rPr>
        <w:t xml:space="preserve">Отрасли с жесткой </w:t>
      </w:r>
      <w:proofErr w:type="spellStart"/>
      <w:r w:rsidRPr="002D194B">
        <w:rPr>
          <w:rFonts w:ascii="Times New Roman" w:hAnsi="Times New Roman" w:cs="Times New Roman"/>
          <w:sz w:val="28"/>
          <w:szCs w:val="28"/>
        </w:rPr>
        <w:t>регуляторикой</w:t>
      </w:r>
      <w:proofErr w:type="spellEnd"/>
      <w:r w:rsidRPr="002D194B">
        <w:rPr>
          <w:rFonts w:ascii="Times New Roman" w:hAnsi="Times New Roman" w:cs="Times New Roman"/>
          <w:sz w:val="28"/>
          <w:szCs w:val="28"/>
        </w:rPr>
        <w:t xml:space="preserve"> (банки, телеком, здравоохранение).</w:t>
      </w:r>
    </w:p>
    <w:p w:rsidR="002D194B" w:rsidRPr="002D194B" w:rsidRDefault="002D194B" w:rsidP="00B01F14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2D194B" w:rsidRPr="002D19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D194B">
        <w:rPr>
          <w:rFonts w:ascii="Times New Roman" w:hAnsi="Times New Roman" w:cs="Times New Roman"/>
          <w:sz w:val="28"/>
          <w:szCs w:val="28"/>
        </w:rPr>
        <w:t>Компании, ориентированные на быстрый рост и масштабирование.</w:t>
      </w:r>
    </w:p>
    <w:p w:rsidR="002D194B" w:rsidRPr="002D194B" w:rsidRDefault="002D194B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95A" w:rsidRPr="0066195A" w:rsidRDefault="0066195A" w:rsidP="00B01F14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13" w:name="_Toc195504904"/>
      <w:r w:rsidRPr="0066195A">
        <w:rPr>
          <w:rFonts w:ascii="Times New Roman" w:hAnsi="Times New Roman" w:cs="Times New Roman"/>
          <w:color w:val="auto"/>
          <w:sz w:val="32"/>
        </w:rPr>
        <w:t xml:space="preserve">3. </w:t>
      </w:r>
      <w:r w:rsidR="002D194B">
        <w:rPr>
          <w:rFonts w:ascii="Times New Roman" w:hAnsi="Times New Roman" w:cs="Times New Roman"/>
          <w:color w:val="auto"/>
          <w:sz w:val="32"/>
        </w:rPr>
        <w:t>Сравнительный анализ подходов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Оригинальное проектирование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Типовое проектирование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кастомизации</w:t>
            </w:r>
            <w:proofErr w:type="spellEnd"/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реализации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6–24 месяца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3–12 месяцев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Высокий (от $500 тыс.)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Средний (от $100 тыс.)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Возможность любых изменений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Зависит от возможностей платформы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внедрения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gramEnd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 xml:space="preserve"> (требуются эксперты)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  <w:proofErr w:type="gramEnd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 xml:space="preserve"> (документированные решения)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 развитие</w:t>
            </w:r>
          </w:p>
        </w:tc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2D194B" w:rsidRPr="002D194B" w:rsidTr="002D194B">
              <w:tc>
                <w:tcPr>
                  <w:tcW w:w="0" w:type="auto"/>
                  <w:vAlign w:val="center"/>
                  <w:hideMark/>
                </w:tcPr>
                <w:p w:rsidR="002D194B" w:rsidRPr="002D194B" w:rsidRDefault="002D194B" w:rsidP="00B01F14">
                  <w:pPr>
                    <w:spacing w:after="0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D194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Зависит от внутренних ресурсов</w:t>
                  </w:r>
                </w:p>
              </w:tc>
            </w:tr>
          </w:tbl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Обеспечивается </w:t>
            </w:r>
            <w:proofErr w:type="spellStart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вендором</w:t>
            </w:r>
            <w:proofErr w:type="spellEnd"/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Риски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Возможны ошибки проектирования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Ограничения платформы</w:t>
            </w:r>
          </w:p>
        </w:tc>
      </w:tr>
      <w:tr w:rsidR="002D194B" w:rsidTr="002D194B"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Идеальная сфера применения</w:t>
            </w:r>
          </w:p>
        </w:tc>
        <w:tc>
          <w:tcPr>
            <w:tcW w:w="3190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proofErr w:type="gramStart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бизнес-модели</w:t>
            </w:r>
            <w:proofErr w:type="gramEnd"/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, крупные корпорации</w:t>
            </w:r>
          </w:p>
        </w:tc>
        <w:tc>
          <w:tcPr>
            <w:tcW w:w="3191" w:type="dxa"/>
          </w:tcPr>
          <w:p w:rsidR="002D194B" w:rsidRDefault="002D194B" w:rsidP="00B01F14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194B">
              <w:rPr>
                <w:rFonts w:ascii="Times New Roman" w:hAnsi="Times New Roman" w:cs="Times New Roman"/>
                <w:sz w:val="28"/>
                <w:szCs w:val="28"/>
              </w:rPr>
              <w:t>Стандартизированные отрасли, СМБ</w:t>
            </w:r>
          </w:p>
        </w:tc>
      </w:tr>
    </w:tbl>
    <w:p w:rsid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B01F14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14" w:name="_Toc195504905"/>
      <w:r w:rsidRPr="0066195A">
        <w:rPr>
          <w:rFonts w:ascii="Times New Roman" w:hAnsi="Times New Roman" w:cs="Times New Roman"/>
          <w:color w:val="auto"/>
          <w:sz w:val="32"/>
        </w:rPr>
        <w:lastRenderedPageBreak/>
        <w:t xml:space="preserve">4. </w:t>
      </w:r>
      <w:r w:rsidR="002D194B">
        <w:rPr>
          <w:rFonts w:ascii="Times New Roman" w:hAnsi="Times New Roman" w:cs="Times New Roman"/>
          <w:color w:val="auto"/>
          <w:sz w:val="32"/>
        </w:rPr>
        <w:t>Гибридный подход: компромиссное решение</w:t>
      </w:r>
      <w:bookmarkEnd w:id="14"/>
    </w:p>
    <w:p w:rsidR="002D194B" w:rsidRDefault="002D194B" w:rsidP="00B01F14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94B">
        <w:rPr>
          <w:rFonts w:ascii="Times New Roman" w:hAnsi="Times New Roman" w:cs="Times New Roman"/>
          <w:sz w:val="28"/>
          <w:szCs w:val="28"/>
        </w:rPr>
        <w:t>В некоторых случаях оптимальным решением становится </w:t>
      </w:r>
      <w:r>
        <w:rPr>
          <w:rFonts w:ascii="Times New Roman" w:hAnsi="Times New Roman" w:cs="Times New Roman"/>
          <w:b/>
          <w:bCs/>
          <w:sz w:val="28"/>
          <w:szCs w:val="28"/>
        </w:rPr>
        <w:t>комбинация</w:t>
      </w:r>
    </w:p>
    <w:p w:rsidR="002D194B" w:rsidRPr="002D194B" w:rsidRDefault="002D194B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>оригинального и типового проектирования</w:t>
      </w:r>
      <w:r w:rsidRPr="002D194B">
        <w:rPr>
          <w:rFonts w:ascii="Times New Roman" w:hAnsi="Times New Roman" w:cs="Times New Roman"/>
          <w:sz w:val="28"/>
          <w:szCs w:val="28"/>
        </w:rPr>
        <w:t>:</w:t>
      </w:r>
    </w:p>
    <w:p w:rsidR="002D194B" w:rsidRPr="00B01F14" w:rsidRDefault="002D194B" w:rsidP="00B01F14">
      <w:pPr>
        <w:pStyle w:val="a4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b/>
          <w:bCs/>
          <w:sz w:val="28"/>
          <w:szCs w:val="28"/>
        </w:rPr>
        <w:t>Базовые процессы</w:t>
      </w:r>
      <w:r w:rsidRPr="00B01F14">
        <w:rPr>
          <w:rFonts w:ascii="Times New Roman" w:hAnsi="Times New Roman" w:cs="Times New Roman"/>
          <w:sz w:val="28"/>
          <w:szCs w:val="28"/>
        </w:rPr>
        <w:t> (бухгалтерия, кадры) – типовые решения.</w:t>
      </w:r>
    </w:p>
    <w:p w:rsidR="002D194B" w:rsidRPr="00B01F14" w:rsidRDefault="002D194B" w:rsidP="00B01F14">
      <w:pPr>
        <w:pStyle w:val="a4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b/>
          <w:bCs/>
          <w:sz w:val="28"/>
          <w:szCs w:val="28"/>
        </w:rPr>
        <w:t>Ключевые конкурентные преимущества</w:t>
      </w:r>
      <w:r w:rsidRPr="00B01F14">
        <w:rPr>
          <w:rFonts w:ascii="Times New Roman" w:hAnsi="Times New Roman" w:cs="Times New Roman"/>
          <w:sz w:val="28"/>
          <w:szCs w:val="28"/>
        </w:rPr>
        <w:t> – индивидуальная разработка.</w:t>
      </w:r>
    </w:p>
    <w:p w:rsidR="002D194B" w:rsidRPr="002D194B" w:rsidRDefault="002D194B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4B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:rsidR="002D194B" w:rsidRPr="00B01F14" w:rsidRDefault="002D194B" w:rsidP="00B01F14">
      <w:pPr>
        <w:pStyle w:val="a4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sz w:val="28"/>
          <w:szCs w:val="28"/>
        </w:rPr>
        <w:t xml:space="preserve">Банк использует </w:t>
      </w:r>
      <w:proofErr w:type="gramStart"/>
      <w:r w:rsidRPr="00B01F14">
        <w:rPr>
          <w:rFonts w:ascii="Times New Roman" w:hAnsi="Times New Roman" w:cs="Times New Roman"/>
          <w:sz w:val="28"/>
          <w:szCs w:val="28"/>
        </w:rPr>
        <w:t>стандартную</w:t>
      </w:r>
      <w:proofErr w:type="gramEnd"/>
      <w:r w:rsidRPr="00B01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F1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01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F14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B01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F1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01F14">
        <w:rPr>
          <w:rFonts w:ascii="Times New Roman" w:hAnsi="Times New Roman" w:cs="Times New Roman"/>
          <w:sz w:val="28"/>
          <w:szCs w:val="28"/>
        </w:rPr>
        <w:t>, но разрабатывает уникальные аналитические модули.</w:t>
      </w:r>
    </w:p>
    <w:p w:rsidR="00B01F14" w:rsidRDefault="002D194B" w:rsidP="00B01F14">
      <w:pPr>
        <w:pStyle w:val="a4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B01F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1F14">
        <w:rPr>
          <w:rFonts w:ascii="Times New Roman" w:hAnsi="Times New Roman" w:cs="Times New Roman"/>
          <w:sz w:val="28"/>
          <w:szCs w:val="28"/>
        </w:rPr>
        <w:t>Производственная компания внедряет SAP, но дорабатывает систему управления</w:t>
      </w:r>
      <w:r w:rsidR="00B01F14">
        <w:rPr>
          <w:rFonts w:ascii="Times New Roman" w:hAnsi="Times New Roman" w:cs="Times New Roman"/>
          <w:sz w:val="28"/>
          <w:szCs w:val="28"/>
        </w:rPr>
        <w:t xml:space="preserve"> цепями поставок под свои нужды</w:t>
      </w:r>
    </w:p>
    <w:p w:rsidR="002D194B" w:rsidRPr="00B01F14" w:rsidRDefault="002D194B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95A" w:rsidRPr="00B01F14" w:rsidRDefault="0066195A" w:rsidP="00B01F14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15" w:name="_Toc195504906"/>
      <w:r w:rsidRPr="00B01F14">
        <w:rPr>
          <w:rFonts w:ascii="Times New Roman" w:hAnsi="Times New Roman" w:cs="Times New Roman"/>
          <w:color w:val="auto"/>
          <w:sz w:val="32"/>
        </w:rPr>
        <w:t>Заключение</w:t>
      </w:r>
      <w:bookmarkEnd w:id="15"/>
    </w:p>
    <w:p w:rsidR="00B01F14" w:rsidRPr="00B01F14" w:rsidRDefault="00B01F14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sz w:val="28"/>
          <w:szCs w:val="28"/>
        </w:rPr>
        <w:t xml:space="preserve">Выбор между оригинальным и типовым проектированием архитектуры предприятия должен основываться </w:t>
      </w:r>
      <w:proofErr w:type="gramStart"/>
      <w:r w:rsidRPr="00B01F1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01F14">
        <w:rPr>
          <w:rFonts w:ascii="Times New Roman" w:hAnsi="Times New Roman" w:cs="Times New Roman"/>
          <w:sz w:val="28"/>
          <w:szCs w:val="28"/>
        </w:rPr>
        <w:t>:</w:t>
      </w:r>
    </w:p>
    <w:p w:rsidR="00B01F14" w:rsidRPr="00B01F14" w:rsidRDefault="00B01F14" w:rsidP="00B01F14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b/>
          <w:bCs/>
          <w:sz w:val="28"/>
          <w:szCs w:val="28"/>
        </w:rPr>
        <w:t xml:space="preserve">Стратегических </w:t>
      </w:r>
      <w:proofErr w:type="gramStart"/>
      <w:r w:rsidRPr="00B01F14">
        <w:rPr>
          <w:rFonts w:ascii="Times New Roman" w:hAnsi="Times New Roman" w:cs="Times New Roman"/>
          <w:b/>
          <w:bCs/>
          <w:sz w:val="28"/>
          <w:szCs w:val="28"/>
        </w:rPr>
        <w:t>целях</w:t>
      </w:r>
      <w:proofErr w:type="gramEnd"/>
      <w:r w:rsidRPr="00B01F14">
        <w:rPr>
          <w:rFonts w:ascii="Times New Roman" w:hAnsi="Times New Roman" w:cs="Times New Roman"/>
          <w:sz w:val="28"/>
          <w:szCs w:val="28"/>
        </w:rPr>
        <w:t xml:space="preserve"> (инновации </w:t>
      </w:r>
      <w:proofErr w:type="spellStart"/>
      <w:r w:rsidRPr="00B01F1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B01F14">
        <w:rPr>
          <w:rFonts w:ascii="Times New Roman" w:hAnsi="Times New Roman" w:cs="Times New Roman"/>
          <w:sz w:val="28"/>
          <w:szCs w:val="28"/>
        </w:rPr>
        <w:t>. стандартизация).</w:t>
      </w:r>
    </w:p>
    <w:p w:rsidR="00B01F14" w:rsidRPr="00B01F14" w:rsidRDefault="00B01F14" w:rsidP="00B01F14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1F14">
        <w:rPr>
          <w:rFonts w:ascii="Times New Roman" w:hAnsi="Times New Roman" w:cs="Times New Roman"/>
          <w:b/>
          <w:bCs/>
          <w:sz w:val="28"/>
          <w:szCs w:val="28"/>
        </w:rPr>
        <w:t>Бюджете</w:t>
      </w:r>
      <w:proofErr w:type="gramEnd"/>
      <w:r w:rsidRPr="00B01F14">
        <w:rPr>
          <w:rFonts w:ascii="Times New Roman" w:hAnsi="Times New Roman" w:cs="Times New Roman"/>
          <w:b/>
          <w:bCs/>
          <w:sz w:val="28"/>
          <w:szCs w:val="28"/>
        </w:rPr>
        <w:t xml:space="preserve"> и сроках</w:t>
      </w:r>
      <w:r w:rsidRPr="00B01F14">
        <w:rPr>
          <w:rFonts w:ascii="Times New Roman" w:hAnsi="Times New Roman" w:cs="Times New Roman"/>
          <w:sz w:val="28"/>
          <w:szCs w:val="28"/>
        </w:rPr>
        <w:t>.</w:t>
      </w:r>
    </w:p>
    <w:p w:rsidR="00B01F14" w:rsidRPr="00B01F14" w:rsidRDefault="00B01F14" w:rsidP="00B01F14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b/>
          <w:bCs/>
          <w:sz w:val="28"/>
          <w:szCs w:val="28"/>
        </w:rPr>
        <w:t>Отраслевой специфике</w:t>
      </w:r>
      <w:r w:rsidRPr="00B01F14">
        <w:rPr>
          <w:rFonts w:ascii="Times New Roman" w:hAnsi="Times New Roman" w:cs="Times New Roman"/>
          <w:sz w:val="28"/>
          <w:szCs w:val="28"/>
        </w:rPr>
        <w:t>.</w:t>
      </w:r>
    </w:p>
    <w:p w:rsidR="00B01F14" w:rsidRDefault="00B01F14" w:rsidP="00B01F14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B01F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1F14">
        <w:rPr>
          <w:rFonts w:ascii="Times New Roman" w:hAnsi="Times New Roman" w:cs="Times New Roman"/>
          <w:b/>
          <w:bCs/>
          <w:sz w:val="28"/>
          <w:szCs w:val="28"/>
        </w:rPr>
        <w:t>Готовности к изменениям</w:t>
      </w:r>
    </w:p>
    <w:p w:rsidR="00B01F14" w:rsidRPr="00B01F14" w:rsidRDefault="00B01F14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95A" w:rsidRPr="00B01F14" w:rsidRDefault="0066195A" w:rsidP="00B01F14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lang w:val="en-BZ"/>
        </w:rPr>
      </w:pPr>
      <w:bookmarkStart w:id="16" w:name="_Toc195504907"/>
      <w:r w:rsidRPr="0066195A">
        <w:rPr>
          <w:rFonts w:ascii="Times New Roman" w:hAnsi="Times New Roman" w:cs="Times New Roman"/>
          <w:color w:val="auto"/>
          <w:sz w:val="32"/>
        </w:rPr>
        <w:t>Список</w:t>
      </w:r>
      <w:r w:rsidRPr="0066195A">
        <w:rPr>
          <w:rFonts w:ascii="Times New Roman" w:hAnsi="Times New Roman" w:cs="Times New Roman"/>
          <w:color w:val="auto"/>
          <w:sz w:val="32"/>
          <w:lang w:val="en-BZ"/>
        </w:rPr>
        <w:t xml:space="preserve"> </w:t>
      </w:r>
      <w:r w:rsidRPr="0066195A">
        <w:rPr>
          <w:rFonts w:ascii="Times New Roman" w:hAnsi="Times New Roman" w:cs="Times New Roman"/>
          <w:color w:val="auto"/>
          <w:sz w:val="32"/>
        </w:rPr>
        <w:t>литературы</w:t>
      </w:r>
      <w:bookmarkEnd w:id="16"/>
    </w:p>
    <w:p w:rsidR="0066195A" w:rsidRP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004BDC">
        <w:rPr>
          <w:rFonts w:ascii="Times New Roman" w:hAnsi="Times New Roman" w:cs="Times New Roman"/>
          <w:sz w:val="28"/>
          <w:szCs w:val="28"/>
          <w:lang w:val="en-BZ"/>
        </w:rPr>
        <w:t xml:space="preserve">1. </w:t>
      </w:r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TOGAF Standard, Version 10. The Open Group, 2022.</w:t>
      </w:r>
    </w:p>
    <w:p w:rsidR="0066195A" w:rsidRP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2. </w:t>
      </w:r>
      <w:proofErr w:type="spellStart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Zachman</w:t>
      </w:r>
      <w:proofErr w:type="spellEnd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 J. A. The </w:t>
      </w:r>
      <w:proofErr w:type="spellStart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Zachman</w:t>
      </w:r>
      <w:proofErr w:type="spellEnd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 Framework for Enterprise Architecture // IBM, 2008.</w:t>
      </w:r>
    </w:p>
    <w:p w:rsidR="00B01F14" w:rsidRPr="00B01F14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3. </w:t>
      </w:r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COBIT 2019 Framework. </w:t>
      </w:r>
      <w:proofErr w:type="gramStart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ISACA, 2019.</w:t>
      </w:r>
      <w:proofErr w:type="gramEnd"/>
    </w:p>
    <w:p w:rsidR="0066195A" w:rsidRP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proofErr w:type="gramStart"/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4. </w:t>
      </w:r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Gartner Magic Quadrant for Enterprise Architecture Tools.</w:t>
      </w:r>
      <w:proofErr w:type="gramEnd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 2023.</w:t>
      </w:r>
    </w:p>
    <w:p w:rsid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5. </w:t>
      </w:r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BIAN Framework for Banking. </w:t>
      </w:r>
      <w:proofErr w:type="gramStart"/>
      <w:r w:rsidR="00B01F14" w:rsidRPr="00B01F14">
        <w:rPr>
          <w:rFonts w:ascii="Times New Roman" w:hAnsi="Times New Roman" w:cs="Times New Roman"/>
          <w:sz w:val="28"/>
          <w:szCs w:val="28"/>
          <w:lang w:val="en-BZ"/>
        </w:rPr>
        <w:t>BIAN, 2022.</w:t>
      </w:r>
      <w:proofErr w:type="gramEnd"/>
    </w:p>
    <w:p w:rsidR="00B01F14" w:rsidRPr="00B01F14" w:rsidRDefault="00B01F14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14">
        <w:rPr>
          <w:rFonts w:ascii="Times New Roman" w:hAnsi="Times New Roman" w:cs="Times New Roman"/>
          <w:sz w:val="28"/>
          <w:szCs w:val="28"/>
          <w:lang w:val="en-BZ"/>
        </w:rPr>
        <w:t xml:space="preserve">6. SAP S/4HANA Enterprise Architecture Guide. </w:t>
      </w:r>
      <w:r w:rsidRPr="00B01F14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B01F14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B01F14">
        <w:rPr>
          <w:rFonts w:ascii="Times New Roman" w:hAnsi="Times New Roman" w:cs="Times New Roman"/>
          <w:sz w:val="28"/>
          <w:szCs w:val="28"/>
        </w:rPr>
        <w:t>, 2021.</w:t>
      </w:r>
    </w:p>
    <w:p w:rsidR="0066195A" w:rsidRPr="0066195A" w:rsidRDefault="0066195A" w:rsidP="00B01F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</w:p>
    <w:sectPr w:rsidR="0066195A" w:rsidRPr="0066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581" w:rsidRDefault="00843581" w:rsidP="007E5A6B">
      <w:pPr>
        <w:spacing w:after="0" w:line="240" w:lineRule="auto"/>
      </w:pPr>
      <w:r>
        <w:separator/>
      </w:r>
    </w:p>
  </w:endnote>
  <w:endnote w:type="continuationSeparator" w:id="0">
    <w:p w:rsidR="00843581" w:rsidRDefault="00843581" w:rsidP="007E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547421"/>
      <w:docPartObj>
        <w:docPartGallery w:val="Page Numbers (Bottom of Page)"/>
        <w:docPartUnique/>
      </w:docPartObj>
    </w:sdtPr>
    <w:sdtEndPr/>
    <w:sdtContent>
      <w:p w:rsidR="007E5A6B" w:rsidRDefault="007E5A6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F14">
          <w:rPr>
            <w:noProof/>
          </w:rPr>
          <w:t>2</w:t>
        </w:r>
        <w:r>
          <w:fldChar w:fldCharType="end"/>
        </w:r>
      </w:p>
    </w:sdtContent>
  </w:sdt>
  <w:p w:rsidR="007E5A6B" w:rsidRDefault="007E5A6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581" w:rsidRDefault="00843581" w:rsidP="007E5A6B">
      <w:pPr>
        <w:spacing w:after="0" w:line="240" w:lineRule="auto"/>
      </w:pPr>
      <w:r>
        <w:separator/>
      </w:r>
    </w:p>
  </w:footnote>
  <w:footnote w:type="continuationSeparator" w:id="0">
    <w:p w:rsidR="00843581" w:rsidRDefault="00843581" w:rsidP="007E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3F4B"/>
    <w:multiLevelType w:val="hybridMultilevel"/>
    <w:tmpl w:val="CC24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0D4A"/>
    <w:multiLevelType w:val="multilevel"/>
    <w:tmpl w:val="92B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642ED"/>
    <w:multiLevelType w:val="hybridMultilevel"/>
    <w:tmpl w:val="A496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6D2663"/>
    <w:multiLevelType w:val="multilevel"/>
    <w:tmpl w:val="9D2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75E98"/>
    <w:multiLevelType w:val="hybridMultilevel"/>
    <w:tmpl w:val="9356E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571AF"/>
    <w:multiLevelType w:val="hybridMultilevel"/>
    <w:tmpl w:val="2C005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4D27AE"/>
    <w:multiLevelType w:val="hybridMultilevel"/>
    <w:tmpl w:val="D874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46FDB"/>
    <w:multiLevelType w:val="multilevel"/>
    <w:tmpl w:val="92B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07797"/>
    <w:multiLevelType w:val="hybridMultilevel"/>
    <w:tmpl w:val="6F269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511EA"/>
    <w:multiLevelType w:val="hybridMultilevel"/>
    <w:tmpl w:val="E28A7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538"/>
    <w:multiLevelType w:val="hybridMultilevel"/>
    <w:tmpl w:val="3CB8F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8C2FAD"/>
    <w:multiLevelType w:val="hybridMultilevel"/>
    <w:tmpl w:val="128E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97A1E"/>
    <w:multiLevelType w:val="multilevel"/>
    <w:tmpl w:val="92B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D2B7D"/>
    <w:multiLevelType w:val="multilevel"/>
    <w:tmpl w:val="2A7A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466A2D"/>
    <w:multiLevelType w:val="multilevel"/>
    <w:tmpl w:val="92B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8D4782"/>
    <w:multiLevelType w:val="hybridMultilevel"/>
    <w:tmpl w:val="F2869A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DC7A42"/>
    <w:multiLevelType w:val="hybridMultilevel"/>
    <w:tmpl w:val="2BE0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02300"/>
    <w:multiLevelType w:val="multilevel"/>
    <w:tmpl w:val="D68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7E4A89"/>
    <w:multiLevelType w:val="hybridMultilevel"/>
    <w:tmpl w:val="5172D8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8E3849"/>
    <w:multiLevelType w:val="hybridMultilevel"/>
    <w:tmpl w:val="F06AD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823A2"/>
    <w:multiLevelType w:val="hybridMultilevel"/>
    <w:tmpl w:val="533A67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78E4FDC"/>
    <w:multiLevelType w:val="hybridMultilevel"/>
    <w:tmpl w:val="DCAA2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27724A"/>
    <w:multiLevelType w:val="hybridMultilevel"/>
    <w:tmpl w:val="98C2C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BB5E1A"/>
    <w:multiLevelType w:val="multilevel"/>
    <w:tmpl w:val="B62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1F2C6D"/>
    <w:multiLevelType w:val="multilevel"/>
    <w:tmpl w:val="92B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5"/>
  </w:num>
  <w:num w:numId="4">
    <w:abstractNumId w:val="4"/>
  </w:num>
  <w:num w:numId="5">
    <w:abstractNumId w:val="16"/>
  </w:num>
  <w:num w:numId="6">
    <w:abstractNumId w:val="13"/>
  </w:num>
  <w:num w:numId="7">
    <w:abstractNumId w:val="3"/>
  </w:num>
  <w:num w:numId="8">
    <w:abstractNumId w:val="23"/>
  </w:num>
  <w:num w:numId="9">
    <w:abstractNumId w:val="19"/>
  </w:num>
  <w:num w:numId="10">
    <w:abstractNumId w:val="8"/>
  </w:num>
  <w:num w:numId="11">
    <w:abstractNumId w:val="18"/>
  </w:num>
  <w:num w:numId="12">
    <w:abstractNumId w:val="6"/>
  </w:num>
  <w:num w:numId="13">
    <w:abstractNumId w:val="0"/>
  </w:num>
  <w:num w:numId="14">
    <w:abstractNumId w:val="11"/>
  </w:num>
  <w:num w:numId="15">
    <w:abstractNumId w:val="17"/>
  </w:num>
  <w:num w:numId="16">
    <w:abstractNumId w:val="1"/>
  </w:num>
  <w:num w:numId="17">
    <w:abstractNumId w:val="14"/>
  </w:num>
  <w:num w:numId="18">
    <w:abstractNumId w:val="22"/>
  </w:num>
  <w:num w:numId="19">
    <w:abstractNumId w:val="12"/>
  </w:num>
  <w:num w:numId="20">
    <w:abstractNumId w:val="7"/>
  </w:num>
  <w:num w:numId="21">
    <w:abstractNumId w:val="9"/>
  </w:num>
  <w:num w:numId="22">
    <w:abstractNumId w:val="15"/>
  </w:num>
  <w:num w:numId="23">
    <w:abstractNumId w:val="20"/>
  </w:num>
  <w:num w:numId="24">
    <w:abstractNumId w:val="24"/>
  </w:num>
  <w:num w:numId="2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04BDC"/>
    <w:rsid w:val="00036119"/>
    <w:rsid w:val="00051174"/>
    <w:rsid w:val="0014268C"/>
    <w:rsid w:val="001F0D95"/>
    <w:rsid w:val="002172DA"/>
    <w:rsid w:val="002B6AEF"/>
    <w:rsid w:val="002D194B"/>
    <w:rsid w:val="0038509F"/>
    <w:rsid w:val="004D4E71"/>
    <w:rsid w:val="0066195A"/>
    <w:rsid w:val="00667547"/>
    <w:rsid w:val="006E1891"/>
    <w:rsid w:val="006F09BD"/>
    <w:rsid w:val="007E5A6B"/>
    <w:rsid w:val="00843581"/>
    <w:rsid w:val="00863AC7"/>
    <w:rsid w:val="00AF7639"/>
    <w:rsid w:val="00B00AD0"/>
    <w:rsid w:val="00B01F14"/>
    <w:rsid w:val="00B90D65"/>
    <w:rsid w:val="00C106EC"/>
    <w:rsid w:val="00D0726B"/>
    <w:rsid w:val="00DE2C73"/>
    <w:rsid w:val="00E140CE"/>
    <w:rsid w:val="00E27A70"/>
    <w:rsid w:val="00EE6E72"/>
    <w:rsid w:val="00F134F7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paragraph" w:styleId="1">
    <w:name w:val="heading 1"/>
    <w:basedOn w:val="a"/>
    <w:next w:val="a"/>
    <w:link w:val="10"/>
    <w:uiPriority w:val="9"/>
    <w:qFormat/>
    <w:rsid w:val="00661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61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1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7E5A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A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A6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E5A6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5A6B"/>
  </w:style>
  <w:style w:type="paragraph" w:styleId="ad">
    <w:name w:val="footer"/>
    <w:basedOn w:val="a"/>
    <w:link w:val="ae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5A6B"/>
  </w:style>
  <w:style w:type="character" w:customStyle="1" w:styleId="30">
    <w:name w:val="Заголовок 3 Знак"/>
    <w:basedOn w:val="a0"/>
    <w:link w:val="3"/>
    <w:uiPriority w:val="9"/>
    <w:semiHidden/>
    <w:rsid w:val="00004B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paragraph" w:styleId="1">
    <w:name w:val="heading 1"/>
    <w:basedOn w:val="a"/>
    <w:next w:val="a"/>
    <w:link w:val="10"/>
    <w:uiPriority w:val="9"/>
    <w:qFormat/>
    <w:rsid w:val="00661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61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1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7E5A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A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A6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E5A6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5A6B"/>
  </w:style>
  <w:style w:type="paragraph" w:styleId="ad">
    <w:name w:val="footer"/>
    <w:basedOn w:val="a"/>
    <w:link w:val="ae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5A6B"/>
  </w:style>
  <w:style w:type="character" w:customStyle="1" w:styleId="30">
    <w:name w:val="Заголовок 3 Знак"/>
    <w:basedOn w:val="a0"/>
    <w:link w:val="3"/>
    <w:uiPriority w:val="9"/>
    <w:semiHidden/>
    <w:rsid w:val="00004B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15C42-2DC9-41E9-BCD7-99A0A27E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2025-04-14T03:01:00Z</dcterms:created>
  <dcterms:modified xsi:type="dcterms:W3CDTF">2025-04-14T03:35:00Z</dcterms:modified>
</cp:coreProperties>
</file>