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5F9E7A">
      <w:pPr>
        <w:pStyle w:val="25"/>
        <w:rPr>
          <w:b/>
          <w:bCs/>
          <w:i/>
          <w:iCs/>
        </w:rPr>
      </w:pPr>
      <w:r>
        <w:t xml:space="preserve">Архитектура предприятия и информационных систем: </w:t>
      </w:r>
      <w:r>
        <w:rPr>
          <w:b/>
          <w:bCs/>
          <w:i/>
          <w:iCs/>
        </w:rPr>
        <w:t>AgriTech Solutions</w:t>
      </w:r>
    </w:p>
    <w:p w14:paraId="6F2D23BD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1. Описание компании</w:t>
      </w:r>
    </w:p>
    <w:p w14:paraId="1CF2E6D5">
      <w:pPr>
        <w:rPr>
          <w:rFonts w:hint="default"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hint="default" w:ascii="Times New Roman" w:hAnsi="Times New Roman" w:cs="Times New Roman"/>
        </w:rPr>
        <w:t xml:space="preserve">Название: </w:t>
      </w:r>
      <w:r>
        <w:rPr>
          <w:rFonts w:hint="default" w:ascii="Times New Roman" w:hAnsi="Times New Roman" w:cs="Times New Roman"/>
          <w:b/>
          <w:bCs/>
          <w:i/>
          <w:iCs/>
          <w:sz w:val="24"/>
          <w:szCs w:val="24"/>
        </w:rPr>
        <w:t>AgriTech Solutions</w:t>
      </w:r>
    </w:p>
    <w:p w14:paraId="57CCE9D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Сфера деятельности: Инновационные технологии для агропромышленного комплекса (АПК)</w:t>
      </w:r>
    </w:p>
    <w:p w14:paraId="0E45B0D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Миссия</w:t>
      </w:r>
      <w:r>
        <w:rPr>
          <w:rFonts w:hint="default" w:ascii="Times New Roman" w:hAnsi="Times New Roman" w:cs="Times New Roman"/>
        </w:rPr>
        <w:t>: Повышение эффективности сельского хозяйства с помощью цифровых решений, основанных на анализе данных, IoT и автоматизации.</w:t>
      </w:r>
    </w:p>
    <w:p w14:paraId="2536A372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Количество сотрудников: 250 человек</w:t>
      </w:r>
    </w:p>
    <w:p w14:paraId="54726C81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Способы ведения бизнеса: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Прямые продажи цифровых решений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Подписка на облачные сервисы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Консалтинг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Поддержка и обучение</w:t>
      </w:r>
    </w:p>
    <w:p w14:paraId="401C9D3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Основные конкуренты: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John Deere Precision Ag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Climate FieldView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Росагролизинг (цифровые сервисы)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ЭФКО-Технологии</w:t>
      </w:r>
    </w:p>
    <w:p w14:paraId="0A1CCEA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Конкурентная стратегия: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Дифференциация решений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Снижение стоимости владения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Гибкость решений</w:t>
      </w:r>
    </w:p>
    <w:p w14:paraId="2F122653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Поставщики: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Производители IoT-оборудования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API метеосервисы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Поставщики облачных мощностей</w:t>
      </w:r>
    </w:p>
    <w:p w14:paraId="4B2A4209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Клиенты: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Агрохолдинги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Частные фермеры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Государственные структуры</w:t>
      </w:r>
    </w:p>
    <w:p w14:paraId="401EA2F6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2. Цели компании</w:t>
      </w:r>
    </w:p>
    <w:p w14:paraId="390F7916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На ближайший год: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1. Запуск MVP AgriControl 2.0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2. 20 клиентов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3. 1000+ IoT-устройств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4. Мобильное приложение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5. Центр поддержки</w:t>
      </w:r>
    </w:p>
    <w:p w14:paraId="38519E3A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На ближайшие 3 года: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1. Выход на новые рынки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2. AI-модули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3. Автоматическая отчетность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4. 200 клиентов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5. Свои датчики</w:t>
      </w:r>
    </w:p>
    <w:p w14:paraId="2073C5FC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b/>
          <w:bCs/>
        </w:rPr>
        <w:t>На ближайшие 5 лет: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1. Лидерство в СНГ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2. 600 сотрудников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3. R&amp;D Lab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4. Спутниковые данные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5. IPO/Инвестор</w:t>
      </w:r>
    </w:p>
    <w:p w14:paraId="029F10BB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3. Организационная структура</w:t>
      </w:r>
    </w:p>
    <w:p w14:paraId="434C391E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   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86400" cy="3657600"/>
            <wp:effectExtent l="0" t="0" r="0" b="0"/>
            <wp:docPr id="1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99FD72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4. Техническая архитектура</w:t>
      </w:r>
    </w:p>
    <w:p w14:paraId="141964E7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- Серверы: AWS + локальные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СУБД: PostgreSQL + TimescaleDB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IoT: MQTT + Node-RED + LoRaWAN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Интеграции: REST API + SOAP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>- DevOps: Docker + Kubernetes</w:t>
      </w:r>
    </w:p>
    <w:p w14:paraId="771F5EBE"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5. Системная архитектура</w:t>
      </w:r>
    </w:p>
    <w:p w14:paraId="3DD4AF4E">
      <w:pPr>
        <w:pStyle w:val="2"/>
        <w:rPr>
          <w:rFonts w:hint="default" w:ascii="Times New Roman" w:hAnsi="Times New Roman" w:cs="Times New Roma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51070" cy="7127240"/>
            <wp:effectExtent l="0" t="0" r="11430" b="16510"/>
            <wp:docPr id="2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1070" cy="712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>6. Критически важные бизнес-процессы</w:t>
      </w:r>
    </w:p>
    <w:p w14:paraId="1A4BDA10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</w:rPr>
        <w:t>1. Управление клиентами и продажами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2. Обработка данных с IoT-устройств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3. Мониторинг полей и культур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4. Прогнозирование урожайности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5. Поддержка и обучение клиентов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6. Интеграция с гос. системами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7. Исследования и инноваци</w:t>
      </w:r>
      <w:r>
        <w:rPr>
          <w:rFonts w:hint="default" w:ascii="Times New Roman" w:hAnsi="Times New Roman" w:cs="Times New Roman"/>
        </w:rPr>
        <w:t>и</w:t>
      </w:r>
    </w:p>
    <w:p w14:paraId="7D7AC76E">
      <w:pPr>
        <w:pStyle w:val="2"/>
      </w:pPr>
      <w:r>
        <w:t>7. Таблица связей между критически важными бизнес-процессами</w:t>
      </w:r>
    </w:p>
    <w:tbl>
      <w:tblPr>
        <w:tblStyle w:val="36"/>
        <w:tblW w:w="888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60"/>
        <w:gridCol w:w="2960"/>
        <w:gridCol w:w="2960"/>
      </w:tblGrid>
      <w:tr w14:paraId="683CFE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960" w:type="dxa"/>
          </w:tcPr>
          <w:p w14:paraId="68BF6B3B">
            <w:pPr>
              <w:spacing w:after="0" w:line="240" w:lineRule="auto"/>
            </w:pPr>
            <w:r>
              <w:t>№</w:t>
            </w:r>
          </w:p>
        </w:tc>
        <w:tc>
          <w:tcPr>
            <w:tcW w:w="2960" w:type="dxa"/>
          </w:tcPr>
          <w:p w14:paraId="2F1ADFD6">
            <w:pPr>
              <w:spacing w:after="0" w:line="240" w:lineRule="auto"/>
            </w:pPr>
            <w:r>
              <w:t>Наименование процесса</w:t>
            </w:r>
          </w:p>
        </w:tc>
        <w:tc>
          <w:tcPr>
            <w:tcW w:w="2960" w:type="dxa"/>
          </w:tcPr>
          <w:p w14:paraId="5F44844D">
            <w:pPr>
              <w:spacing w:after="0" w:line="240" w:lineRule="auto"/>
            </w:pPr>
            <w:r>
              <w:t>Связанные процессы</w:t>
            </w:r>
          </w:p>
        </w:tc>
      </w:tr>
      <w:tr w14:paraId="7A6FC4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3" w:hRule="atLeast"/>
        </w:trPr>
        <w:tc>
          <w:tcPr>
            <w:tcW w:w="2960" w:type="dxa"/>
          </w:tcPr>
          <w:p w14:paraId="47A8C2F2">
            <w:pPr>
              <w:spacing w:after="0" w:line="240" w:lineRule="auto"/>
            </w:pPr>
            <w:r>
              <w:t>1</w:t>
            </w:r>
          </w:p>
        </w:tc>
        <w:tc>
          <w:tcPr>
            <w:tcW w:w="2960" w:type="dxa"/>
          </w:tcPr>
          <w:p w14:paraId="057AB8E6">
            <w:pPr>
              <w:spacing w:after="0" w:line="240" w:lineRule="auto"/>
            </w:pPr>
            <w:r>
              <w:t>Управление клиентами и продажами</w:t>
            </w:r>
          </w:p>
        </w:tc>
        <w:tc>
          <w:tcPr>
            <w:tcW w:w="2960" w:type="dxa"/>
          </w:tcPr>
          <w:p w14:paraId="5CEF6BA9">
            <w:pPr>
              <w:spacing w:after="0" w:line="240" w:lineRule="auto"/>
            </w:pPr>
            <w:r>
              <w:t>2. Обработка данных с IoT, 3. Мониторинг полей, 5. Поддержка клиентов</w:t>
            </w:r>
          </w:p>
        </w:tc>
      </w:tr>
      <w:tr w14:paraId="0CFD5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15" w:hRule="atLeast"/>
        </w:trPr>
        <w:tc>
          <w:tcPr>
            <w:tcW w:w="2960" w:type="dxa"/>
          </w:tcPr>
          <w:p w14:paraId="7D2F7113">
            <w:pPr>
              <w:spacing w:after="0" w:line="240" w:lineRule="auto"/>
            </w:pPr>
            <w:r>
              <w:t>2</w:t>
            </w:r>
          </w:p>
        </w:tc>
        <w:tc>
          <w:tcPr>
            <w:tcW w:w="2960" w:type="dxa"/>
          </w:tcPr>
          <w:p w14:paraId="55866679">
            <w:pPr>
              <w:spacing w:after="0" w:line="240" w:lineRule="auto"/>
            </w:pPr>
            <w:r>
              <w:t>Обработка данных с IoT-устройств</w:t>
            </w:r>
          </w:p>
        </w:tc>
        <w:tc>
          <w:tcPr>
            <w:tcW w:w="2960" w:type="dxa"/>
          </w:tcPr>
          <w:p w14:paraId="416EFD25">
            <w:pPr>
              <w:spacing w:after="0" w:line="240" w:lineRule="auto"/>
            </w:pPr>
            <w:r>
              <w:t>1. Продажи, 3. Мониторинг, 4. Прогноз урожайности, 6. Интеграция с гос. системами, 7. Инновации</w:t>
            </w:r>
          </w:p>
        </w:tc>
      </w:tr>
      <w:tr w14:paraId="25AAB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4" w:hRule="atLeast"/>
        </w:trPr>
        <w:tc>
          <w:tcPr>
            <w:tcW w:w="2960" w:type="dxa"/>
          </w:tcPr>
          <w:p w14:paraId="684A43E8">
            <w:pPr>
              <w:spacing w:after="0" w:line="240" w:lineRule="auto"/>
            </w:pPr>
            <w:r>
              <w:t>3</w:t>
            </w:r>
          </w:p>
        </w:tc>
        <w:tc>
          <w:tcPr>
            <w:tcW w:w="2960" w:type="dxa"/>
          </w:tcPr>
          <w:p w14:paraId="440DF24E">
            <w:pPr>
              <w:spacing w:after="0" w:line="240" w:lineRule="auto"/>
            </w:pPr>
            <w:r>
              <w:t>Мониторинг полей и культур</w:t>
            </w:r>
          </w:p>
        </w:tc>
        <w:tc>
          <w:tcPr>
            <w:tcW w:w="2960" w:type="dxa"/>
          </w:tcPr>
          <w:p w14:paraId="221B894A">
            <w:pPr>
              <w:spacing w:after="0" w:line="240" w:lineRule="auto"/>
            </w:pPr>
            <w:r>
              <w:t>1. Продажи, 2. Обработка данных, 4. Прогноз урожайности, 7. Инновации</w:t>
            </w:r>
          </w:p>
        </w:tc>
      </w:tr>
      <w:tr w14:paraId="08495C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4" w:hRule="atLeast"/>
        </w:trPr>
        <w:tc>
          <w:tcPr>
            <w:tcW w:w="2960" w:type="dxa"/>
          </w:tcPr>
          <w:p w14:paraId="2BF36A1A">
            <w:pPr>
              <w:spacing w:after="0" w:line="240" w:lineRule="auto"/>
            </w:pPr>
            <w:r>
              <w:t>4</w:t>
            </w:r>
          </w:p>
        </w:tc>
        <w:tc>
          <w:tcPr>
            <w:tcW w:w="2960" w:type="dxa"/>
          </w:tcPr>
          <w:p w14:paraId="30BBF7FC">
            <w:pPr>
              <w:spacing w:after="0" w:line="240" w:lineRule="auto"/>
            </w:pPr>
            <w:r>
              <w:t>Прогнозирование урожайности</w:t>
            </w:r>
          </w:p>
        </w:tc>
        <w:tc>
          <w:tcPr>
            <w:tcW w:w="2960" w:type="dxa"/>
          </w:tcPr>
          <w:p w14:paraId="10C8C39A">
            <w:pPr>
              <w:spacing w:after="0" w:line="240" w:lineRule="auto"/>
            </w:pPr>
            <w:r>
              <w:t>2. Обработка данных, 3. Мониторинг, 6. Интеграции, 7. Инновации</w:t>
            </w:r>
          </w:p>
        </w:tc>
      </w:tr>
      <w:tr w14:paraId="463813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1" w:hRule="atLeast"/>
        </w:trPr>
        <w:tc>
          <w:tcPr>
            <w:tcW w:w="2960" w:type="dxa"/>
          </w:tcPr>
          <w:p w14:paraId="177A7B52">
            <w:pPr>
              <w:spacing w:after="0" w:line="240" w:lineRule="auto"/>
            </w:pPr>
            <w:r>
              <w:t>5</w:t>
            </w:r>
          </w:p>
        </w:tc>
        <w:tc>
          <w:tcPr>
            <w:tcW w:w="2960" w:type="dxa"/>
          </w:tcPr>
          <w:p w14:paraId="4ED9697E">
            <w:pPr>
              <w:spacing w:after="0" w:line="240" w:lineRule="auto"/>
            </w:pPr>
            <w:r>
              <w:t>Поддержка и обучение клиентов</w:t>
            </w:r>
          </w:p>
        </w:tc>
        <w:tc>
          <w:tcPr>
            <w:tcW w:w="2960" w:type="dxa"/>
          </w:tcPr>
          <w:p w14:paraId="3B10DAE5">
            <w:pPr>
              <w:spacing w:after="0" w:line="240" w:lineRule="auto"/>
            </w:pPr>
            <w:r>
              <w:t>1. Продажи</w:t>
            </w:r>
          </w:p>
        </w:tc>
      </w:tr>
      <w:tr w14:paraId="1308FC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3" w:hRule="atLeast"/>
        </w:trPr>
        <w:tc>
          <w:tcPr>
            <w:tcW w:w="2960" w:type="dxa"/>
          </w:tcPr>
          <w:p w14:paraId="6F6C47E0">
            <w:pPr>
              <w:spacing w:after="0" w:line="240" w:lineRule="auto"/>
            </w:pPr>
            <w:r>
              <w:t>6</w:t>
            </w:r>
          </w:p>
        </w:tc>
        <w:tc>
          <w:tcPr>
            <w:tcW w:w="2960" w:type="dxa"/>
          </w:tcPr>
          <w:p w14:paraId="161C96B8">
            <w:pPr>
              <w:spacing w:after="0" w:line="240" w:lineRule="auto"/>
            </w:pPr>
            <w:r>
              <w:t>Интеграция с государственными системами</w:t>
            </w:r>
          </w:p>
        </w:tc>
        <w:tc>
          <w:tcPr>
            <w:tcW w:w="2960" w:type="dxa"/>
          </w:tcPr>
          <w:p w14:paraId="4208D7CB">
            <w:pPr>
              <w:spacing w:after="0" w:line="240" w:lineRule="auto"/>
            </w:pPr>
            <w:r>
              <w:t>2. Обработка данных, 4. Прогноз урожайности</w:t>
            </w:r>
          </w:p>
        </w:tc>
      </w:tr>
      <w:tr w14:paraId="2554DE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3" w:hRule="atLeast"/>
        </w:trPr>
        <w:tc>
          <w:tcPr>
            <w:tcW w:w="2960" w:type="dxa"/>
          </w:tcPr>
          <w:p w14:paraId="07D05DAB">
            <w:pPr>
              <w:spacing w:after="0" w:line="240" w:lineRule="auto"/>
            </w:pPr>
            <w:r>
              <w:t>7</w:t>
            </w:r>
          </w:p>
        </w:tc>
        <w:tc>
          <w:tcPr>
            <w:tcW w:w="2960" w:type="dxa"/>
          </w:tcPr>
          <w:p w14:paraId="2C032C50">
            <w:pPr>
              <w:spacing w:after="0" w:line="240" w:lineRule="auto"/>
            </w:pPr>
            <w:r>
              <w:t>Исследования и инновации</w:t>
            </w:r>
          </w:p>
        </w:tc>
        <w:tc>
          <w:tcPr>
            <w:tcW w:w="2960" w:type="dxa"/>
          </w:tcPr>
          <w:p w14:paraId="08E9F9C4">
            <w:pPr>
              <w:spacing w:after="0" w:line="240" w:lineRule="auto"/>
            </w:pPr>
            <w:r>
              <w:t>2. Обработка данных, 3. Мониторинг, 4. Прогноз урожая</w:t>
            </w:r>
          </w:p>
        </w:tc>
      </w:tr>
    </w:tbl>
    <w:p w14:paraId="79CDADCF">
      <w:pPr>
        <w:rPr>
          <w:rFonts w:hint="default" w:ascii="Times New Roman" w:hAnsi="Times New Roman" w:cs="Times New Roman"/>
        </w:rPr>
      </w:pP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18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28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4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3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342203A1"/>
    <w:rsid w:val="69167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qFormat="1" w:uiPriority="99" w:semiHidden="0" w:name="List Bullet"/>
    <w:lsdException w:qFormat="1" w:uiPriority="99" w:semiHidden="0" w:name="List Number"/>
    <w:lsdException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qFormat="1"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Arial" w:hAnsi="Arial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40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4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42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52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53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54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55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56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57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Emphasis"/>
    <w:basedOn w:val="11"/>
    <w:qFormat/>
    <w:uiPriority w:val="20"/>
    <w:rPr>
      <w:i/>
      <w:iCs/>
    </w:rPr>
  </w:style>
  <w:style w:type="character" w:styleId="14">
    <w:name w:val="Strong"/>
    <w:basedOn w:val="11"/>
    <w:qFormat/>
    <w:uiPriority w:val="22"/>
    <w:rPr>
      <w:b/>
      <w:bCs/>
    </w:rPr>
  </w:style>
  <w:style w:type="paragraph" w:styleId="15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16">
    <w:name w:val="Body Text 2"/>
    <w:basedOn w:val="1"/>
    <w:link w:val="47"/>
    <w:unhideWhenUsed/>
    <w:qFormat/>
    <w:uiPriority w:val="99"/>
    <w:pPr>
      <w:spacing w:after="120" w:line="480" w:lineRule="auto"/>
    </w:pPr>
  </w:style>
  <w:style w:type="paragraph" w:styleId="17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paragraph" w:styleId="18">
    <w:name w:val="List Number 3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19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Body Text"/>
    <w:basedOn w:val="1"/>
    <w:link w:val="46"/>
    <w:unhideWhenUsed/>
    <w:qFormat/>
    <w:uiPriority w:val="99"/>
    <w:pPr>
      <w:spacing w:after="120"/>
    </w:pPr>
  </w:style>
  <w:style w:type="paragraph" w:styleId="21">
    <w:name w:val="macro"/>
    <w:link w:val="49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paragraph" w:styleId="22">
    <w:name w:val="List Bullet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3">
    <w:name w:val="List Bullet 2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4">
    <w:name w:val="List Bullet 3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25">
    <w:name w:val="Title"/>
    <w:basedOn w:val="1"/>
    <w:next w:val="1"/>
    <w:link w:val="43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26">
    <w:name w:val="footer"/>
    <w:basedOn w:val="1"/>
    <w:link w:val="3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7">
    <w:name w:val="List Number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28">
    <w:name w:val="List Number 2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29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30">
    <w:name w:val="Body Text 3"/>
    <w:basedOn w:val="1"/>
    <w:link w:val="48"/>
    <w:unhideWhenUsed/>
    <w:uiPriority w:val="99"/>
    <w:pPr>
      <w:spacing w:after="120"/>
    </w:pPr>
    <w:rPr>
      <w:sz w:val="16"/>
      <w:szCs w:val="16"/>
    </w:rPr>
  </w:style>
  <w:style w:type="paragraph" w:styleId="31">
    <w:name w:val="Subtitle"/>
    <w:basedOn w:val="1"/>
    <w:next w:val="1"/>
    <w:link w:val="44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2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33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34">
    <w:name w:val="List 2"/>
    <w:basedOn w:val="1"/>
    <w:unhideWhenUsed/>
    <w:uiPriority w:val="99"/>
    <w:pPr>
      <w:ind w:left="720" w:hanging="360"/>
      <w:contextualSpacing/>
    </w:pPr>
  </w:style>
  <w:style w:type="paragraph" w:styleId="35">
    <w:name w:val="List 3"/>
    <w:basedOn w:val="1"/>
    <w:unhideWhenUsed/>
    <w:qFormat/>
    <w:uiPriority w:val="99"/>
    <w:pPr>
      <w:ind w:left="1080" w:hanging="360"/>
      <w:contextualSpacing/>
    </w:p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7">
    <w:name w:val="Header Char"/>
    <w:basedOn w:val="11"/>
    <w:link w:val="19"/>
    <w:qFormat/>
    <w:uiPriority w:val="99"/>
  </w:style>
  <w:style w:type="character" w:customStyle="1" w:styleId="38">
    <w:name w:val="Footer Char"/>
    <w:basedOn w:val="11"/>
    <w:link w:val="26"/>
    <w:uiPriority w:val="99"/>
  </w:style>
  <w:style w:type="paragraph" w:styleId="39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40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41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42">
    <w:name w:val="Heading 3 Char"/>
    <w:basedOn w:val="11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3">
    <w:name w:val="Title Char"/>
    <w:basedOn w:val="11"/>
    <w:link w:val="2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44">
    <w:name w:val="Subtitle Char"/>
    <w:basedOn w:val="11"/>
    <w:link w:val="31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45">
    <w:name w:val="List Paragraph"/>
    <w:basedOn w:val="1"/>
    <w:qFormat/>
    <w:uiPriority w:val="34"/>
    <w:pPr>
      <w:ind w:left="720"/>
      <w:contextualSpacing/>
    </w:pPr>
  </w:style>
  <w:style w:type="character" w:customStyle="1" w:styleId="46">
    <w:name w:val="Body Text Char"/>
    <w:basedOn w:val="11"/>
    <w:link w:val="20"/>
    <w:qFormat/>
    <w:uiPriority w:val="99"/>
  </w:style>
  <w:style w:type="character" w:customStyle="1" w:styleId="47">
    <w:name w:val="Body Text 2 Char"/>
    <w:basedOn w:val="11"/>
    <w:link w:val="16"/>
    <w:qFormat/>
    <w:uiPriority w:val="99"/>
  </w:style>
  <w:style w:type="character" w:customStyle="1" w:styleId="48">
    <w:name w:val="Body Text 3 Char"/>
    <w:basedOn w:val="11"/>
    <w:link w:val="30"/>
    <w:uiPriority w:val="99"/>
    <w:rPr>
      <w:sz w:val="16"/>
      <w:szCs w:val="16"/>
    </w:rPr>
  </w:style>
  <w:style w:type="character" w:customStyle="1" w:styleId="49">
    <w:name w:val="Macro Text Char"/>
    <w:basedOn w:val="11"/>
    <w:link w:val="21"/>
    <w:qFormat/>
    <w:uiPriority w:val="99"/>
    <w:rPr>
      <w:rFonts w:ascii="Courier" w:hAnsi="Courier"/>
      <w:sz w:val="20"/>
      <w:szCs w:val="20"/>
    </w:rPr>
  </w:style>
  <w:style w:type="paragraph" w:styleId="50">
    <w:name w:val="Quote"/>
    <w:basedOn w:val="1"/>
    <w:next w:val="1"/>
    <w:link w:val="5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1">
    <w:name w:val="Quote Char"/>
    <w:basedOn w:val="11"/>
    <w:link w:val="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52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3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54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55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57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58">
    <w:name w:val="Intense Quote"/>
    <w:basedOn w:val="1"/>
    <w:next w:val="1"/>
    <w:link w:val="5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59">
    <w:name w:val="Intense Quote Char"/>
    <w:basedOn w:val="11"/>
    <w:link w:val="58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0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61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62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63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64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65">
    <w:name w:val="TOC Heading"/>
    <w:basedOn w:val="2"/>
    <w:next w:val="1"/>
    <w:semiHidden/>
    <w:unhideWhenUsed/>
    <w:qFormat/>
    <w:uiPriority w:val="39"/>
    <w:pPr>
      <w:outlineLvl w:val="9"/>
    </w:pPr>
  </w:style>
  <w:style w:type="table" w:styleId="66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67">
    <w:name w:val="Light Shading Accent 1"/>
    <w:basedOn w:val="12"/>
    <w:qFormat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68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69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70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71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72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73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74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75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76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77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78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79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80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81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82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83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84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85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86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87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8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89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0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1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2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3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cPr>
        <w:tcBorders>
          <w:insideH w:val="nil"/>
          <w:insideV w:val="nil"/>
        </w:tcBorders>
      </w:tcPr>
    </w:tblStylePr>
  </w:style>
  <w:style w:type="table" w:styleId="94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5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6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7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8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99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0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cPr>
        <w:shd w:val="clear" w:color="auto" w:fill="D7D7D7" w:themeFill="background1" w:themeFillShade="D8"/>
      </w:tcPr>
    </w:tblStylePr>
    <w:tblStylePr w:type="neCell"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101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cPr>
        <w:shd w:val="clear" w:color="auto" w:fill="BFBFBF" w:themeFill="text1" w:themeFillTint="3F"/>
      </w:tcPr>
    </w:tblStylePr>
    <w:tblStylePr w:type="band1Horz">
      <w:tcPr>
        <w:shd w:val="clear" w:color="auto" w:fill="BFBFBF" w:themeFill="text1" w:themeFillTint="3F"/>
      </w:tcPr>
    </w:tblStylePr>
  </w:style>
  <w:style w:type="table" w:styleId="102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cPr>
        <w:shd w:val="clear" w:color="auto" w:fill="D3DFEE" w:themeFill="accent1" w:themeFillTint="3F"/>
      </w:tcPr>
    </w:tblStylePr>
    <w:tblStylePr w:type="band1Horz">
      <w:tcPr>
        <w:shd w:val="clear" w:color="auto" w:fill="D3DFEE" w:themeFill="accent1" w:themeFillTint="3F"/>
      </w:tcPr>
    </w:tblStylePr>
  </w:style>
  <w:style w:type="table" w:styleId="103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cPr>
        <w:shd w:val="clear" w:color="auto" w:fill="EFD3D3" w:themeFill="accent2" w:themeFillTint="3F"/>
      </w:tcPr>
    </w:tblStylePr>
    <w:tblStylePr w:type="band1Horz">
      <w:tcPr>
        <w:shd w:val="clear" w:color="auto" w:fill="EFD3D3" w:themeFill="accent2" w:themeFillTint="3F"/>
      </w:tcPr>
    </w:tblStylePr>
  </w:style>
  <w:style w:type="table" w:styleId="104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cPr>
        <w:shd w:val="clear" w:color="auto" w:fill="E6EED5" w:themeFill="accent3" w:themeFillTint="3F"/>
      </w:tcPr>
    </w:tblStylePr>
    <w:tblStylePr w:type="band1Horz">
      <w:tcPr>
        <w:shd w:val="clear" w:color="auto" w:fill="E6EED5" w:themeFill="accent3" w:themeFillTint="3F"/>
      </w:tcPr>
    </w:tblStylePr>
  </w:style>
  <w:style w:type="table" w:styleId="105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cPr>
        <w:shd w:val="clear" w:color="auto" w:fill="DFD8E8" w:themeFill="accent4" w:themeFillTint="3F"/>
      </w:tcPr>
    </w:tblStylePr>
    <w:tblStylePr w:type="band1Horz">
      <w:tcPr>
        <w:shd w:val="clear" w:color="auto" w:fill="DFD8E8" w:themeFill="accent4" w:themeFillTint="3F"/>
      </w:tcPr>
    </w:tblStylePr>
  </w:style>
  <w:style w:type="table" w:styleId="106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cPr>
        <w:shd w:val="clear" w:color="auto" w:fill="D2EAF0" w:themeFill="accent5" w:themeFillTint="3F"/>
      </w:tcPr>
    </w:tblStylePr>
    <w:tblStylePr w:type="band1Horz">
      <w:tcPr>
        <w:shd w:val="clear" w:color="auto" w:fill="D2EAF0" w:themeFill="accent5" w:themeFillTint="3F"/>
      </w:tcPr>
    </w:tblStylePr>
  </w:style>
  <w:style w:type="table" w:styleId="107">
    <w:name w:val="Medium List 1 Accent 6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cPr>
        <w:shd w:val="clear" w:color="auto" w:fill="FDE5D1" w:themeFill="accent6" w:themeFillTint="3F"/>
      </w:tcPr>
    </w:tblStylePr>
    <w:tblStylePr w:type="band1Horz">
      <w:tcPr>
        <w:shd w:val="clear" w:color="auto" w:fill="FDE5D1" w:themeFill="accent6" w:themeFillTint="3F"/>
      </w:tcPr>
    </w:tblStylePr>
  </w:style>
  <w:style w:type="table" w:styleId="108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09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0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1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2">
    <w:name w:val="Medium List 2 Accent 4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3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4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cPr>
        <w:shd w:val="clear" w:color="auto" w:fill="FFFFFF" w:themeFill="background1"/>
      </w:tcPr>
    </w:tblStylePr>
    <w:tblStylePr w:type="swCell">
      <w:tcPr>
        <w:tcBorders>
          <w:top w:val="nil"/>
        </w:tcBorders>
      </w:tcPr>
    </w:tblStylePr>
  </w:style>
  <w:style w:type="table" w:styleId="115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16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17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18">
    <w:name w:val="Medium Grid 1 Accent 3"/>
    <w:basedOn w:val="12"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19">
    <w:name w:val="Medium Grid 1 Accent 4"/>
    <w:basedOn w:val="12"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20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21">
    <w:name w:val="Medium Grid 1 Accent 6"/>
    <w:basedOn w:val="12"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  <w:style w:type="table" w:styleId="122">
    <w:name w:val="Medium Grid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3">
    <w:name w:val="Medium Grid 2 Accent 1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4">
    <w:name w:val="Medium Grid 2 Accent 2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5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6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7">
    <w:name w:val="Medium Grid 2 Accent 5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8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cPr>
        <w:shd w:val="clear" w:color="auto" w:fill="FFFFFF" w:themeFill="background1"/>
      </w:tcPr>
    </w:tblStylePr>
  </w:style>
  <w:style w:type="table" w:styleId="129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30">
    <w:name w:val="Medium Grid 3 Accent 1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31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32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33">
    <w:name w:val="Medium Grid 3 Accent 4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34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35">
    <w:name w:val="Medium Grid 3 Accent 6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36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37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38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39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40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41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42">
    <w:name w:val="Dark List Accent 6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43">
    <w:name w:val="Colorful Shading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cPr>
        <w:shd w:val="clear" w:color="auto" w:fill="999999" w:themeFill="text1" w:themeFillTint="66"/>
      </w:tcPr>
    </w:tblStylePr>
    <w:tblStylePr w:type="band1Horz"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4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5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cPr>
        <w:shd w:val="clear" w:color="auto" w:fill="E5B8B7" w:themeFill="accent2" w:themeFillTint="66"/>
      </w:tcPr>
    </w:tblStylePr>
    <w:tblStylePr w:type="band1Horz"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6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cPr>
        <w:shd w:val="clear" w:color="auto" w:fill="D6E3BC" w:themeFill="accent3" w:themeFillTint="66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47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cPr>
        <w:shd w:val="clear" w:color="auto" w:fill="CCC0D9" w:themeFill="accent4" w:themeFillTint="66"/>
      </w:tcPr>
    </w:tblStylePr>
    <w:tblStylePr w:type="band1Horz"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8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cPr>
        <w:shd w:val="clear" w:color="auto" w:fill="B6DDE8" w:themeFill="accent5" w:themeFillTint="66"/>
      </w:tcPr>
    </w:tblStylePr>
    <w:tblStylePr w:type="band1Horz"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49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cPr>
        <w:shd w:val="clear" w:color="auto" w:fill="FBD4B4" w:themeFill="accent6" w:themeFillTint="66"/>
      </w:tcPr>
    </w:tblStylePr>
    <w:tblStylePr w:type="band1Horz"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50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cPr>
        <w:shd w:val="clear" w:color="auto" w:fill="CCCCCC" w:themeFill="text1" w:themeFillTint="33"/>
      </w:tcPr>
    </w:tblStylePr>
  </w:style>
  <w:style w:type="table" w:styleId="151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cPr>
        <w:shd w:val="clear" w:color="auto" w:fill="DBE5F1" w:themeFill="accent1" w:themeFillTint="33"/>
      </w:tcPr>
    </w:tblStylePr>
  </w:style>
  <w:style w:type="table" w:styleId="152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cPr>
        <w:shd w:val="clear" w:color="auto" w:fill="F2DBDB" w:themeFill="accent2" w:themeFillTint="33"/>
      </w:tcPr>
    </w:tblStylePr>
  </w:style>
  <w:style w:type="table" w:styleId="153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cPr>
        <w:shd w:val="clear" w:color="auto" w:fill="EAF1DD" w:themeFill="accent3" w:themeFillTint="33"/>
      </w:tcPr>
    </w:tblStylePr>
  </w:style>
  <w:style w:type="table" w:styleId="154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cPr>
        <w:shd w:val="clear" w:color="auto" w:fill="E5DFEC" w:themeFill="accent4" w:themeFillTint="33"/>
      </w:tcPr>
    </w:tblStylePr>
  </w:style>
  <w:style w:type="table" w:styleId="155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cPr>
        <w:shd w:val="clear" w:color="auto" w:fill="DAEEF3" w:themeFill="accent5" w:themeFillTint="33"/>
      </w:tcPr>
    </w:tblStylePr>
  </w:style>
  <w:style w:type="table" w:styleId="156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cPr>
        <w:shd w:val="clear" w:color="auto" w:fill="FDE9D9" w:themeFill="accent6" w:themeFillTint="33"/>
      </w:tcPr>
    </w:tblStylePr>
  </w:style>
  <w:style w:type="table" w:styleId="157">
    <w:name w:val="Colorful Grid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 w:themeFillShade="BF"/>
      </w:tcPr>
    </w:tblStylePr>
    <w:tblStylePr w:type="band1Vert">
      <w:tcPr>
        <w:shd w:val="clear" w:color="auto" w:fill="7F7F7F" w:themeFill="text1" w:themeFillTint="7F"/>
      </w:tcPr>
    </w:tblStylePr>
    <w:tblStylePr w:type="band1Horz">
      <w:tcPr>
        <w:shd w:val="clear" w:color="auto" w:fill="7F7F7F" w:themeFill="text1" w:themeFillTint="7F"/>
      </w:tcPr>
    </w:tblStylePr>
  </w:style>
  <w:style w:type="table" w:styleId="158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66091" w:themeFill="accent1" w:themeFillShade="BF"/>
      </w:tcPr>
    </w:tblStylePr>
    <w:tblStylePr w:type="band1Vert">
      <w:tcPr>
        <w:shd w:val="clear" w:color="auto" w:fill="A7C0DE" w:themeFill="accent1" w:themeFillTint="7F"/>
      </w:tcPr>
    </w:tblStylePr>
    <w:tblStylePr w:type="band1Horz">
      <w:tcPr>
        <w:shd w:val="clear" w:color="auto" w:fill="A7C0DE" w:themeFill="accent1" w:themeFillTint="7F"/>
      </w:tcPr>
    </w:tblStylePr>
  </w:style>
  <w:style w:type="table" w:styleId="159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943734" w:themeFill="accent2" w:themeFillShade="BF"/>
      </w:tcPr>
    </w:tblStylePr>
    <w:tblStylePr w:type="band1Vert">
      <w:tcPr>
        <w:shd w:val="clear" w:color="auto" w:fill="DFA7A6" w:themeFill="accent2" w:themeFillTint="7F"/>
      </w:tcPr>
    </w:tblStylePr>
    <w:tblStylePr w:type="band1Horz">
      <w:tcPr>
        <w:shd w:val="clear" w:color="auto" w:fill="DFA7A6" w:themeFill="accent2" w:themeFillTint="7F"/>
      </w:tcPr>
    </w:tblStylePr>
  </w:style>
  <w:style w:type="table" w:styleId="160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76923C" w:themeFill="accent3" w:themeFillShade="BF"/>
      </w:tcPr>
    </w:tblStylePr>
    <w:tblStylePr w:type="band1Vert">
      <w:tcPr>
        <w:shd w:val="clear" w:color="auto" w:fill="CDDDAC" w:themeFill="accent3" w:themeFillTint="7F"/>
      </w:tcPr>
    </w:tblStylePr>
    <w:tblStylePr w:type="band1Horz">
      <w:tcPr>
        <w:shd w:val="clear" w:color="auto" w:fill="CDDDAC" w:themeFill="accent3" w:themeFillTint="7F"/>
      </w:tcPr>
    </w:tblStylePr>
  </w:style>
  <w:style w:type="table" w:styleId="161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F497A" w:themeFill="accent4" w:themeFillShade="BF"/>
      </w:tcPr>
    </w:tblStylePr>
    <w:tblStylePr w:type="band1Vert">
      <w:tcPr>
        <w:shd w:val="clear" w:color="auto" w:fill="BFB1D0" w:themeFill="accent4" w:themeFillTint="7F"/>
      </w:tcPr>
    </w:tblStylePr>
    <w:tblStylePr w:type="band1Horz">
      <w:tcPr>
        <w:shd w:val="clear" w:color="auto" w:fill="BFB1D0" w:themeFill="accent4" w:themeFillTint="7F"/>
      </w:tcPr>
    </w:tblStylePr>
  </w:style>
  <w:style w:type="table" w:styleId="162">
    <w:name w:val="Colorful Grid Accent 5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31849B" w:themeFill="accent5" w:themeFillShade="BF"/>
      </w:tcPr>
    </w:tblStylePr>
    <w:tblStylePr w:type="band1Vert">
      <w:tcPr>
        <w:shd w:val="clear" w:color="auto" w:fill="A5D5E2" w:themeFill="accent5" w:themeFillTint="7F"/>
      </w:tcPr>
    </w:tblStylePr>
    <w:tblStylePr w:type="band1Horz">
      <w:tcPr>
        <w:shd w:val="clear" w:color="auto" w:fill="A5D5E2" w:themeFill="accent5" w:themeFillTint="7F"/>
      </w:tcPr>
    </w:tblStylePr>
  </w:style>
  <w:style w:type="table" w:styleId="163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36C09" w:themeFill="accent6" w:themeFillShade="BF"/>
      </w:tcPr>
    </w:tblStylePr>
    <w:tblStylePr w:type="band1Vert">
      <w:tcPr>
        <w:shd w:val="clear" w:color="auto" w:fill="FBCAA2" w:themeFill="accent6" w:themeFillTint="7F"/>
      </w:tcPr>
    </w:tblStylePr>
    <w:tblStylePr w:type="band1Horz">
      <w:tcPr>
        <w:shd w:val="clear" w:color="auto" w:fill="FBCAA2" w:themeFill="accent6" w:themeFillTint="7F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VlaDick</cp:lastModifiedBy>
  <dcterms:modified xsi:type="dcterms:W3CDTF">2025-04-15T14:04:31Z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1049-12.2.0.20795</vt:lpwstr>
  </property>
  <property fmtid="{D5CDD505-2E9C-101B-9397-08002B2CF9AE}" pid="3" name="ICV">
    <vt:lpwstr>4CBBA78674534BB39CCD7DC5711C80C2_13</vt:lpwstr>
  </property>
</Properties>
</file>